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left"/>
        <w:rPr>
          <w:sz w:val="28"/>
          <w:szCs w:val="28"/>
        </w:rPr>
      </w:pPr>
      <w:bookmarkStart w:id="0" w:name="_Toc34036449"/>
      <w:bookmarkStart w:id="1" w:name="_GoBack"/>
      <w:bookmarkEnd w:id="1"/>
      <w:r>
        <w:rPr>
          <w:rFonts w:ascii="方正小标宋简体" w:eastAsia="方正小标宋简体" w:hint="eastAsia"/>
          <w:sz w:val="32"/>
          <w:szCs w:val="44"/>
        </w:rPr>
        <w:t>附件</w:t>
      </w:r>
      <w:r>
        <w:rPr>
          <w:rFonts w:ascii="方正小标宋简体" w:eastAsia="方正小标宋简体"/>
          <w:sz w:val="32"/>
          <w:szCs w:val="44"/>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eastAsia="方正小标宋简体"/>
          <w:sz w:val="44"/>
          <w:szCs w:val="44"/>
        </w:rPr>
      </w:pPr>
      <w:r>
        <w:rPr>
          <w:rFonts w:ascii="方正小标宋简体" w:eastAsia="方正小标宋简体" w:hint="eastAsia"/>
          <w:sz w:val="44"/>
          <w:szCs w:val="44"/>
        </w:rPr>
        <w:t>若尔盖县征地地上附着物和青苗补偿标准</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eastAsia="方正小标宋简体"/>
          <w:sz w:val="44"/>
          <w:szCs w:val="44"/>
        </w:rPr>
      </w:pPr>
      <w:r>
        <w:rPr>
          <w:rFonts w:ascii="方正小标宋简体" w:eastAsia="方正小标宋简体" w:hint="eastAsia"/>
          <w:sz w:val="44"/>
          <w:szCs w:val="44"/>
        </w:rPr>
        <w:t>修订成果公示内容</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outlineLvl w:val="0"/>
        <w:rPr>
          <w:rFonts w:ascii="仿宋_GB2312" w:eastAsia="仿宋_GB2312" w:cs="仿宋_GB2312" w:hint="eastAsia"/>
          <w:b/>
          <w:sz w:val="32"/>
          <w:szCs w:val="32"/>
        </w:rPr>
      </w:pPr>
      <w:r>
        <w:rPr>
          <w:rFonts w:ascii="仿宋_GB2312" w:eastAsia="仿宋_GB2312" w:cs="仿宋_GB2312" w:hint="eastAsia"/>
          <w:b/>
          <w:sz w:val="32"/>
          <w:szCs w:val="32"/>
        </w:rPr>
        <w:t>一、工作对象与范围</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工作对象：县域内农村集体经济组织所有土地地上附着物及青苗补偿标准制定。具体测算不包括国有土地地上附着物及青苗补偿标准，在实际执行过程中，可参照相邻区域集体土地地上附着物和青苗补偿标准执行。</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工作范围：包括县域内农村集体经济组织所有的土地地上附着物和青苗补偿标准的修订测算，具体为：一是地上建造的一切建筑物、构筑物及其他附属设施；二是处于生命、发育、生长的最初或相对较早阶段的没有成熟的农作物，主要包括粮食作物、经济作物和蔬菜瓜果类等作物；三是林木、果木、苗木、花卉等地上定着物。</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outlineLvl w:val="0"/>
        <w:rPr>
          <w:rFonts w:ascii="仿宋_GB2312" w:eastAsia="仿宋_GB2312" w:cs="仿宋_GB2312" w:hint="eastAsia"/>
          <w:b/>
          <w:sz w:val="32"/>
          <w:szCs w:val="32"/>
        </w:rPr>
      </w:pPr>
      <w:bookmarkStart w:id="2" w:name="_Toc34036444"/>
      <w:r>
        <w:rPr>
          <w:rFonts w:ascii="仿宋_GB2312" w:eastAsia="仿宋_GB2312" w:cs="仿宋_GB2312" w:hint="eastAsia"/>
          <w:b/>
          <w:sz w:val="32"/>
          <w:szCs w:val="32"/>
        </w:rPr>
        <w:t>二、基准时点</w:t>
      </w:r>
      <w:bookmarkEnd w:id="2"/>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本次征地地上附着物和青苗补偿标准对应的基准时点为2023年1月1日，有效期为3年。</w:t>
      </w:r>
    </w:p>
    <w:p>
      <w:pPr>
        <w:keepNext w:val="0"/>
        <w:keepLines w:val="0"/>
        <w:pageBreakBefore w:val="0"/>
        <w:widowControl/>
        <w:kinsoku/>
        <w:wordWrap/>
        <w:overflowPunct/>
        <w:topLinePunct w:val="0"/>
        <w:autoSpaceDE/>
        <w:autoSpaceDN/>
        <w:bidi w:val="0"/>
        <w:adjustRightInd/>
        <w:snapToGrid/>
        <w:spacing w:line="560" w:lineRule="exact"/>
        <w:ind w:left="0" w:firstLineChars="200" w:firstLine="640"/>
        <w:textAlignment w:val="auto"/>
        <w:outlineLvl w:val="0"/>
        <w:rPr>
          <w:rFonts w:ascii="仿宋_GB2312" w:eastAsia="仿宋_GB2312" w:cs="仿宋_GB2312" w:hint="eastAsia"/>
          <w:b/>
          <w:sz w:val="32"/>
          <w:szCs w:val="32"/>
        </w:rPr>
      </w:pPr>
      <w:r>
        <w:rPr>
          <w:rFonts w:ascii="仿宋_GB2312" w:eastAsia="仿宋_GB2312" w:cs="仿宋_GB2312" w:hint="eastAsia"/>
          <w:b/>
          <w:sz w:val="32"/>
          <w:szCs w:val="32"/>
          <w:lang w:val="en-US" w:eastAsia="zh-CN"/>
        </w:rPr>
        <w:t>三、</w:t>
      </w:r>
      <w:r>
        <w:rPr>
          <w:rFonts w:ascii="仿宋_GB2312" w:eastAsia="仿宋_GB2312" w:cs="仿宋_GB2312" w:hint="eastAsia"/>
          <w:b/>
          <w:sz w:val="32"/>
          <w:szCs w:val="32"/>
        </w:rPr>
        <w:t>修订结果</w:t>
      </w:r>
    </w:p>
    <w:p>
      <w:pPr>
        <w:jc w:val="center"/>
        <w:rPr>
          <w:rFonts w:ascii="Times New Roman" w:eastAsia="仿宋_GB2312" w:cs="Times New Roman" w:hAnsi="Times New Roman"/>
          <w:sz w:val="32"/>
          <w:szCs w:val="32"/>
        </w:rPr>
      </w:pPr>
      <w:r>
        <w:rPr>
          <w:rFonts w:ascii="Times New Roman" w:eastAsia="仿宋_GB2312" w:cs="Times New Roman" w:hAnsi="Times New Roman" w:hint="eastAsia"/>
          <w:sz w:val="32"/>
          <w:szCs w:val="32"/>
        </w:rPr>
        <w:t>表一 征收土地青苗补偿费标准表</w:t>
      </w:r>
    </w:p>
    <w:tbl>
      <w:tblPr>
        <w:jc w:val="left"/>
        <w:tblInd w:w="0" w:type="dxa"/>
        <w:tblW w:w="8336"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084"/>
        <w:gridCol w:w="2084"/>
        <w:gridCol w:w="4168"/>
      </w:tblGrid>
      <w:tr>
        <w:trPr>
          <w:trHeight w:val="402"/>
        </w:trPr>
        <w:tc>
          <w:tcPr>
            <w:tcW w:w="20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序号</w:t>
            </w:r>
          </w:p>
        </w:tc>
        <w:tc>
          <w:tcPr>
            <w:tcW w:w="20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补偿项目</w:t>
            </w:r>
          </w:p>
        </w:tc>
        <w:tc>
          <w:tcPr>
            <w:tcW w:w="41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补偿标准（元／亩／年）</w:t>
            </w:r>
          </w:p>
        </w:tc>
      </w:tr>
      <w:tr>
        <w:trPr>
          <w:trHeight w:val="402"/>
        </w:trPr>
        <w:tc>
          <w:tcPr>
            <w:tcW w:w="20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w:t>
            </w:r>
          </w:p>
        </w:tc>
        <w:tc>
          <w:tcPr>
            <w:tcW w:w="20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大、小春</w:t>
            </w:r>
          </w:p>
        </w:tc>
        <w:tc>
          <w:tcPr>
            <w:tcW w:w="41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122</w:t>
            </w:r>
            <w:r>
              <w:rPr>
                <w:rFonts w:ascii="Times New Roman" w:eastAsia="仿宋_GB2312" w:cs="Times New Roman" w:hAnsi="Times New Roman" w:hint="eastAsia"/>
                <w:sz w:val="22"/>
              </w:rPr>
              <w:t>0</w:t>
            </w:r>
          </w:p>
        </w:tc>
      </w:tr>
    </w:tbl>
    <w:p>
      <w:pPr>
        <w:jc w:val="center"/>
        <w:rPr>
          <w:rFonts w:ascii="Times New Roman" w:eastAsia="仿宋_GB2312" w:cs="Times New Roman" w:hAnsi="Times New Roman"/>
          <w:sz w:val="32"/>
          <w:szCs w:val="32"/>
        </w:rPr>
      </w:pPr>
      <w:bookmarkEnd w:id="0"/>
      <w:r>
        <w:rPr>
          <w:rFonts w:ascii="Times New Roman" w:eastAsia="仿宋_GB2312" w:cs="Times New Roman" w:hAnsi="Times New Roman" w:hint="eastAsia"/>
          <w:sz w:val="32"/>
          <w:szCs w:val="32"/>
        </w:rPr>
        <w:t>表二 房屋重置价标准表</w:t>
      </w:r>
    </w:p>
    <w:tbl>
      <w:tblPr>
        <w:jc w:val="left"/>
        <w:tblInd w:w="0" w:type="dxa"/>
        <w:tblW w:w="8220"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1650"/>
        <w:gridCol w:w="3285"/>
        <w:gridCol w:w="3285"/>
      </w:tblGrid>
      <w:tr>
        <w:trPr>
          <w:trHeight w:val="402"/>
        </w:trPr>
        <w:tc>
          <w:tcPr>
            <w:tcW w:w="16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序号</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补偿项目</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补偿标准（元／平方米）</w:t>
            </w:r>
          </w:p>
        </w:tc>
      </w:tr>
      <w:tr>
        <w:trPr>
          <w:trHeight w:val="402"/>
        </w:trPr>
        <w:tc>
          <w:tcPr>
            <w:tcW w:w="16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钢结构</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1900</w:t>
            </w:r>
          </w:p>
        </w:tc>
      </w:tr>
      <w:tr>
        <w:trPr>
          <w:trHeight w:val="402"/>
        </w:trPr>
        <w:tc>
          <w:tcPr>
            <w:tcW w:w="16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2</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钢混结构</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1900</w:t>
            </w:r>
          </w:p>
        </w:tc>
      </w:tr>
      <w:tr>
        <w:trPr>
          <w:trHeight w:val="402"/>
        </w:trPr>
        <w:tc>
          <w:tcPr>
            <w:tcW w:w="16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3</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砖混（现浇）结构</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1700</w:t>
            </w:r>
          </w:p>
        </w:tc>
      </w:tr>
      <w:tr>
        <w:trPr>
          <w:trHeight w:val="402"/>
        </w:trPr>
        <w:tc>
          <w:tcPr>
            <w:tcW w:w="16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4</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砖混（预制）结构</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1600</w:t>
            </w:r>
          </w:p>
        </w:tc>
      </w:tr>
      <w:tr>
        <w:trPr>
          <w:trHeight w:val="402"/>
        </w:trPr>
        <w:tc>
          <w:tcPr>
            <w:tcW w:w="16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5</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砖木结构</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1200</w:t>
            </w:r>
          </w:p>
        </w:tc>
      </w:tr>
      <w:tr>
        <w:trPr>
          <w:trHeight w:val="402"/>
        </w:trPr>
        <w:tc>
          <w:tcPr>
            <w:tcW w:w="16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6</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土木、木结构</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1300</w:t>
            </w:r>
          </w:p>
        </w:tc>
      </w:tr>
      <w:tr>
        <w:trPr>
          <w:trHeight w:val="402"/>
        </w:trPr>
        <w:tc>
          <w:tcPr>
            <w:tcW w:w="16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7</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石木（石混）结构</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1400</w:t>
            </w:r>
          </w:p>
        </w:tc>
      </w:tr>
      <w:tr>
        <w:trPr>
          <w:trHeight w:val="402"/>
        </w:trPr>
        <w:tc>
          <w:tcPr>
            <w:tcW w:w="16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8</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其他结构</w:t>
            </w:r>
          </w:p>
        </w:tc>
        <w:tc>
          <w:tcPr>
            <w:tcW w:w="32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400</w:t>
            </w:r>
          </w:p>
        </w:tc>
      </w:tr>
    </w:tbl>
    <w:p>
      <w:pPr>
        <w:jc w:val="center"/>
        <w:rPr>
          <w:rFonts w:ascii="Times New Roman" w:eastAsia="仿宋_GB2312" w:cs="Times New Roman" w:hAnsi="Times New Roman"/>
          <w:sz w:val="32"/>
          <w:szCs w:val="32"/>
        </w:rPr>
      </w:pPr>
      <w:r>
        <w:rPr>
          <w:rFonts w:ascii="Times New Roman" w:eastAsia="仿宋_GB2312" w:cs="Times New Roman" w:hAnsi="Times New Roman" w:hint="eastAsia"/>
          <w:sz w:val="32"/>
          <w:szCs w:val="32"/>
        </w:rPr>
        <w:t>表三 地上构筑物及其他附属设施补偿标准表</w:t>
      </w:r>
    </w:p>
    <w:tbl>
      <w:tblPr>
        <w:jc w:val="left"/>
        <w:tblInd w:w="0" w:type="dxa"/>
        <w:tblW w:w="8336"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1419"/>
        <w:gridCol w:w="1342"/>
        <w:gridCol w:w="2401"/>
        <w:gridCol w:w="1496"/>
        <w:gridCol w:w="1678"/>
      </w:tblGrid>
      <w:tr>
        <w:trPr>
          <w:trHeight w:val="402"/>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序号</w:t>
            </w:r>
          </w:p>
        </w:tc>
        <w:tc>
          <w:tcPr>
            <w:tcW w:w="374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补偿项目</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单位</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补偿标准（元）</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围墙</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乱石垒、土围墙</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120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砖、石围墙</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200</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2</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院（晒）坝</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三合土</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70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砖、石、水泥砂浆</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130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土坝</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30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石板坝</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120</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3</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堡坎</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石堡坎</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400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砼</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490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砖</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470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其它</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130</w:t>
            </w:r>
          </w:p>
        </w:tc>
      </w:tr>
      <w:tr>
        <w:trPr>
          <w:trHeight w:val="402"/>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4</w:t>
            </w:r>
          </w:p>
        </w:tc>
        <w:tc>
          <w:tcPr>
            <w:tcW w:w="374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水缸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口</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5</w:t>
            </w:r>
          </w:p>
        </w:tc>
        <w:tc>
          <w:tcPr>
            <w:tcW w:w="374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地窖</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口</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6</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粪池</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土粪池</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150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水泥、三合土粪池</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230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条石粪池</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260</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7</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水窖</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土水窖</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三合土水窖</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条石及砼水窖</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8</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水池</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砣石、条石池</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石砌、砖砌、混凝土</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320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造型水池</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9</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水井</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土水井</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口</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3450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条石水井</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口</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5750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压水井（含机械取水）</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口</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5175</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机井（含抗旱井）</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口</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10450</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10</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灶台</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土灶</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眼</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红砖砌灶</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眼</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瓷砖灶、水泥灶</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眼</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节能灶（含设施）</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眼</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11</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坟墓</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普通土堆坟</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座</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10100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砖、石、水泥修砌</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座</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10100</w:t>
            </w:r>
          </w:p>
        </w:tc>
      </w:tr>
      <w:tr>
        <w:trPr>
          <w:trHeight w:val="540"/>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砖、石、水泥修砌加有花岗石、其它材料刻成的墓碑</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座</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12200</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12</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水管</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钢管</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50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PE管</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PVC管</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胶管</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25</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13</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沼气池</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产气</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口</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5200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未产气</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口</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14</w:t>
            </w:r>
          </w:p>
        </w:tc>
        <w:tc>
          <w:tcPr>
            <w:tcW w:w="374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粮仓</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15</w:t>
            </w:r>
          </w:p>
        </w:tc>
        <w:tc>
          <w:tcPr>
            <w:tcW w:w="374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砖、石、混凝土柜</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16</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排灌沟渠</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衬砌</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元／平方米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未衬砌</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元／平方米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17</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烤烟房</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2.7米乘2.7米</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个</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3米乘3米</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个</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3.3米乘3.3米</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个</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90"/>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18</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围墙大门</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铁大门</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410</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木大门</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200</w:t>
            </w:r>
          </w:p>
        </w:tc>
      </w:tr>
      <w:tr>
        <w:trPr>
          <w:trHeight w:val="402"/>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19</w:t>
            </w:r>
          </w:p>
        </w:tc>
        <w:tc>
          <w:tcPr>
            <w:tcW w:w="1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大棚（花棚、蔬菜大棚、蘑菇棚等）</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竹架</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钢架</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塑钢</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水泥柱架</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342"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其他棚</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20</w:t>
            </w:r>
          </w:p>
        </w:tc>
        <w:tc>
          <w:tcPr>
            <w:tcW w:w="374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水塔</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立方米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w:t>
            </w:r>
          </w:p>
        </w:tc>
      </w:tr>
      <w:tr>
        <w:trPr>
          <w:trHeight w:val="402"/>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sz w:val="22"/>
              </w:rPr>
              <w:t>21</w:t>
            </w:r>
          </w:p>
        </w:tc>
        <w:tc>
          <w:tcPr>
            <w:tcW w:w="374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彩钢房</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Times New Roman" w:eastAsia="仿宋_GB2312" w:cs="Times New Roman" w:hAnsi="Times New Roman"/>
                <w:sz w:val="22"/>
              </w:rPr>
            </w:pPr>
            <w:r>
              <w:rPr>
                <w:rFonts w:ascii="Times New Roman" w:eastAsia="仿宋_GB2312" w:cs="Times New Roman" w:hAnsi="Times New Roman" w:hint="eastAsia"/>
                <w:sz w:val="22"/>
              </w:rPr>
              <w:t>平方米</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rFonts w:ascii="Times New Roman" w:eastAsia="仿宋_GB2312" w:cs="Times New Roman" w:hAnsi="Times New Roman"/>
                <w:sz w:val="22"/>
              </w:rPr>
            </w:pPr>
            <w:r>
              <w:rPr>
                <w:rFonts w:ascii="Times New Roman" w:eastAsia="宋体" w:cs="Times New Roman" w:hAnsi="Times New Roman"/>
                <w:color w:val="000000"/>
                <w:kern w:val="0"/>
                <w:sz w:val="22"/>
              </w:rPr>
              <w:t>735</w:t>
            </w:r>
          </w:p>
        </w:tc>
      </w:tr>
    </w:tbl>
    <w:p>
      <w:pPr>
        <w:jc w:val="cente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2010601030101010101"/>
    <w:charset w:val="86"/>
    <w:family w:val="script"/>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variable"/>
    <w:sig w:usb0="00000203" w:usb1="288F0000" w:usb2="00000006" w:usb3="00000000" w:csb0="00040001" w:csb1="00000000"/>
  </w:font>
  <w:font w:name="Calibri">
    <w:panose1 w:val="020F0502020204030204"/>
    <w:charset w:val="00"/>
    <w:family w:val="swiss"/>
    <w:pitch w:val="variable"/>
    <w:sig w:usb0="E4002EFF" w:usb1="C200247B" w:usb2="00000009" w:usb3="00000000" w:csb0="200001FF" w:csb1="00000000"/>
  </w:font>
  <w:font w:name="Arial">
    <w:panose1 w:val="020B0604020202020204"/>
    <w:charset w:val="01"/>
    <w:family w:val="swiss"/>
    <w:pitch w:val="variable"/>
    <w:sig w:usb0="E0002EFF" w:usb1="C000785B" w:usb2="00000009" w:usb3="00000000" w:csb0="400001FF" w:csb1="FFFF0000"/>
  </w:font>
  <w:font w:name="仿宋">
    <w:panose1 w:val="02010609060101010101"/>
    <w:charset w:val="86"/>
    <w:family w:val="modern"/>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doNotUseIndentAsNumberingTabStop/>
    <w:useAltKinsokuLineBreakRules/>
    <w:compatSetting w:name="compatibilityMode" w:uri="http://schemas.microsoft.com/office/word" w:val="14"/>
  </w:compat>
  <w:docVars>
    <w:docVar w:name="commondata" w:val="eyJoZGlkIjoiYTc0ZTA2MDE1M2RjYzdhNTk5YzczMWU5ODhmZDE5YWE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next w:val="15"/>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Body Text"/>
    <w:basedOn w:val="0"/>
    <w:rPr>
      <w:rFonts w:ascii="宋体" w:cs="宋体"/>
      <w:szCs w:val="33"/>
    </w:rPr>
  </w:style>
  <w:style w:type="character" w:customStyle="1" w:styleId="16">
    <w:name w:val="font11"/>
    <w:basedOn w:val="10"/>
    <w:autoRedefine/>
    <w:rPr>
      <w:rFonts w:ascii="仿宋" w:eastAsia="仿宋" w:cs="仿宋"/>
      <w:color w:val="000000"/>
      <w:sz w:val="24"/>
      <w:szCs w:val="24"/>
      <w:u w:val="none"/>
    </w:rPr>
  </w:style>
  <w:style w:type="character" w:customStyle="1" w:styleId="17">
    <w:name w:val="font21"/>
    <w:basedOn w:val="10"/>
    <w:autoRedefine/>
    <w:rPr>
      <w:rFonts w:ascii="Times New Roman" w:cs="Times New Roman" w:hAnsi="Times New Roman"/>
      <w:color w:val="000000"/>
      <w:sz w:val="24"/>
      <w:szCs w:val="24"/>
      <w:u w:val="none"/>
    </w:rPr>
  </w:style>
  <w:style w:type="character" w:customStyle="1" w:styleId="18">
    <w:name w:val="font01"/>
    <w:basedOn w:val="10"/>
    <w:autoRedefine/>
    <w:rPr>
      <w:rFonts w:ascii="Times New Roman" w:cs="Times New Roman" w:hAnsi="Times New Roman"/>
      <w:color w:val="000000"/>
      <w:sz w:val="22"/>
      <w:szCs w:val="22"/>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26</TotalTime>
  <Application>Yozo_Office</Application>
  <Pages>3</Pages>
  <Words>971</Words>
  <Characters>1085</Characters>
  <Lines>260</Lines>
  <Paragraphs>247</Paragraphs>
  <CharactersWithSpaces>1088</CharactersWithSpaces>
  <Company>China</Company>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SC</cp:lastModifiedBy>
  <cp:revision>12</cp:revision>
  <cp:lastPrinted>2023-12-21T08:31:00Z</cp:lastPrinted>
  <dcterms:created xsi:type="dcterms:W3CDTF">2023-04-20T01:44:00Z</dcterms:created>
  <dcterms:modified xsi:type="dcterms:W3CDTF">2023-12-22T02:56:54Z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2052-12.1.0.16120</vt:lpwstr>
  </property>
  <property fmtid="{D5CDD505-2E9C-101B-9397-08002B2CF9AE}" pid="3" name="ICV">
    <vt:lpwstr>F291D8E2555E4DBA984081D84E55C4B3_13</vt:lpwstr>
  </property>
</Properties>
</file>