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78442"/>
      <w:bookmarkStart w:id="8" w:name="_Toc15377426"/>
      <w:bookmarkStart w:id="9" w:name="_Toc15396598"/>
      <w:bookmarkStart w:id="10" w:name="_Toc15396476"/>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eastAsia="zh-CN"/>
        </w:rPr>
        <w:t>若尔盖县</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统计局</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t>25</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_GB2312" w:hAnsi="仿宋" w:eastAsia="仿宋_GB231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_GB2312" w:hAnsi="仿宋" w:eastAsia="仿宋_GB2312"/>
          <w:sz w:val="32"/>
          <w:szCs w:val="32"/>
        </w:rPr>
        <w:t>若尔盖县统计局承担组织领导和协调全县统计工作，确保统计数据真实、准确、及时的责任；汇总、整理和提供有关国情国力方面的统计数据；组织实施基本统计数据。对国民经济、社会发展、科技进步和资源环境等情况进行统计分析、统计预测和统计监督，向党委、政府及有关部门提供统计信息和咨询建议；承办党委、政府交办的其他事项。</w:t>
      </w:r>
    </w:p>
    <w:p>
      <w:pPr>
        <w:widowControl/>
        <w:spacing w:line="560" w:lineRule="exact"/>
        <w:ind w:firstLine="480" w:firstLineChars="150"/>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widowControl/>
        <w:spacing w:line="560" w:lineRule="exact"/>
        <w:ind w:firstLine="480" w:firstLineChars="150"/>
        <w:rPr>
          <w:rFonts w:ascii="楷体" w:hAnsi="楷体" w:eastAsia="楷体"/>
          <w:sz w:val="32"/>
          <w:szCs w:val="32"/>
        </w:rPr>
      </w:pPr>
      <w:r>
        <w:rPr>
          <w:rFonts w:hint="eastAsia" w:ascii="楷体" w:hAnsi="楷体" w:eastAsia="楷体"/>
          <w:sz w:val="32"/>
          <w:szCs w:val="32"/>
        </w:rPr>
        <w:t>1.全面推进党风廉政建设，不断开创党建工作新局面。</w:t>
      </w:r>
    </w:p>
    <w:p>
      <w:pPr>
        <w:widowControl/>
        <w:spacing w:line="560" w:lineRule="exact"/>
        <w:ind w:firstLine="480" w:firstLineChars="150"/>
        <w:rPr>
          <w:rFonts w:ascii="楷体" w:hAnsi="楷体" w:eastAsia="楷体"/>
          <w:sz w:val="32"/>
          <w:szCs w:val="32"/>
        </w:rPr>
      </w:pPr>
      <w:r>
        <w:rPr>
          <w:rFonts w:hint="eastAsia" w:ascii="楷体" w:hAnsi="楷体" w:eastAsia="楷体"/>
          <w:sz w:val="32"/>
          <w:szCs w:val="32"/>
        </w:rPr>
        <w:t>2.做好常规统计工作，进一步夯实统计基础。</w:t>
      </w:r>
    </w:p>
    <w:p>
      <w:pPr>
        <w:spacing w:line="560" w:lineRule="exact"/>
        <w:ind w:firstLine="480" w:firstLineChars="150"/>
        <w:rPr>
          <w:rFonts w:ascii="仿宋_GB2312" w:eastAsia="仿宋_GB2312"/>
          <w:sz w:val="32"/>
          <w:szCs w:val="32"/>
        </w:rPr>
      </w:pPr>
      <w:r>
        <w:rPr>
          <w:rFonts w:hint="eastAsia" w:ascii="楷体" w:hAnsi="楷体" w:eastAsia="楷体"/>
          <w:sz w:val="32"/>
          <w:szCs w:val="32"/>
        </w:rPr>
        <w:t>3.进一步提升统计服务。一是</w:t>
      </w:r>
      <w:r>
        <w:rPr>
          <w:rFonts w:hint="eastAsia" w:ascii="仿宋_GB2312" w:eastAsia="仿宋_GB2312"/>
          <w:sz w:val="32"/>
          <w:szCs w:val="32"/>
        </w:rPr>
        <w:t>加强对经济运行的监测预警，强化统计监督职能。二是坚持定期对外依法公布统计资料，强化统计信息职能。三是加强统计调研，提高统计服务水平。</w:t>
      </w:r>
    </w:p>
    <w:p>
      <w:pPr>
        <w:spacing w:line="560" w:lineRule="exact"/>
        <w:ind w:firstLine="480" w:firstLineChars="150"/>
        <w:rPr>
          <w:rFonts w:ascii="仿宋_GB2312" w:eastAsia="仿宋_GB2312"/>
          <w:sz w:val="32"/>
          <w:szCs w:val="32"/>
        </w:rPr>
      </w:pPr>
      <w:r>
        <w:rPr>
          <w:rFonts w:hint="eastAsia" w:ascii="楷体" w:hAnsi="楷体" w:eastAsia="楷体"/>
          <w:sz w:val="32"/>
          <w:szCs w:val="32"/>
        </w:rPr>
        <w:t>4.加强依法统计。</w:t>
      </w:r>
      <w:r>
        <w:rPr>
          <w:rFonts w:hint="eastAsia" w:ascii="仿宋_GB2312" w:eastAsia="仿宋_GB2312"/>
          <w:sz w:val="32"/>
          <w:szCs w:val="32"/>
        </w:rPr>
        <w:t>一是强化统计法制宣传培训。二是扎实开展统计执法检查。严格执法，自觉维护统计法威严，不定期开展执法检查、数据巡查等活动。</w:t>
      </w: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统计局</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统计局</w:t>
      </w:r>
      <w:r>
        <w:rPr>
          <w:rFonts w:hint="eastAsia" w:ascii="仿宋" w:hAnsi="仿宋" w:eastAsia="仿宋"/>
          <w:color w:val="000000"/>
          <w:sz w:val="32"/>
          <w:szCs w:val="32"/>
        </w:rPr>
        <w:t>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8449"/>
      <w:bookmarkStart w:id="23" w:name="_Toc15377433"/>
      <w:bookmarkStart w:id="24" w:name="_Toc15377202"/>
      <w:bookmarkStart w:id="25" w:name="_Toc15306276"/>
      <w:r>
        <w:rPr>
          <w:rFonts w:hint="eastAsia" w:ascii="仿宋" w:hAnsi="仿宋" w:eastAsia="仿宋"/>
          <w:color w:val="000000"/>
          <w:sz w:val="32"/>
          <w:szCs w:val="32"/>
          <w:lang w:eastAsia="zh-CN"/>
        </w:rPr>
        <w:t>若尔盖县统计局大数据中心</w:t>
      </w:r>
      <w:bookmarkEnd w:id="22"/>
      <w:bookmarkEnd w:id="23"/>
      <w:bookmarkEnd w:id="24"/>
      <w:bookmarkEnd w:id="25"/>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6"/>
      <w:bookmarkEnd w:id="27"/>
    </w:p>
    <w:p/>
    <w:p>
      <w:pPr>
        <w:pStyle w:val="24"/>
        <w:numPr>
          <w:ilvl w:val="0"/>
          <w:numId w:val="2"/>
        </w:numPr>
        <w:spacing w:line="600" w:lineRule="exact"/>
        <w:ind w:firstLineChars="0"/>
        <w:outlineLvl w:val="1"/>
        <w:rPr>
          <w:rStyle w:val="26"/>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，年初结转结余</w:t>
      </w:r>
      <w:r>
        <w:rPr>
          <w:rFonts w:hint="eastAsia" w:ascii="仿宋" w:hAnsi="仿宋" w:eastAsia="仿宋"/>
          <w:color w:val="000000"/>
          <w:sz w:val="32"/>
          <w:szCs w:val="32"/>
          <w:lang w:val="en-US" w:eastAsia="zh-CN"/>
        </w:rPr>
        <w:t>2.47万元，</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305.69万元</w:t>
      </w:r>
      <w:r>
        <w:rPr>
          <w:rFonts w:hint="eastAsia" w:ascii="仿宋" w:hAnsi="仿宋" w:eastAsia="仿宋"/>
          <w:color w:val="000000"/>
          <w:sz w:val="32"/>
          <w:szCs w:val="32"/>
        </w:rPr>
        <w:t>。与2018年相比，收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总计各增加</w:t>
      </w:r>
      <w:r>
        <w:rPr>
          <w:rFonts w:hint="eastAsia" w:ascii="仿宋" w:hAnsi="仿宋" w:eastAsia="仿宋"/>
          <w:color w:val="000000"/>
          <w:sz w:val="32"/>
          <w:szCs w:val="32"/>
          <w:lang w:val="en-US" w:eastAsia="zh-CN"/>
        </w:rPr>
        <w:t>16.38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21.31万元。</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5.71</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7.49%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2019年新成立下属机构大数据中心，新增2名工作人员，各项费用增加。</w:t>
      </w:r>
    </w:p>
    <w:p>
      <w:pPr>
        <w:spacing w:line="600" w:lineRule="exact"/>
        <w:jc w:val="center"/>
        <w:rPr>
          <w:rFonts w:ascii="仿宋_GB2312" w:eastAsia="仿宋_GB2312"/>
          <w:color w:val="000000"/>
          <w:sz w:val="32"/>
          <w:szCs w:val="32"/>
        </w:rPr>
      </w:pPr>
      <w:r>
        <w:rPr>
          <w:rFonts w:hint="default" w:ascii="仿宋" w:hAnsi="仿宋" w:eastAsia="仿宋"/>
          <w:color w:val="000000"/>
          <w:sz w:val="32"/>
          <w:szCs w:val="32"/>
          <w:lang w:val="en-US" w:eastAsia="zh-CN"/>
        </w:rPr>
        <w:drawing>
          <wp:anchor distT="0" distB="0" distL="114300" distR="114300" simplePos="0" relativeHeight="251658240" behindDoc="0" locked="0" layoutInCell="1" allowOverlap="1">
            <wp:simplePos x="0" y="0"/>
            <wp:positionH relativeFrom="column">
              <wp:posOffset>715645</wp:posOffset>
            </wp:positionH>
            <wp:positionV relativeFrom="paragraph">
              <wp:posOffset>118745</wp:posOffset>
            </wp:positionV>
            <wp:extent cx="3889375" cy="2134235"/>
            <wp:effectExtent l="4445" t="4445" r="11430"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1033145</wp:posOffset>
            </wp:positionH>
            <wp:positionV relativeFrom="paragraph">
              <wp:posOffset>172085</wp:posOffset>
            </wp:positionV>
            <wp:extent cx="3480435" cy="2555240"/>
            <wp:effectExtent l="4445" t="4445" r="20320" b="1206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32"/>
      <w:bookmarkEnd w:id="33"/>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305.69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239.55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77.74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66.14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22.26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1312" behindDoc="1" locked="0" layoutInCell="1" allowOverlap="1">
            <wp:simplePos x="0" y="0"/>
            <wp:positionH relativeFrom="column">
              <wp:posOffset>1076960</wp:posOffset>
            </wp:positionH>
            <wp:positionV relativeFrom="paragraph">
              <wp:posOffset>22860</wp:posOffset>
            </wp:positionV>
            <wp:extent cx="3071495" cy="2296795"/>
            <wp:effectExtent l="5080" t="4445" r="9525" b="2286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6"/>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4"/>
      <w:bookmarkEnd w:id="35"/>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，年初结转结余</w:t>
      </w:r>
      <w:r>
        <w:rPr>
          <w:rFonts w:hint="eastAsia" w:ascii="仿宋" w:hAnsi="仿宋" w:eastAsia="仿宋"/>
          <w:color w:val="000000"/>
          <w:sz w:val="32"/>
          <w:szCs w:val="32"/>
          <w:lang w:val="en-US" w:eastAsia="zh-CN"/>
        </w:rPr>
        <w:t>2.47万元，</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305.69万元</w:t>
      </w:r>
      <w:r>
        <w:rPr>
          <w:rFonts w:hint="eastAsia" w:ascii="仿宋" w:hAnsi="仿宋" w:eastAsia="仿宋"/>
          <w:color w:val="000000"/>
          <w:sz w:val="32"/>
          <w:szCs w:val="32"/>
        </w:rPr>
        <w:t>。与2018年相比，收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总计各增加</w:t>
      </w:r>
      <w:r>
        <w:rPr>
          <w:rFonts w:hint="eastAsia" w:ascii="仿宋" w:hAnsi="仿宋" w:eastAsia="仿宋"/>
          <w:color w:val="000000"/>
          <w:sz w:val="32"/>
          <w:szCs w:val="32"/>
          <w:lang w:val="en-US" w:eastAsia="zh-CN"/>
        </w:rPr>
        <w:t>16.38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21.31万元。</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5.71</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7.49%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2019年新成立下属机构大数据中心，新增2名工作人员，各项费用增加。</w:t>
      </w:r>
    </w:p>
    <w:p>
      <w:pPr>
        <w:spacing w:line="600" w:lineRule="exact"/>
        <w:ind w:firstLine="640" w:firstLineChars="200"/>
        <w:rPr>
          <w:rFonts w:ascii="仿宋" w:hAnsi="仿宋" w:eastAsia="仿宋"/>
          <w:b/>
          <w:color w:val="00B050"/>
          <w:sz w:val="32"/>
          <w:szCs w:val="32"/>
        </w:rPr>
      </w:pPr>
      <w:r>
        <w:rPr>
          <w:rFonts w:hint="default" w:ascii="仿宋" w:hAnsi="仿宋" w:eastAsia="仿宋"/>
          <w:color w:val="000000"/>
          <w:sz w:val="32"/>
          <w:szCs w:val="32"/>
          <w:lang w:val="en-US" w:eastAsia="zh-CN"/>
        </w:rPr>
        <w:drawing>
          <wp:anchor distT="0" distB="0" distL="114300" distR="114300" simplePos="0" relativeHeight="251668480" behindDoc="0" locked="0" layoutInCell="1" allowOverlap="1">
            <wp:simplePos x="0" y="0"/>
            <wp:positionH relativeFrom="column">
              <wp:posOffset>490220</wp:posOffset>
            </wp:positionH>
            <wp:positionV relativeFrom="paragraph">
              <wp:posOffset>166370</wp:posOffset>
            </wp:positionV>
            <wp:extent cx="3889375" cy="2134235"/>
            <wp:effectExtent l="4445" t="4445" r="11430" b="1397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6"/>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305.69万元</w:t>
      </w:r>
      <w:r>
        <w:rPr>
          <w:rFonts w:hint="eastAsia" w:ascii="仿宋" w:hAnsi="仿宋" w:eastAsia="仿宋"/>
          <w:color w:val="000000"/>
          <w:sz w:val="32"/>
          <w:szCs w:val="32"/>
        </w:rPr>
        <w:t>，占本年支出合计的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21.31</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7.49%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2019年新成立下属机构大数据中心，新增2名工作人员，各项费用增加。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default" w:ascii="仿宋" w:hAnsi="仿宋" w:eastAsia="仿宋"/>
          <w:color w:val="000000"/>
          <w:sz w:val="32"/>
          <w:szCs w:val="32"/>
          <w:lang w:val="en-US" w:eastAsia="zh-CN"/>
        </w:rPr>
        <w:drawing>
          <wp:anchor distT="0" distB="0" distL="114300" distR="114300" simplePos="0" relativeHeight="251667456" behindDoc="0" locked="0" layoutInCell="1" allowOverlap="1">
            <wp:simplePos x="0" y="0"/>
            <wp:positionH relativeFrom="column">
              <wp:posOffset>690245</wp:posOffset>
            </wp:positionH>
            <wp:positionV relativeFrom="paragraph">
              <wp:posOffset>94615</wp:posOffset>
            </wp:positionV>
            <wp:extent cx="3889375" cy="2134235"/>
            <wp:effectExtent l="4445" t="4445" r="11430" b="1397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305.69</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245.86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80.43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29.25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9.57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12.87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4.21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17.71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5.79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9504" behindDoc="1" locked="0" layoutInCell="1" allowOverlap="1">
            <wp:simplePos x="0" y="0"/>
            <wp:positionH relativeFrom="column">
              <wp:posOffset>781685</wp:posOffset>
            </wp:positionH>
            <wp:positionV relativeFrom="paragraph">
              <wp:posOffset>23495</wp:posOffset>
            </wp:positionV>
            <wp:extent cx="4223385" cy="2620645"/>
            <wp:effectExtent l="4445" t="4445" r="20320" b="2286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444"/>
      <w:bookmarkStart w:id="42" w:name="_Toc15378460"/>
      <w:bookmarkStart w:id="43"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sz w:val="32"/>
          <w:szCs w:val="32"/>
          <w:lang w:val="en-US" w:eastAsia="zh-CN"/>
        </w:rPr>
        <w:t>305.69万元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1"/>
      <w:bookmarkEnd w:id="42"/>
      <w:bookmarkEnd w:id="43"/>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eastAsia="zh-CN"/>
        </w:rPr>
        <w:t>统计信息事务行政运行</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174.04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eastAsia="zh-CN"/>
        </w:rPr>
        <w:t>统计信息事务事业运行</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5.68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eastAsia="zh-CN"/>
        </w:rPr>
        <w:t>统计信息事务信息事务</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4.68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eastAsia="zh-CN"/>
        </w:rPr>
        <w:t>统计信息事务专项普查活动</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eastAsia="zh-CN"/>
        </w:rPr>
        <w:t>统计信息事务专项统计抽样调查</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21.46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000000"/>
          <w:sz w:val="32"/>
          <w:szCs w:val="32"/>
          <w:lang w:val="en-US" w:eastAsia="zh-CN"/>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社会保障和就业机关事业单位基本养老保险缴费支出</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19.97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社会保障和就业机关事业单位职业年金缴费支出</w:t>
      </w:r>
      <w:r>
        <w:rPr>
          <w:rStyle w:val="15"/>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9.28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行政事业单位医疗行政单位医疗</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9.53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行政单位医疗</w:t>
      </w:r>
      <w:r>
        <w:rPr>
          <w:rStyle w:val="15"/>
          <w:rFonts w:hint="eastAsia" w:ascii="仿宋" w:hAnsi="仿宋" w:eastAsia="仿宋"/>
          <w:bCs/>
          <w:color w:val="000000"/>
          <w:sz w:val="32"/>
          <w:szCs w:val="32"/>
          <w:lang w:eastAsia="zh-CN"/>
        </w:rPr>
        <w:t>事业单位医疗</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0.53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行政单位医</w:t>
      </w:r>
      <w:r>
        <w:rPr>
          <w:rFonts w:hint="eastAsia" w:ascii="仿宋" w:hAnsi="仿宋" w:eastAsia="仿宋"/>
          <w:b/>
          <w:bCs/>
          <w:color w:val="000000" w:themeColor="text1"/>
          <w:sz w:val="32"/>
          <w:szCs w:val="32"/>
          <w14:textFill>
            <w14:solidFill>
              <w14:schemeClr w14:val="tx1"/>
            </w14:solidFill>
          </w14:textFill>
        </w:rPr>
        <w:t>疗</w:t>
      </w:r>
      <w:r>
        <w:rPr>
          <w:rFonts w:hint="eastAsia" w:ascii="仿宋" w:hAnsi="仿宋" w:eastAsia="仿宋"/>
          <w:b/>
          <w:bCs/>
          <w:color w:val="000000" w:themeColor="text1"/>
          <w:sz w:val="32"/>
          <w:szCs w:val="32"/>
          <w:lang w:eastAsia="zh-CN"/>
          <w14:textFill>
            <w14:solidFill>
              <w14:schemeClr w14:val="tx1"/>
            </w14:solidFill>
          </w14:textFill>
        </w:rPr>
        <w:t>公务员医疗补助：</w:t>
      </w:r>
      <w:r>
        <w:rPr>
          <w:rStyle w:val="15"/>
          <w:rFonts w:hint="eastAsia" w:ascii="仿宋" w:hAnsi="仿宋" w:eastAsia="仿宋"/>
          <w:b w:val="0"/>
          <w:bCs/>
          <w:color w:val="000000"/>
          <w:sz w:val="32"/>
          <w:szCs w:val="32"/>
        </w:rPr>
        <w:t>支出决算</w:t>
      </w:r>
      <w:r>
        <w:rPr>
          <w:rStyle w:val="15"/>
          <w:rFonts w:hint="eastAsia" w:ascii="仿宋" w:hAnsi="仿宋" w:eastAsia="仿宋"/>
          <w:b w:val="0"/>
          <w:bCs/>
          <w:color w:val="000000"/>
          <w:sz w:val="32"/>
          <w:szCs w:val="32"/>
          <w:lang w:val="en-US" w:eastAsia="zh-CN"/>
        </w:rPr>
        <w:t>2.72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行政单位医</w:t>
      </w:r>
      <w:r>
        <w:rPr>
          <w:rFonts w:hint="eastAsia" w:ascii="仿宋" w:hAnsi="仿宋" w:eastAsia="仿宋"/>
          <w:b/>
          <w:bCs/>
          <w:color w:val="000000" w:themeColor="text1"/>
          <w:sz w:val="32"/>
          <w:szCs w:val="32"/>
          <w14:textFill>
            <w14:solidFill>
              <w14:schemeClr w14:val="tx1"/>
            </w14:solidFill>
          </w14:textFill>
        </w:rPr>
        <w:t>疗</w:t>
      </w:r>
      <w:r>
        <w:rPr>
          <w:rStyle w:val="15"/>
          <w:rFonts w:hint="eastAsia" w:ascii="仿宋" w:hAnsi="仿宋" w:eastAsia="仿宋"/>
          <w:bCs/>
          <w:color w:val="000000"/>
          <w:sz w:val="32"/>
          <w:szCs w:val="32"/>
          <w:lang w:val="en-US" w:eastAsia="zh-CN"/>
        </w:rPr>
        <w:t>其他行政事业单位医疗支出：</w:t>
      </w:r>
      <w:r>
        <w:rPr>
          <w:rStyle w:val="15"/>
          <w:rFonts w:hint="eastAsia" w:ascii="仿宋" w:hAnsi="仿宋" w:eastAsia="仿宋"/>
          <w:b w:val="0"/>
          <w:bCs/>
          <w:color w:val="000000"/>
          <w:sz w:val="32"/>
          <w:szCs w:val="32"/>
        </w:rPr>
        <w:t>支出决算</w:t>
      </w:r>
      <w:r>
        <w:rPr>
          <w:rStyle w:val="15"/>
          <w:rFonts w:hint="eastAsia" w:ascii="仿宋" w:hAnsi="仿宋" w:eastAsia="仿宋"/>
          <w:b w:val="0"/>
          <w:bCs/>
          <w:color w:val="000000"/>
          <w:sz w:val="32"/>
          <w:szCs w:val="32"/>
          <w:lang w:val="en-US" w:eastAsia="zh-CN"/>
        </w:rPr>
        <w:t>0.1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Fonts w:hint="eastAsia" w:ascii="仿宋" w:hAnsi="仿宋" w:eastAsia="仿宋"/>
          <w:b/>
          <w:bCs/>
          <w:color w:val="000000" w:themeColor="text1"/>
          <w:sz w:val="32"/>
          <w:szCs w:val="32"/>
          <w:lang w:eastAsia="zh-CN"/>
          <w14:textFill>
            <w14:solidFill>
              <w14:schemeClr w14:val="tx1"/>
            </w14:solidFill>
          </w14:textFill>
        </w:rPr>
        <w:t>住房保障支出住房公积金</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17.71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6"/>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4"/>
      <w:bookmarkEnd w:id="45"/>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239.55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226.71</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71.33万元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46.25万元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43.8万元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0.6万元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19.97万元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9.28万元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2.28万元</w:t>
      </w:r>
      <w:r>
        <w:rPr>
          <w:rFonts w:hint="eastAsia" w:ascii="仿宋" w:hAnsi="仿宋" w:eastAsia="仿宋"/>
          <w:color w:val="000000"/>
          <w:sz w:val="32"/>
          <w:szCs w:val="32"/>
        </w:rPr>
        <w:t>、职工基本医疗保险缴费</w:t>
      </w:r>
      <w:r>
        <w:rPr>
          <w:rFonts w:hint="eastAsia" w:ascii="仿宋" w:hAnsi="仿宋" w:eastAsia="仿宋"/>
          <w:color w:val="000000"/>
          <w:sz w:val="32"/>
          <w:szCs w:val="32"/>
          <w:lang w:val="en-US" w:eastAsia="zh-CN"/>
        </w:rPr>
        <w:t>10.06</w:t>
      </w:r>
      <w:r>
        <w:rPr>
          <w:rFonts w:hint="eastAsia" w:ascii="仿宋" w:hAnsi="仿宋" w:eastAsia="仿宋"/>
          <w:color w:val="000000"/>
          <w:sz w:val="32"/>
          <w:szCs w:val="32"/>
          <w:lang w:eastAsia="zh-CN"/>
        </w:rPr>
        <w:t>、公务员医疗补助缴费</w:t>
      </w:r>
      <w:r>
        <w:rPr>
          <w:rFonts w:hint="eastAsia" w:ascii="仿宋" w:hAnsi="仿宋" w:eastAsia="仿宋"/>
          <w:color w:val="000000"/>
          <w:sz w:val="32"/>
          <w:szCs w:val="32"/>
          <w:lang w:val="en-US" w:eastAsia="zh-CN"/>
        </w:rPr>
        <w:t>2.72万元、</w:t>
      </w:r>
      <w:r>
        <w:rPr>
          <w:rFonts w:hint="eastAsia" w:ascii="仿宋" w:hAnsi="仿宋" w:eastAsia="仿宋"/>
          <w:color w:val="000000"/>
          <w:sz w:val="32"/>
          <w:szCs w:val="32"/>
        </w:rPr>
        <w:t>、医疗费</w:t>
      </w:r>
      <w:r>
        <w:rPr>
          <w:rFonts w:hint="eastAsia" w:ascii="仿宋" w:hAnsi="仿宋" w:eastAsia="仿宋"/>
          <w:color w:val="000000"/>
          <w:sz w:val="32"/>
          <w:szCs w:val="32"/>
          <w:lang w:val="en-US" w:eastAsia="zh-CN"/>
        </w:rPr>
        <w:t>1.72、</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17.71</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val="en-US" w:eastAsia="zh-CN"/>
        </w:rPr>
        <w:t>1万元</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12.84</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2万元、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0.5万元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3万元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1.84万元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0.2万元</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4.3万元</w:t>
      </w:r>
      <w:r>
        <w:rPr>
          <w:rFonts w:hint="eastAsia" w:ascii="仿宋" w:hAnsi="仿宋" w:eastAsia="仿宋"/>
          <w:color w:val="000000"/>
          <w:sz w:val="32"/>
          <w:szCs w:val="32"/>
        </w:rPr>
        <w:t>。</w:t>
      </w:r>
    </w:p>
    <w:p>
      <w:pPr>
        <w:spacing w:line="600" w:lineRule="exact"/>
        <w:ind w:firstLine="640"/>
        <w:outlineLvl w:val="1"/>
        <w:rPr>
          <w:rStyle w:val="26"/>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4.3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9504" behindDoc="0" locked="0" layoutInCell="1" allowOverlap="1">
            <wp:simplePos x="0" y="0"/>
            <wp:positionH relativeFrom="column">
              <wp:posOffset>657860</wp:posOffset>
            </wp:positionH>
            <wp:positionV relativeFrom="paragraph">
              <wp:posOffset>89535</wp:posOffset>
            </wp:positionV>
            <wp:extent cx="4280535" cy="2448560"/>
            <wp:effectExtent l="4445" t="4445" r="20320" b="234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b/>
          <w:color w:val="000000"/>
          <w:sz w:val="32"/>
          <w:szCs w:val="32"/>
          <w:lang w:eastAsia="zh-CN"/>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4.44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厉行勤俭节约。</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开展两项收入下乡入户、畜禽监测、各专业下乡出差</w:t>
      </w:r>
      <w:r>
        <w:rPr>
          <w:rFonts w:hint="eastAsia" w:ascii="仿宋_GB2312" w:eastAsia="仿宋_GB2312"/>
          <w:color w:val="000000"/>
          <w:sz w:val="32"/>
          <w:szCs w:val="32"/>
        </w:rPr>
        <w:t>等所需的公务用车燃料费、维修费、过路过桥费、保险费等支出。</w:t>
      </w:r>
    </w:p>
    <w:p>
      <w:pPr>
        <w:spacing w:line="600" w:lineRule="exact"/>
        <w:ind w:firstLine="640" w:firstLineChars="200"/>
        <w:outlineLvl w:val="1"/>
        <w:rPr>
          <w:rStyle w:val="26"/>
          <w:rFonts w:ascii="黑体" w:hAnsi="黑体" w:eastAsia="黑体"/>
        </w:rPr>
      </w:pPr>
      <w:bookmarkStart w:id="50" w:name="_Toc15377218"/>
      <w:bookmarkStart w:id="51" w:name="_Toc1539661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我局无</w:t>
      </w:r>
      <w:r>
        <w:rPr>
          <w:rFonts w:hint="eastAsia" w:ascii="仿宋_GB2312" w:eastAsia="仿宋_GB2312"/>
          <w:color w:val="000000"/>
          <w:sz w:val="32"/>
          <w:szCs w:val="32"/>
        </w:rPr>
        <w:t>政府性基金预算拨款支出。</w:t>
      </w:r>
    </w:p>
    <w:p>
      <w:pPr>
        <w:numPr>
          <w:ilvl w:val="0"/>
          <w:numId w:val="3"/>
        </w:numPr>
        <w:spacing w:line="600" w:lineRule="exact"/>
        <w:ind w:firstLine="640"/>
        <w:outlineLvl w:val="1"/>
        <w:rPr>
          <w:rStyle w:val="26"/>
          <w:rFonts w:ascii="黑体" w:hAnsi="黑体" w:eastAsia="黑体"/>
          <w:b w:val="0"/>
        </w:rPr>
      </w:pPr>
      <w:bookmarkStart w:id="52" w:name="_Toc15377219"/>
      <w:bookmarkStart w:id="53" w:name="_Toc15396611"/>
      <w:r>
        <w:rPr>
          <w:rStyle w:val="26"/>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我局无</w:t>
      </w:r>
      <w:r>
        <w:rPr>
          <w:rFonts w:hint="eastAsia" w:ascii="仿宋_GB2312" w:eastAsia="仿宋_GB2312"/>
          <w:color w:val="000000"/>
          <w:sz w:val="32"/>
          <w:szCs w:val="32"/>
        </w:rPr>
        <w:t>国有资本经营预算拨款支出。</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hint="eastAsia" w:ascii="仿宋" w:hAnsi="仿宋" w:eastAsia="仿宋"/>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若尔盖县统计局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12.84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5.19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67.84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 w:hAnsi="仿宋" w:eastAsia="仿宋"/>
          <w:color w:val="000000"/>
          <w:sz w:val="32"/>
          <w:szCs w:val="32"/>
          <w:lang w:val="en-US" w:eastAsia="zh-CN"/>
        </w:rPr>
        <w:t>2019年新成立下属机构大数据中心，新增2名工作人员，各项费用增加。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我局无</w:t>
      </w:r>
      <w:r>
        <w:rPr>
          <w:rFonts w:hint="eastAsia" w:ascii="仿宋_GB2312" w:eastAsia="仿宋_GB2312"/>
          <w:color w:val="000000"/>
          <w:sz w:val="32"/>
          <w:szCs w:val="32"/>
        </w:rPr>
        <w:t>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若尔盖县统计局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hAnsi="仿宋_GB2312" w:eastAsia="仿宋_GB2312" w:cs="仿宋_GB2312"/>
          <w:sz w:val="32"/>
          <w:szCs w:val="32"/>
          <w:lang w:eastAsia="zh-CN"/>
        </w:rPr>
        <w:t>专项普查活动、统计抽样调查</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按要求对2019年部门整体支出开展绩效自评，从评价情况来看</w:t>
      </w:r>
      <w:r>
        <w:rPr>
          <w:rFonts w:hint="eastAsia" w:ascii="仿宋_GB2312" w:hAnsi="仿宋_GB2312" w:eastAsia="仿宋_GB2312" w:cs="仿宋_GB2312"/>
          <w:sz w:val="32"/>
          <w:szCs w:val="32"/>
          <w:lang w:eastAsia="zh-CN"/>
        </w:rPr>
        <w:t>利用项目经费，严格按照预算支付工作经费，以期完成年度各项统计工作。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2019年度本</w:t>
      </w:r>
      <w:r>
        <w:rPr>
          <w:rFonts w:hint="eastAsia" w:ascii="仿宋_GB2312" w:hAnsi="仿宋_GB2312" w:eastAsia="仿宋_GB2312" w:cs="仿宋_GB2312"/>
          <w:sz w:val="32"/>
          <w:szCs w:val="32"/>
          <w:lang w:eastAsia="zh-CN"/>
        </w:rPr>
        <w:t>单位无项目绩效管理。</w:t>
      </w: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若尔盖县统计局</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组织对项目绩效评价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9" w:name="_Toc15396613"/>
      <w:bookmarkStart w:id="60"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keepNext w:val="0"/>
        <w:keepLines w:val="0"/>
        <w:widowControl/>
        <w:suppressLineNumbers w:val="0"/>
        <w:ind w:firstLine="640" w:firstLineChars="200"/>
        <w:jc w:val="left"/>
        <w:rPr>
          <w:sz w:val="32"/>
          <w:szCs w:val="32"/>
        </w:rPr>
      </w:pPr>
      <w:r>
        <w:rPr>
          <w:rFonts w:ascii="仿宋_GB2312" w:hAnsi="宋体" w:eastAsia="仿宋_GB2312" w:cs="仿宋_GB2312"/>
          <w:color w:val="000000"/>
          <w:kern w:val="0"/>
          <w:sz w:val="32"/>
          <w:szCs w:val="32"/>
          <w:lang w:val="en-US" w:eastAsia="zh-CN" w:bidi="ar"/>
        </w:rPr>
        <w:t xml:space="preserve">1.财政拨款收入：指单位从同级财政部门取得的财政预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算资金。</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2.年初结转和结余：指以前年度尚未完成、结转到本年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按有关规定继续使用的资金。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3.年末结转和结余：指单位按有关规定结转到下年或以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后年度继续使用的资金。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4.结余分配：指事业单位按照事业单位会计制度的规定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从非财政补助结余中分配的事业基金和职工福利基金等。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5.一般公共服务：统计事务行政运行指反映行政单位的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基本支出；一般公共服务统计事务统计业务指反映各级统计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机构的统计、专项统计调查等方面的支出。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6.社会保障和就业：机关事业单位基本养老保险缴费支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出指机关事业单位实施养老保险制度由单位缴纳的基本养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老保险支出；机关事务单位职</w:t>
      </w:r>
      <w:bookmarkStart w:id="77" w:name="_GoBack"/>
      <w:bookmarkEnd w:id="77"/>
      <w:r>
        <w:rPr>
          <w:rFonts w:hint="eastAsia" w:ascii="仿宋_GB2312" w:hAnsi="宋体" w:eastAsia="仿宋_GB2312" w:cs="仿宋_GB2312"/>
          <w:color w:val="000000"/>
          <w:kern w:val="0"/>
          <w:sz w:val="32"/>
          <w:szCs w:val="32"/>
          <w:lang w:val="en-US" w:eastAsia="zh-CN" w:bidi="ar"/>
        </w:rPr>
        <w:t xml:space="preserve">业年金缴费支出指机关事业单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位实施养老保险制度由单位实际缴纳的职业年金支出。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7.医疗卫生与计划生育：指财政部门集中安排的行政单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位基本医疗保险缴费经费，未参加医疗保险的行政单位的公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费医疗经费，按国家规定享受离休人员、红军老战士待遇人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员的医疗经费。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8.住房保障：指行政事业单位按人力资源和社会保障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部、财政部规定的基本工资和津贴补贴以及规定比例为职工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缴纳的住房公积金。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9.基本支出：指为保障机构正常运转、完成日常工作任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务而发生的人员支出和公用支出。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10.项目支出：指在基本支出之外为完成特定行政任务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和事业发展目标所发生的支出。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11.“三公”经费：指部门用财政拨款安排的因公出国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（境）费、公务用车购置及运行费和公务接待费。其中，因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公出国（境）费反映单位公务出国（境）的国际旅费、国外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城市间交通费、住宿费、伙食费、培训费、公杂费等支出；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公务用车购置及运行费反映单位公务用车车辆购置支出（含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车辆购置税）及租用费、燃料费、维修费、过路过桥费、保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险费等支出；公务接待费反映单位按规定开支的各类公务接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待（含外宾接待）支出。 </w:t>
      </w:r>
    </w:p>
    <w:p>
      <w:pPr>
        <w:keepNext w:val="0"/>
        <w:keepLines w:val="0"/>
        <w:widowControl/>
        <w:suppressLineNumbers w:val="0"/>
        <w:ind w:firstLine="640" w:firstLineChars="200"/>
        <w:jc w:val="left"/>
        <w:rPr>
          <w:sz w:val="32"/>
          <w:szCs w:val="32"/>
        </w:rPr>
      </w:pPr>
      <w:r>
        <w:rPr>
          <w:rFonts w:hint="eastAsia" w:ascii="仿宋_GB2312" w:hAnsi="宋体" w:eastAsia="仿宋_GB2312" w:cs="仿宋_GB2312"/>
          <w:color w:val="000000"/>
          <w:kern w:val="0"/>
          <w:sz w:val="32"/>
          <w:szCs w:val="32"/>
          <w:lang w:val="en-US" w:eastAsia="zh-CN" w:bidi="ar"/>
        </w:rPr>
        <w:t xml:space="preserve">12.机关运行经费：为保障行政单位（含参照公务员法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管理的事业单位）运行用于购买货物和服务的各项资金，包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括办公及印刷费、邮电费、差旅费、会议费、福利费、日常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维修费、专用材料及一般设备购置费、办公用房水电费、办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 xml:space="preserve">公用房取暖费、办公用房物业管理费、公务用车运行维护费 </w:t>
      </w: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以及其他费用。</w:t>
      </w:r>
    </w:p>
    <w:p>
      <w:pPr>
        <w:spacing w:line="600" w:lineRule="exact"/>
        <w:jc w:val="center"/>
        <w:outlineLvl w:val="0"/>
        <w:rPr>
          <w:rStyle w:val="25"/>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若尔盖县统计局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napToGrid w:val="0"/>
        <w:spacing w:line="520" w:lineRule="exact"/>
        <w:ind w:firstLine="640" w:firstLineChars="200"/>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宋体" w:eastAsia="仿宋_GB2312" w:cs="宋体"/>
          <w:color w:val="000000"/>
          <w:kern w:val="0"/>
          <w:sz w:val="32"/>
          <w:szCs w:val="32"/>
          <w:shd w:val="clear" w:color="auto" w:fill="FFFFFF"/>
          <w:lang w:val="en-US" w:eastAsia="zh-CN"/>
        </w:rPr>
        <w:t>:</w:t>
      </w:r>
      <w:r>
        <w:rPr>
          <w:rFonts w:hint="eastAsia" w:ascii="仿宋_GB2312" w:hAnsi="仿宋" w:eastAsia="仿宋_GB2312"/>
          <w:sz w:val="32"/>
          <w:szCs w:val="32"/>
        </w:rPr>
        <w:t>部门独立核算机构为1个，机构编制数为1个。</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宋体" w:eastAsia="仿宋_GB2312" w:cs="宋体"/>
          <w:color w:val="000000"/>
          <w:kern w:val="0"/>
          <w:sz w:val="32"/>
          <w:szCs w:val="32"/>
          <w:shd w:val="clear" w:color="auto" w:fill="FFFFFF"/>
          <w:lang w:val="en-US" w:eastAsia="zh-CN"/>
        </w:rPr>
        <w:t>:</w:t>
      </w:r>
      <w:r>
        <w:rPr>
          <w:rFonts w:hint="eastAsia" w:ascii="仿宋_GB2312" w:hAnsi="仿宋" w:eastAsia="仿宋_GB2312"/>
          <w:sz w:val="32"/>
          <w:szCs w:val="32"/>
        </w:rPr>
        <w:t>若尔盖县统计局承担组织领导和协调全县统计工作，确保统计数据真实、准确、及时的责任；汇总、整理和提供有关国情国力方面的统计数据；组织实施基本统计数据。对国民经济、社会发展、科技进步和资源环境等情况进行统计分析、统计预测和统计监督，向党委、政府及有关部门提供统计信息和咨询建议；承办党委、政府交办的其他事项</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w:t>
      </w:r>
      <w:r>
        <w:rPr>
          <w:rFonts w:hint="eastAsia" w:ascii="仿宋_GB2312" w:hAnsi="宋体" w:eastAsia="仿宋_GB2312" w:cs="宋体"/>
          <w:color w:val="000000"/>
          <w:kern w:val="0"/>
          <w:sz w:val="32"/>
          <w:szCs w:val="32"/>
          <w:shd w:val="clear" w:color="auto" w:fill="FFFFFF"/>
          <w:lang w:val="en-US" w:eastAsia="zh-CN"/>
        </w:rPr>
        <w:t>:</w:t>
      </w:r>
      <w:r>
        <w:rPr>
          <w:rFonts w:hint="eastAsia" w:ascii="仿宋_GB2312" w:hAnsi="仿宋" w:eastAsia="仿宋_GB2312"/>
          <w:sz w:val="32"/>
          <w:szCs w:val="32"/>
        </w:rPr>
        <w:t>单位行政编制11人，行政工勤编制2人，本年度在职人员14人,其中行政5人，行政工勤1人，参公5人，参公工勤1人，事业人员2人。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outlineLvl w:val="1"/>
        <w:rPr>
          <w:rFonts w:ascii="仿宋" w:hAnsi="仿宋" w:eastAsia="仿宋"/>
          <w:color w:val="000000"/>
          <w:sz w:val="32"/>
          <w:szCs w:val="32"/>
        </w:rPr>
      </w:pPr>
      <w:r>
        <w:rPr>
          <w:rFonts w:hint="eastAsia" w:ascii="仿宋_GB2312" w:hAnsi="宋体" w:eastAsia="仿宋_GB2312" w:cs="宋体"/>
          <w:color w:val="000000"/>
          <w:kern w:val="0"/>
          <w:sz w:val="32"/>
          <w:szCs w:val="32"/>
          <w:shd w:val="clear" w:color="auto" w:fill="FFFFFF"/>
          <w:lang w:val="zh-CN"/>
        </w:rPr>
        <w:t>（一）部门财政资金收入情况。</w:t>
      </w: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303.22</w:t>
      </w:r>
      <w:r>
        <w:rPr>
          <w:rFonts w:hint="eastAsia" w:ascii="仿宋" w:hAnsi="仿宋" w:eastAsia="仿宋"/>
          <w:color w:val="000000"/>
          <w:sz w:val="32"/>
          <w:szCs w:val="32"/>
        </w:rPr>
        <w:t>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60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305.69万元</w:t>
      </w:r>
      <w:r>
        <w:rPr>
          <w:rFonts w:hint="eastAsia" w:ascii="仿宋" w:hAnsi="仿宋" w:eastAsia="仿宋"/>
          <w:color w:val="000000"/>
          <w:sz w:val="32"/>
          <w:szCs w:val="32"/>
        </w:rPr>
        <w:t>，占本年支出合计的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21.31</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7.49%</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2019年新成立下属机构大数据中心，新增2名工作人员，各项费用增加。</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2019年我局严格按照资金管理办法设置</w:t>
      </w:r>
      <w:r>
        <w:rPr>
          <w:rFonts w:hint="eastAsia" w:ascii="仿宋_GB2312" w:hAnsi="宋体" w:eastAsia="仿宋_GB2312" w:cs="宋体"/>
          <w:color w:val="000000"/>
          <w:kern w:val="0"/>
          <w:sz w:val="32"/>
          <w:szCs w:val="32"/>
          <w:shd w:val="clear" w:color="auto" w:fill="FFFFFF"/>
          <w:lang w:val="zh-CN"/>
        </w:rPr>
        <w:t>绩效目标，要求严格按照预算执行资金支出。截至</w:t>
      </w:r>
      <w:r>
        <w:rPr>
          <w:rFonts w:hint="eastAsia" w:ascii="仿宋_GB2312" w:hAnsi="宋体" w:eastAsia="仿宋_GB2312" w:cs="宋体"/>
          <w:color w:val="000000"/>
          <w:kern w:val="0"/>
          <w:sz w:val="32"/>
          <w:szCs w:val="32"/>
          <w:shd w:val="clear" w:color="auto" w:fill="FFFFFF"/>
          <w:lang w:val="en-US" w:eastAsia="zh-CN"/>
        </w:rPr>
        <w:t>2019年年底我单位实现</w:t>
      </w:r>
      <w:r>
        <w:rPr>
          <w:rFonts w:hint="eastAsia" w:ascii="仿宋_GB2312" w:hAnsi="宋体" w:eastAsia="仿宋_GB2312" w:cs="宋体"/>
          <w:color w:val="000000"/>
          <w:kern w:val="0"/>
          <w:sz w:val="32"/>
          <w:szCs w:val="32"/>
          <w:shd w:val="clear" w:color="auto" w:fill="FFFFFF"/>
          <w:lang w:val="zh-CN"/>
        </w:rPr>
        <w:t>预算资金支出率为</w:t>
      </w:r>
      <w:r>
        <w:rPr>
          <w:rFonts w:hint="eastAsia" w:ascii="仿宋_GB2312" w:hAnsi="宋体" w:eastAsia="仿宋_GB2312" w:cs="宋体"/>
          <w:color w:val="000000"/>
          <w:kern w:val="0"/>
          <w:sz w:val="32"/>
          <w:szCs w:val="32"/>
          <w:shd w:val="clear" w:color="auto" w:fill="FFFFFF"/>
          <w:lang w:val="en-US" w:eastAsia="zh-CN"/>
        </w:rPr>
        <w:t>100%，因为2019年度新成立大数据中心，有部分</w:t>
      </w:r>
      <w:r>
        <w:rPr>
          <w:rFonts w:hint="eastAsia" w:ascii="仿宋_GB2312" w:hAnsi="宋体" w:eastAsia="仿宋_GB2312" w:cs="宋体"/>
          <w:color w:val="000000"/>
          <w:kern w:val="0"/>
          <w:sz w:val="32"/>
          <w:szCs w:val="32"/>
          <w:shd w:val="clear" w:color="auto" w:fill="FFFFFF"/>
          <w:lang w:val="zh-CN"/>
        </w:rPr>
        <w:t>预算动态调整，执行进度</w:t>
      </w:r>
      <w:r>
        <w:rPr>
          <w:rFonts w:hint="eastAsia" w:ascii="仿宋_GB2312" w:hAnsi="宋体" w:eastAsia="仿宋_GB2312" w:cs="宋体"/>
          <w:color w:val="000000"/>
          <w:kern w:val="0"/>
          <w:sz w:val="32"/>
          <w:szCs w:val="32"/>
          <w:shd w:val="clear" w:color="auto" w:fill="FFFFFF"/>
          <w:lang w:val="en-US" w:eastAsia="zh-CN"/>
        </w:rPr>
        <w:t>较好</w:t>
      </w:r>
      <w:r>
        <w:rPr>
          <w:rFonts w:hint="eastAsia" w:ascii="仿宋_GB2312" w:hAnsi="宋体" w:eastAsia="仿宋_GB2312" w:cs="宋体"/>
          <w:color w:val="000000"/>
          <w:kern w:val="0"/>
          <w:sz w:val="32"/>
          <w:szCs w:val="32"/>
          <w:shd w:val="clear" w:color="auto" w:fill="FFFFFF"/>
          <w:lang w:val="zh-CN"/>
        </w:rPr>
        <w:t>、预算完成率为</w:t>
      </w:r>
      <w:r>
        <w:rPr>
          <w:rFonts w:hint="eastAsia" w:ascii="仿宋_GB2312" w:hAnsi="宋体" w:eastAsia="仿宋_GB2312" w:cs="宋体"/>
          <w:color w:val="000000"/>
          <w:kern w:val="0"/>
          <w:sz w:val="32"/>
          <w:szCs w:val="32"/>
          <w:shd w:val="clear" w:color="auto" w:fill="FFFFFF"/>
          <w:lang w:val="en-US" w:eastAsia="zh-CN"/>
        </w:rPr>
        <w:t>100%，我单位2019年度无</w:t>
      </w:r>
      <w:r>
        <w:rPr>
          <w:rFonts w:hint="eastAsia" w:ascii="仿宋_GB2312" w:hAnsi="宋体" w:eastAsia="仿宋_GB2312" w:cs="宋体"/>
          <w:color w:val="000000"/>
          <w:kern w:val="0"/>
          <w:sz w:val="32"/>
          <w:szCs w:val="32"/>
          <w:shd w:val="clear" w:color="auto" w:fill="FFFFFF"/>
          <w:lang w:val="zh-CN"/>
        </w:rPr>
        <w:t>违规记录。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严格按照相关程序公开绩效自评，及时处理评价结果反馈情况。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_GB2312" w:hAnsi="宋体" w:eastAsia="仿宋_GB2312" w:cs="宋体"/>
          <w:color w:val="000000"/>
          <w:kern w:val="0"/>
          <w:sz w:val="32"/>
          <w:szCs w:val="32"/>
          <w:shd w:val="clear" w:color="auto" w:fill="FFFFFF"/>
          <w:lang w:val="en-US" w:eastAsia="zh-CN"/>
        </w:rPr>
        <w:t>2019年度</w:t>
      </w:r>
      <w:r>
        <w:rPr>
          <w:rFonts w:hint="eastAsia" w:ascii="仿宋_GB2312" w:hAnsi="仿宋_GB2312" w:eastAsia="仿宋_GB2312" w:cs="仿宋_GB2312"/>
          <w:sz w:val="32"/>
          <w:szCs w:val="32"/>
          <w:lang w:eastAsia="zh-CN"/>
        </w:rPr>
        <w:t>我单位资金按要求实行绩效目标管理，涉及一般公共预算当年拨款</w:t>
      </w:r>
      <w:r>
        <w:rPr>
          <w:rFonts w:hint="eastAsia" w:ascii="仿宋_GB2312" w:hAnsi="仿宋_GB2312" w:eastAsia="仿宋_GB2312" w:cs="仿宋_GB2312"/>
          <w:sz w:val="32"/>
          <w:szCs w:val="32"/>
          <w:lang w:val="en-US" w:eastAsia="zh-CN"/>
        </w:rPr>
        <w:t>303.22</w:t>
      </w:r>
      <w:r>
        <w:rPr>
          <w:rFonts w:hint="eastAsia" w:ascii="仿宋_GB2312" w:hAnsi="仿宋_GB2312" w:eastAsia="仿宋_GB2312" w:cs="仿宋_GB2312"/>
          <w:sz w:val="32"/>
          <w:szCs w:val="32"/>
          <w:lang w:eastAsia="zh-CN"/>
        </w:rPr>
        <w:t>万元，已完成全部支出</w:t>
      </w:r>
      <w:r>
        <w:rPr>
          <w:rFonts w:hint="eastAsia" w:ascii="仿宋_GB2312" w:hAnsi="仿宋_GB2312" w:eastAsia="仿宋_GB2312" w:cs="仿宋_GB2312"/>
          <w:sz w:val="32"/>
          <w:szCs w:val="32"/>
          <w:lang w:val="en-US" w:eastAsia="zh-CN"/>
        </w:rPr>
        <w:t>，主要用于人员经费、公用经费等，对统计专项工作发挥了很好的作用，自评结果较好。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（二）存在问题。部分资金支出进度较慢。</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（三）改进建议。加快所有资金支出进度，建立完善的监督制度。</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63"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7"/>
    </w:p>
    <w:p>
      <w:pPr>
        <w:pStyle w:val="3"/>
        <w:rPr>
          <w:rStyle w:val="26"/>
          <w:rFonts w:ascii="仿宋" w:hAnsi="仿宋" w:eastAsia="仿宋"/>
          <w:b w:val="0"/>
          <w:bCs w:val="0"/>
        </w:rPr>
      </w:pPr>
      <w:bookmarkStart w:id="68"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14:textFill>
            <w14:solidFill>
              <w14:schemeClr w14:val="tx1"/>
            </w14:solidFill>
          </w14:textFill>
        </w:rPr>
      </w:pPr>
      <w:bookmarkStart w:id="76"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3A376F"/>
    <w:rsid w:val="10C055FF"/>
    <w:rsid w:val="130B04AC"/>
    <w:rsid w:val="16BB723D"/>
    <w:rsid w:val="1F1D461D"/>
    <w:rsid w:val="240371BF"/>
    <w:rsid w:val="2762484A"/>
    <w:rsid w:val="29FD04D3"/>
    <w:rsid w:val="2C0F59E9"/>
    <w:rsid w:val="319F7F4E"/>
    <w:rsid w:val="33361E0A"/>
    <w:rsid w:val="4ECE2238"/>
    <w:rsid w:val="50025831"/>
    <w:rsid w:val="563A7384"/>
    <w:rsid w:val="643A2FB6"/>
    <w:rsid w:val="6DCA0F90"/>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footnote text"/>
    <w:basedOn w:val="1"/>
    <w:semiHidden/>
    <w:qFormat/>
    <w:uiPriority w:val="0"/>
    <w:pPr>
      <w:snapToGrid w:val="0"/>
      <w:jc w:val="left"/>
    </w:pPr>
    <w:rPr>
      <w:sz w:val="18"/>
      <w:szCs w:val="1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Sheet1!$A$2:$A$5</c:f>
              <c:strCache>
                <c:ptCount val="4"/>
                <c:pt idx="0">
                  <c:v>收入</c:v>
                </c:pt>
                <c:pt idx="1">
                  <c:v>支出</c:v>
                </c:pt>
              </c:strCache>
            </c:strRef>
          </c:cat>
          <c:val>
            <c:numRef>
              <c:f>Sheet1!$B$2:$B$5</c:f>
              <c:numCache>
                <c:formatCode>General</c:formatCode>
                <c:ptCount val="4"/>
                <c:pt idx="0">
                  <c:v>303.22</c:v>
                </c:pt>
                <c:pt idx="1">
                  <c:v>305.69</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Sheet1!$A$2:$A$5</c:f>
              <c:strCache>
                <c:ptCount val="4"/>
                <c:pt idx="0">
                  <c:v>收入</c:v>
                </c:pt>
                <c:pt idx="1">
                  <c:v>支出</c:v>
                </c:pt>
              </c:strCache>
            </c:strRef>
          </c:cat>
          <c:val>
            <c:numRef>
              <c:f>Sheet1!$C$2:$C$5</c:f>
              <c:numCache>
                <c:formatCode>General</c:formatCode>
                <c:ptCount val="4"/>
                <c:pt idx="0">
                  <c:v>286.84</c:v>
                </c:pt>
                <c:pt idx="1">
                  <c:v>284.38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92397415"/>
        <c:axId val="739891071"/>
      </c:barChart>
      <c:catAx>
        <c:axId val="6923974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891071"/>
        <c:crosses val="autoZero"/>
        <c:auto val="1"/>
        <c:lblAlgn val="ctr"/>
        <c:lblOffset val="100"/>
        <c:noMultiLvlLbl val="0"/>
      </c:catAx>
      <c:valAx>
        <c:axId val="739891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397415"/>
        <c:crosses val="autoZero"/>
        <c:crossBetween val="between"/>
      </c:valAx>
      <c:spPr>
        <a:noFill/>
        <a:ln>
          <a:noFill/>
        </a:ln>
        <a:effectLst/>
      </c:spPr>
    </c:plotArea>
    <c:legend>
      <c:legendPos val="b"/>
      <c:legendEntry>
        <c:idx val="2"/>
        <c:delete val="1"/>
      </c:legendEntry>
      <c:layout>
        <c:manualLayout>
          <c:xMode val="edge"/>
          <c:yMode val="edge"/>
          <c:x val="0.319591836734694"/>
          <c:y val="0.8601606664683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manualLayout>
          <c:layoutTarget val="inner"/>
          <c:xMode val="edge"/>
          <c:yMode val="edge"/>
          <c:x val="0.341817186644773"/>
          <c:y val="0.189363817097416"/>
          <c:w val="0.32183908045977"/>
          <c:h val="0.438369781312127"/>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Sheet1!$B$2:$B$5</c:f>
              <c:numCache>
                <c:formatCode>General</c:formatCode>
                <c:ptCount val="4"/>
                <c:pt idx="0">
                  <c:v>303.22</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239.55</c:v>
                </c:pt>
                <c:pt idx="1">
                  <c:v>66.14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Sheet1!$A$2:$A$5</c:f>
              <c:strCache>
                <c:ptCount val="4"/>
                <c:pt idx="0">
                  <c:v>收入</c:v>
                </c:pt>
                <c:pt idx="1">
                  <c:v>支出</c:v>
                </c:pt>
              </c:strCache>
            </c:strRef>
          </c:cat>
          <c:val>
            <c:numRef>
              <c:f>Sheet1!$B$2:$B$5</c:f>
              <c:numCache>
                <c:formatCode>General</c:formatCode>
                <c:ptCount val="4"/>
                <c:pt idx="0">
                  <c:v>303.22</c:v>
                </c:pt>
                <c:pt idx="1">
                  <c:v>305.69</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Sheet1!$A$2:$A$5</c:f>
              <c:strCache>
                <c:ptCount val="4"/>
                <c:pt idx="0">
                  <c:v>收入</c:v>
                </c:pt>
                <c:pt idx="1">
                  <c:v>支出</c:v>
                </c:pt>
              </c:strCache>
            </c:strRef>
          </c:cat>
          <c:val>
            <c:numRef>
              <c:f>Sheet1!$C$2:$C$5</c:f>
              <c:numCache>
                <c:formatCode>General</c:formatCode>
                <c:ptCount val="4"/>
                <c:pt idx="0">
                  <c:v>286.84</c:v>
                </c:pt>
                <c:pt idx="1">
                  <c:v>284.38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92397415"/>
        <c:axId val="739891071"/>
      </c:barChart>
      <c:catAx>
        <c:axId val="6923974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891071"/>
        <c:crosses val="autoZero"/>
        <c:auto val="1"/>
        <c:lblAlgn val="ctr"/>
        <c:lblOffset val="100"/>
        <c:noMultiLvlLbl val="0"/>
      </c:catAx>
      <c:valAx>
        <c:axId val="739891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397415"/>
        <c:crosses val="autoZero"/>
        <c:crossBetween val="between"/>
      </c:valAx>
      <c:spPr>
        <a:noFill/>
        <a:ln>
          <a:noFill/>
        </a:ln>
        <a:effectLst/>
      </c:spPr>
    </c:plotArea>
    <c:legend>
      <c:legendPos val="b"/>
      <c:legendEntry>
        <c:idx val="2"/>
        <c:delete val="1"/>
      </c:legendEntry>
      <c:layout>
        <c:manualLayout>
          <c:xMode val="edge"/>
          <c:yMode val="edge"/>
          <c:x val="0.319591836734694"/>
          <c:y val="0.8601606664683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Sheet1!$A$2:$A$4</c:f>
              <c:strCache>
                <c:ptCount val="3"/>
                <c:pt idx="0">
                  <c:v>支出</c:v>
                </c:pt>
              </c:strCache>
            </c:strRef>
          </c:cat>
          <c:val>
            <c:numRef>
              <c:f>Sheet1!$B$2:$B$4</c:f>
              <c:numCache>
                <c:formatCode>General</c:formatCode>
                <c:ptCount val="3"/>
                <c:pt idx="0">
                  <c:v>305.69</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Sheet1!$A$2:$A$4</c:f>
              <c:strCache>
                <c:ptCount val="3"/>
                <c:pt idx="0">
                  <c:v>支出</c:v>
                </c:pt>
              </c:strCache>
            </c:strRef>
          </c:cat>
          <c:val>
            <c:numRef>
              <c:f>Sheet1!$C$2:$C$4</c:f>
              <c:numCache>
                <c:formatCode>General</c:formatCode>
                <c:ptCount val="3"/>
                <c:pt idx="0">
                  <c:v>284.38</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Sheet1!$A$2:$A$4</c:f>
              <c:strCache>
                <c:ptCount val="3"/>
                <c:pt idx="0">
                  <c:v>支出</c:v>
                </c:pt>
              </c:strCache>
            </c:strRef>
          </c:cat>
          <c:val>
            <c:numRef>
              <c:f>Sheet1!$D$2:$D$4</c:f>
              <c:numCache>
                <c:formatCode>General</c:formatCode>
                <c:ptCount val="3"/>
              </c:numCache>
            </c:numRef>
          </c:val>
        </c:ser>
        <c:dLbls>
          <c:showLegendKey val="0"/>
          <c:showVal val="0"/>
          <c:showCatName val="0"/>
          <c:showSerName val="0"/>
          <c:showPercent val="0"/>
          <c:showBubbleSize val="0"/>
        </c:dLbls>
        <c:gapWidth val="219"/>
        <c:overlap val="-27"/>
        <c:axId val="692397415"/>
        <c:axId val="739891071"/>
      </c:barChart>
      <c:catAx>
        <c:axId val="6923974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891071"/>
        <c:crosses val="autoZero"/>
        <c:auto val="1"/>
        <c:lblAlgn val="ctr"/>
        <c:lblOffset val="100"/>
        <c:noMultiLvlLbl val="0"/>
      </c:catAx>
      <c:valAx>
        <c:axId val="739891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397415"/>
        <c:crosses val="autoZero"/>
        <c:crossBetween val="between"/>
      </c:valAx>
      <c:spPr>
        <a:noFill/>
        <a:ln>
          <a:noFill/>
        </a:ln>
        <a:effectLst/>
      </c:spPr>
    </c:plotArea>
    <c:legend>
      <c:legendPos val="b"/>
      <c:legendEntry>
        <c:idx val="2"/>
        <c:delete val="1"/>
      </c:legendEntry>
      <c:layout>
        <c:manualLayout>
          <c:xMode val="edge"/>
          <c:yMode val="edge"/>
          <c:x val="0.319591836734694"/>
          <c:y val="0.8601606664683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245.86</c:v>
                </c:pt>
                <c:pt idx="1">
                  <c:v>29.25</c:v>
                </c:pt>
                <c:pt idx="2">
                  <c:v>12.87</c:v>
                </c:pt>
                <c:pt idx="3">
                  <c:v>17.71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因公出国（境）费支出决算</c:v>
                </c:pt>
                <c:pt idx="1">
                  <c:v>公务用车购置及运行维护费</c:v>
                </c:pt>
                <c:pt idx="2">
                  <c:v>公务接待费</c:v>
                </c:pt>
              </c:strCache>
            </c:strRef>
          </c:cat>
          <c:val>
            <c:numRef>
              <c:f>Sheet1!$B$2:$B$4</c:f>
              <c:numCache>
                <c:formatCode>General</c:formatCode>
                <c:ptCount val="3"/>
                <c:pt idx="0">
                  <c:v>0</c:v>
                </c:pt>
                <c:pt idx="1">
                  <c:v>4.3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2</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2020-10-27T06:39:57Z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