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A1A314">
      <w:pPr>
        <w:ind w:firstLine="1320" w:firstLineChars="300"/>
        <w:rPr>
          <w:rFonts w:ascii="黑体" w:hAnsi="黑体" w:eastAsia="黑体"/>
          <w:sz w:val="44"/>
          <w:szCs w:val="44"/>
        </w:rPr>
      </w:pPr>
      <w:r>
        <w:rPr>
          <w:rFonts w:hint="eastAsia" w:ascii="黑体" w:hAnsi="黑体" w:eastAsia="黑体" w:cs="黑体"/>
          <w:sz w:val="44"/>
          <w:szCs w:val="44"/>
        </w:rPr>
        <w:t>若尔盖县经济商务和信息化局</w:t>
      </w:r>
    </w:p>
    <w:p w14:paraId="5F77F9DE">
      <w:pPr>
        <w:jc w:val="center"/>
        <w:rPr>
          <w:rFonts w:ascii="黑体" w:hAnsi="黑体" w:eastAsia="黑体"/>
          <w:sz w:val="44"/>
          <w:szCs w:val="44"/>
        </w:rPr>
      </w:pPr>
      <w:r>
        <w:rPr>
          <w:rFonts w:ascii="黑体" w:hAnsi="黑体" w:eastAsia="黑体" w:cs="黑体"/>
          <w:sz w:val="44"/>
          <w:szCs w:val="44"/>
        </w:rPr>
        <w:t>202</w:t>
      </w:r>
      <w:r>
        <w:rPr>
          <w:rFonts w:hint="eastAsia" w:ascii="黑体" w:hAnsi="黑体" w:eastAsia="黑体" w:cs="黑体"/>
          <w:sz w:val="44"/>
          <w:szCs w:val="44"/>
        </w:rPr>
        <w:t>6年部门预算（汇总）</w:t>
      </w:r>
    </w:p>
    <w:p w14:paraId="260D1DF3">
      <w:pPr>
        <w:ind w:firstLine="1760" w:firstLineChars="400"/>
        <w:jc w:val="center"/>
        <w:rPr>
          <w:rFonts w:ascii="黑体" w:hAnsi="黑体" w:eastAsia="黑体"/>
          <w:sz w:val="44"/>
          <w:szCs w:val="44"/>
        </w:rPr>
      </w:pPr>
    </w:p>
    <w:p w14:paraId="4A9954FB">
      <w:pPr>
        <w:ind w:firstLine="1760" w:firstLineChars="400"/>
        <w:jc w:val="center"/>
        <w:rPr>
          <w:rFonts w:ascii="黑体" w:hAnsi="黑体" w:eastAsia="黑体"/>
          <w:sz w:val="44"/>
          <w:szCs w:val="44"/>
        </w:rPr>
      </w:pPr>
    </w:p>
    <w:p w14:paraId="0F5FC928">
      <w:pPr>
        <w:ind w:firstLine="1760" w:firstLineChars="400"/>
        <w:rPr>
          <w:rFonts w:ascii="黑体" w:hAnsi="黑体" w:eastAsia="黑体"/>
          <w:sz w:val="44"/>
          <w:szCs w:val="44"/>
        </w:rPr>
      </w:pPr>
    </w:p>
    <w:p w14:paraId="6A6325C8">
      <w:pPr>
        <w:ind w:firstLine="1760" w:firstLineChars="400"/>
        <w:rPr>
          <w:rFonts w:ascii="黑体" w:hAnsi="黑体" w:eastAsia="黑体"/>
          <w:sz w:val="44"/>
          <w:szCs w:val="44"/>
        </w:rPr>
      </w:pPr>
    </w:p>
    <w:p w14:paraId="3560596A">
      <w:pPr>
        <w:ind w:firstLine="1760" w:firstLineChars="400"/>
        <w:rPr>
          <w:rFonts w:ascii="黑体" w:hAnsi="黑体" w:eastAsia="黑体"/>
          <w:sz w:val="44"/>
          <w:szCs w:val="44"/>
        </w:rPr>
      </w:pPr>
    </w:p>
    <w:p w14:paraId="361B203D">
      <w:pPr>
        <w:ind w:firstLine="1760" w:firstLineChars="400"/>
        <w:rPr>
          <w:rFonts w:ascii="黑体" w:hAnsi="黑体" w:eastAsia="黑体"/>
          <w:sz w:val="44"/>
          <w:szCs w:val="44"/>
        </w:rPr>
      </w:pPr>
    </w:p>
    <w:p w14:paraId="4C31D012">
      <w:pPr>
        <w:ind w:firstLine="1760" w:firstLineChars="400"/>
        <w:rPr>
          <w:rFonts w:ascii="黑体" w:hAnsi="黑体" w:eastAsia="黑体"/>
          <w:sz w:val="44"/>
          <w:szCs w:val="44"/>
        </w:rPr>
      </w:pPr>
    </w:p>
    <w:p w14:paraId="1FFB3181">
      <w:pPr>
        <w:ind w:firstLine="1760" w:firstLineChars="400"/>
        <w:rPr>
          <w:rFonts w:ascii="黑体" w:hAnsi="黑体" w:eastAsia="黑体"/>
          <w:sz w:val="44"/>
          <w:szCs w:val="44"/>
        </w:rPr>
      </w:pPr>
    </w:p>
    <w:p w14:paraId="678F40BC">
      <w:pPr>
        <w:ind w:firstLine="2560" w:firstLineChars="800"/>
        <w:rPr>
          <w:rFonts w:ascii="黑体" w:hAnsi="黑体" w:eastAsia="黑体" w:cs="黑体"/>
          <w:sz w:val="32"/>
          <w:szCs w:val="32"/>
        </w:rPr>
      </w:pPr>
    </w:p>
    <w:p w14:paraId="13468C4C">
      <w:pPr>
        <w:ind w:firstLine="2560" w:firstLineChars="800"/>
        <w:rPr>
          <w:rFonts w:ascii="黑体" w:hAnsi="黑体" w:eastAsia="黑体" w:cs="黑体"/>
          <w:sz w:val="32"/>
          <w:szCs w:val="32"/>
        </w:rPr>
      </w:pPr>
    </w:p>
    <w:p w14:paraId="192FF791">
      <w:pPr>
        <w:ind w:firstLine="2560" w:firstLineChars="800"/>
        <w:rPr>
          <w:rFonts w:ascii="黑体" w:hAnsi="黑体" w:eastAsia="黑体" w:cs="黑体"/>
          <w:sz w:val="32"/>
          <w:szCs w:val="32"/>
        </w:rPr>
      </w:pPr>
    </w:p>
    <w:p w14:paraId="391CDC7F">
      <w:pPr>
        <w:ind w:firstLine="2560" w:firstLineChars="800"/>
        <w:rPr>
          <w:rFonts w:ascii="黑体" w:hAnsi="黑体" w:eastAsia="黑体"/>
          <w:sz w:val="32"/>
          <w:szCs w:val="32"/>
        </w:rPr>
      </w:pPr>
      <w:r>
        <w:rPr>
          <w:rFonts w:ascii="黑体" w:hAnsi="黑体" w:eastAsia="黑体" w:cs="黑体"/>
          <w:sz w:val="32"/>
          <w:szCs w:val="32"/>
        </w:rPr>
        <w:t>202</w:t>
      </w:r>
      <w:r>
        <w:rPr>
          <w:rFonts w:hint="eastAsia" w:ascii="黑体" w:hAnsi="黑体" w:eastAsia="黑体" w:cs="黑体"/>
          <w:sz w:val="32"/>
          <w:szCs w:val="32"/>
        </w:rPr>
        <w:t>6年</w:t>
      </w:r>
      <w:r>
        <w:rPr>
          <w:rFonts w:ascii="黑体" w:hAnsi="黑体" w:eastAsia="黑体" w:cs="黑体"/>
          <w:sz w:val="32"/>
          <w:szCs w:val="32"/>
        </w:rPr>
        <w:t xml:space="preserve"> 01 </w:t>
      </w:r>
      <w:r>
        <w:rPr>
          <w:rFonts w:hint="eastAsia" w:ascii="黑体" w:hAnsi="黑体" w:eastAsia="黑体" w:cs="黑体"/>
          <w:sz w:val="32"/>
          <w:szCs w:val="32"/>
        </w:rPr>
        <w:t>月</w:t>
      </w:r>
      <w:r>
        <w:rPr>
          <w:rFonts w:ascii="黑体" w:hAnsi="黑体" w:eastAsia="黑体" w:cs="黑体"/>
          <w:sz w:val="32"/>
          <w:szCs w:val="32"/>
        </w:rPr>
        <w:t xml:space="preserve"> </w:t>
      </w:r>
      <w:r>
        <w:rPr>
          <w:rFonts w:hint="eastAsia" w:ascii="黑体" w:hAnsi="黑体" w:eastAsia="黑体" w:cs="黑体"/>
          <w:sz w:val="32"/>
          <w:szCs w:val="32"/>
        </w:rPr>
        <w:t>28日</w:t>
      </w:r>
    </w:p>
    <w:p w14:paraId="512CF6E0">
      <w:pPr>
        <w:ind w:firstLine="3120" w:firstLineChars="600"/>
        <w:rPr>
          <w:rFonts w:ascii="黑体" w:hAnsi="黑体" w:eastAsia="黑体"/>
          <w:sz w:val="52"/>
          <w:szCs w:val="52"/>
        </w:rPr>
      </w:pPr>
    </w:p>
    <w:p w14:paraId="225EEEA2">
      <w:pPr>
        <w:rPr>
          <w:rFonts w:ascii="黑体" w:hAnsi="黑体" w:eastAsia="黑体"/>
          <w:sz w:val="52"/>
          <w:szCs w:val="52"/>
        </w:rPr>
      </w:pPr>
    </w:p>
    <w:p w14:paraId="2D327204">
      <w:pPr>
        <w:pStyle w:val="6"/>
        <w:ind w:left="0" w:leftChars="0" w:firstLine="0" w:firstLineChars="0"/>
        <w:rPr>
          <w:rFonts w:ascii="黑体" w:hAnsi="黑体" w:eastAsia="黑体" w:cs="Times New Roman"/>
          <w:sz w:val="52"/>
          <w:szCs w:val="52"/>
        </w:rPr>
      </w:pPr>
    </w:p>
    <w:p w14:paraId="3D89661B">
      <w:pPr>
        <w:rPr>
          <w:rFonts w:ascii="黑体" w:hAnsi="黑体" w:eastAsia="黑体" w:cs="黑体"/>
          <w:sz w:val="52"/>
          <w:szCs w:val="52"/>
        </w:rPr>
      </w:pPr>
    </w:p>
    <w:p w14:paraId="5814E617">
      <w:pPr>
        <w:jc w:val="center"/>
        <w:rPr>
          <w:rFonts w:ascii="黑体" w:hAnsi="黑体" w:eastAsia="黑体"/>
          <w:sz w:val="44"/>
          <w:szCs w:val="44"/>
        </w:rPr>
      </w:pPr>
      <w:r>
        <w:rPr>
          <w:rFonts w:hint="eastAsia" w:ascii="黑体" w:hAnsi="黑体" w:eastAsia="黑体" w:cs="黑体"/>
          <w:sz w:val="52"/>
          <w:szCs w:val="52"/>
        </w:rPr>
        <w:t>目录</w:t>
      </w:r>
    </w:p>
    <w:p w14:paraId="36D4E237">
      <w:pPr>
        <w:pStyle w:val="10"/>
        <w:numPr>
          <w:ilvl w:val="0"/>
          <w:numId w:val="1"/>
        </w:numPr>
        <w:ind w:firstLineChars="0"/>
        <w:rPr>
          <w:rFonts w:ascii="黑体" w:hAnsi="黑体" w:eastAsia="黑体"/>
          <w:sz w:val="32"/>
          <w:szCs w:val="32"/>
        </w:rPr>
      </w:pPr>
      <w:r>
        <w:rPr>
          <w:rFonts w:hint="eastAsia" w:ascii="黑体" w:hAnsi="黑体" w:eastAsia="黑体" w:cs="黑体"/>
          <w:sz w:val="32"/>
          <w:szCs w:val="32"/>
        </w:rPr>
        <w:t>基本职能及主要工作</w:t>
      </w:r>
    </w:p>
    <w:p w14:paraId="6E687141">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（一）部门职能简介</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1</w:t>
      </w:r>
    </w:p>
    <w:p w14:paraId="5F7E1614">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（二）</w:t>
      </w:r>
      <w:r>
        <w:rPr>
          <w:rFonts w:ascii="仿宋_GB2312" w:hAnsi="黑体" w:eastAsia="仿宋_GB2312" w:cs="仿宋_GB2312"/>
          <w:sz w:val="32"/>
          <w:szCs w:val="32"/>
        </w:rPr>
        <w:t>202</w:t>
      </w:r>
      <w:r>
        <w:rPr>
          <w:rFonts w:hint="eastAsia" w:ascii="仿宋_GB2312" w:hAnsi="黑体" w:eastAsia="仿宋_GB2312" w:cs="仿宋_GB2312"/>
          <w:sz w:val="32"/>
          <w:szCs w:val="32"/>
        </w:rPr>
        <w:t>6年重点工作</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3</w:t>
      </w:r>
    </w:p>
    <w:p w14:paraId="4D777EDE">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二、部门预算单位构成</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3</w:t>
      </w:r>
    </w:p>
    <w:p w14:paraId="05D55D03">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三、收支预算情况说明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4</w:t>
      </w:r>
    </w:p>
    <w:p w14:paraId="024B2E94">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黑体" w:hAnsi="黑体" w:eastAsia="黑体" w:cs="黑体"/>
          <w:sz w:val="32"/>
          <w:szCs w:val="32"/>
        </w:rPr>
        <w:t>（</w:t>
      </w:r>
      <w:r>
        <w:rPr>
          <w:rFonts w:hint="eastAsia" w:ascii="仿宋_GB2312" w:hAnsi="黑体" w:eastAsia="仿宋_GB2312" w:cs="仿宋_GB2312"/>
          <w:sz w:val="32"/>
          <w:szCs w:val="32"/>
        </w:rPr>
        <w:t>一）收入预算情况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4</w:t>
      </w:r>
    </w:p>
    <w:p w14:paraId="6A0CFA6A">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（二）支出预算情况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4</w:t>
      </w:r>
    </w:p>
    <w:p w14:paraId="25B81952">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四、财政拨款收支预算情况说明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4</w:t>
      </w:r>
    </w:p>
    <w:p w14:paraId="717F81B2">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五、一般公共预算当年拨款情况说明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5</w:t>
      </w:r>
    </w:p>
    <w:p w14:paraId="25C4E254">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（一）一般公共预算当年拨款规模变化情况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5</w:t>
      </w:r>
    </w:p>
    <w:p w14:paraId="7DBDBB3A">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（二）一般公共预算当年拨款结构情况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6</w:t>
      </w:r>
    </w:p>
    <w:p w14:paraId="04A94776">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（三）一般公共预算当年拨款具体使用情况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6</w:t>
      </w:r>
    </w:p>
    <w:p w14:paraId="03721751">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六、一般公共预算基本支出情况说明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6</w:t>
      </w:r>
    </w:p>
    <w:p w14:paraId="4C4B93EE">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hint="eastAsia" w:ascii="仿宋_GB2312" w:hAnsi="黑体" w:eastAsia="仿宋_GB2312" w:cs="仿宋_GB2312"/>
          <w:sz w:val="32"/>
          <w:szCs w:val="32"/>
        </w:rPr>
      </w:pPr>
      <w:r>
        <w:rPr>
          <w:rFonts w:hint="eastAsia" w:ascii="黑体" w:hAnsi="黑体" w:eastAsia="黑体" w:cs="黑体"/>
          <w:sz w:val="32"/>
          <w:szCs w:val="32"/>
        </w:rPr>
        <w:t>七、“三公”经费财政拨款预算安排情况说明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6</w:t>
      </w:r>
    </w:p>
    <w:p w14:paraId="58DD327C">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八、政府性基金预算支出情况说明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6</w:t>
      </w:r>
    </w:p>
    <w:p w14:paraId="40E6431F">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九、国有资本经营预算支出情况说明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7</w:t>
      </w:r>
    </w:p>
    <w:p w14:paraId="3DDA39E8">
      <w:pPr>
        <w:keepNext w:val="0"/>
        <w:keepLines w:val="0"/>
        <w:pageBreakBefore w:val="0"/>
        <w:widowControl w:val="0"/>
        <w:tabs>
          <w:tab w:val="right" w:leader="dot" w:pos="7560"/>
        </w:tabs>
        <w:kinsoku/>
        <w:wordWrap/>
        <w:overflowPunct/>
        <w:topLinePunct w:val="0"/>
        <w:autoSpaceDE/>
        <w:autoSpaceDN/>
        <w:bidi w:val="0"/>
        <w:adjustRightInd/>
        <w:snapToGrid/>
        <w:textAlignment w:val="auto"/>
        <w:rPr>
          <w:rFonts w:ascii="黑体" w:hAnsi="黑体" w:eastAsia="黑体" w:cs="黑体"/>
          <w:sz w:val="32"/>
          <w:szCs w:val="32"/>
        </w:rPr>
      </w:pPr>
      <w:r>
        <w:rPr>
          <w:rFonts w:hint="eastAsia" w:ascii="黑体" w:hAnsi="黑体" w:eastAsia="黑体" w:cs="黑体"/>
          <w:sz w:val="32"/>
          <w:szCs w:val="32"/>
        </w:rPr>
        <w:t>十、其他重要事项的情况说明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7</w:t>
      </w:r>
    </w:p>
    <w:p w14:paraId="6C065159">
      <w:pPr>
        <w:pStyle w:val="6"/>
        <w:keepNext w:val="0"/>
        <w:keepLines w:val="0"/>
        <w:pageBreakBefore w:val="0"/>
        <w:widowControl w:val="0"/>
        <w:tabs>
          <w:tab w:val="right" w:leader="dot" w:pos="7560"/>
        </w:tabs>
        <w:kinsoku/>
        <w:wordWrap/>
        <w:overflowPunct/>
        <w:topLinePunct w:val="0"/>
        <w:autoSpaceDE/>
        <w:autoSpaceDN/>
        <w:bidi w:val="0"/>
        <w:adjustRightInd/>
        <w:snapToGrid/>
        <w:ind w:left="0" w:leftChars="0" w:firstLine="0" w:firstLineChars="0"/>
        <w:textAlignment w:val="auto"/>
        <w:rPr>
          <w:rFonts w:hint="eastAsia" w:ascii="仿宋_GB2312" w:hAnsi="黑体" w:eastAsia="仿宋_GB2312" w:cs="仿宋_GB2312"/>
          <w:kern w:val="2"/>
          <w:sz w:val="32"/>
          <w:szCs w:val="32"/>
          <w:lang w:val="en-US" w:eastAsia="zh-CN" w:bidi="ar-SA"/>
        </w:rPr>
        <w:sectPr>
          <w:pgSz w:w="11906" w:h="16838"/>
          <w:pgMar w:top="2098" w:right="1474" w:bottom="1984" w:left="1587" w:header="851" w:footer="992" w:gutter="0"/>
          <w:cols w:space="720" w:num="1"/>
          <w:docGrid w:type="lines" w:linePitch="312" w:charSpace="0"/>
        </w:sectPr>
      </w:pPr>
      <w:r>
        <w:rPr>
          <w:rFonts w:hint="eastAsia" w:ascii="黑体" w:hAnsi="黑体" w:eastAsia="黑体" w:cs="黑体"/>
          <w:sz w:val="32"/>
          <w:szCs w:val="32"/>
        </w:rPr>
        <w:t>十一、名词解释</w:t>
      </w:r>
      <w:r>
        <w:rPr>
          <w:rFonts w:hint="eastAsia" w:ascii="黑体" w:hAnsi="黑体" w:eastAsia="黑体" w:cs="黑体"/>
          <w:sz w:val="32"/>
          <w:szCs w:val="32"/>
          <w:lang w:val="en-US" w:eastAsia="zh-CN"/>
        </w:rPr>
        <w:tab/>
      </w:r>
      <w:r>
        <w:rPr>
          <w:rFonts w:hint="eastAsia" w:ascii="仿宋_GB2312" w:hAnsi="黑体" w:eastAsia="仿宋_GB2312" w:cs="仿宋_GB2312"/>
          <w:kern w:val="2"/>
          <w:sz w:val="32"/>
          <w:szCs w:val="32"/>
          <w:lang w:val="en-US" w:eastAsia="zh-CN" w:bidi="ar-SA"/>
        </w:rPr>
        <w:t>8</w:t>
      </w:r>
    </w:p>
    <w:p w14:paraId="5FF25437">
      <w:pPr>
        <w:spacing w:line="560" w:lineRule="exact"/>
        <w:rPr>
          <w:rFonts w:ascii="黑体" w:hAnsi="黑体" w:eastAsia="黑体" w:cs="黑体"/>
          <w:color w:val="333333"/>
          <w:sz w:val="32"/>
          <w:szCs w:val="32"/>
        </w:rPr>
      </w:pPr>
      <w:r>
        <w:rPr>
          <w:rFonts w:hint="eastAsia" w:ascii="仿宋_GB2312" w:hAnsi="仿宋_GB2312" w:eastAsia="仿宋_GB2312" w:cs="仿宋_GB2312"/>
          <w:color w:val="333333"/>
          <w:sz w:val="32"/>
          <w:szCs w:val="32"/>
        </w:rPr>
        <w:t xml:space="preserve"> </w:t>
      </w:r>
      <w:r>
        <w:rPr>
          <w:rFonts w:hint="eastAsia" w:ascii="仿宋_GB2312" w:hAnsi="仿宋_GB2312" w:eastAsia="仿宋_GB2312" w:cs="仿宋_GB2312"/>
          <w:color w:val="333333"/>
          <w:sz w:val="32"/>
          <w:szCs w:val="32"/>
          <w:lang w:val="en-US" w:eastAsia="zh-CN"/>
        </w:rPr>
        <w:t xml:space="preserve"> </w:t>
      </w:r>
      <w:r>
        <w:rPr>
          <w:rFonts w:hint="eastAsia" w:ascii="黑体" w:hAnsi="黑体" w:eastAsia="黑体" w:cs="黑体"/>
          <w:color w:val="333333"/>
          <w:sz w:val="32"/>
          <w:szCs w:val="32"/>
        </w:rPr>
        <w:t>一、基本职能及主要工作</w:t>
      </w:r>
    </w:p>
    <w:p w14:paraId="6E963FAD">
      <w:pPr>
        <w:spacing w:line="560" w:lineRule="exact"/>
        <w:ind w:firstLine="643" w:firstLineChars="200"/>
        <w:rPr>
          <w:rFonts w:ascii="仿宋_GB2312" w:hAnsi="仿宋_GB2312" w:eastAsia="仿宋_GB2312" w:cs="仿宋_GB2312"/>
          <w:b/>
          <w:bCs/>
          <w:color w:val="333333"/>
          <w:sz w:val="32"/>
          <w:szCs w:val="32"/>
        </w:rPr>
      </w:pPr>
      <w:r>
        <w:rPr>
          <w:rFonts w:hint="eastAsia" w:ascii="仿宋_GB2312" w:hAnsi="仿宋_GB2312" w:eastAsia="仿宋_GB2312" w:cs="仿宋_GB2312"/>
          <w:b/>
          <w:bCs/>
          <w:color w:val="333333"/>
          <w:sz w:val="32"/>
          <w:szCs w:val="32"/>
        </w:rPr>
        <w:t>（一）经信局单位职能简介</w:t>
      </w:r>
    </w:p>
    <w:p w14:paraId="60ED928F">
      <w:pPr>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 1．主要职能。若尔盖县经济商务和信息化局主要贯彻落实工业经济、商务、信息化、无线电管理的政策法规、规章；贯彻国家深化司法体制改革的方针政策；拟订流通产业结构调整的政策，优化产业布局和结构；负责起草编制全县工业经济运行、建设项目投资、信息化、无线电、服务业、流通领域的年度计划、规划，监督落实和考核；负责全县经济运行综合管理，监测、分析工业经济运行势态和质量，建立工业经济运行预警机制，对重大问题提出政策措施建议。 </w:t>
      </w:r>
    </w:p>
    <w:p w14:paraId="2B6CE600">
      <w:pPr>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2．机构情况。我单位本年度纳入本套决算编制范围的独立编制机构数共2个，行政和事业。</w:t>
      </w:r>
    </w:p>
    <w:p w14:paraId="78F4F053">
      <w:pPr>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 3．人员情况。本年度年初实有人数为13人，其中：公务员5人、事业人员7人、工勤1人。</w:t>
      </w:r>
    </w:p>
    <w:p w14:paraId="3F8E79DE">
      <w:pPr>
        <w:spacing w:line="560" w:lineRule="exact"/>
        <w:ind w:firstLine="643" w:firstLineChars="200"/>
        <w:rPr>
          <w:rFonts w:ascii="仿宋_GB2312" w:hAnsi="仿宋_GB2312" w:eastAsia="仿宋_GB2312" w:cs="仿宋_GB2312"/>
          <w:b/>
          <w:bCs/>
          <w:color w:val="333333"/>
          <w:sz w:val="32"/>
          <w:szCs w:val="32"/>
        </w:rPr>
      </w:pPr>
      <w:r>
        <w:rPr>
          <w:rFonts w:hint="eastAsia" w:ascii="仿宋_GB2312" w:hAnsi="仿宋_GB2312" w:eastAsia="仿宋_GB2312" w:cs="仿宋_GB2312"/>
          <w:b/>
          <w:bCs/>
          <w:color w:val="333333"/>
          <w:sz w:val="32"/>
          <w:szCs w:val="32"/>
        </w:rPr>
        <w:t>（二）经信局单位2026年重点工作</w:t>
      </w:r>
    </w:p>
    <w:p w14:paraId="5AFAB71C">
      <w:pPr>
        <w:pBdr>
          <w:bottom w:val="single" w:color="FFFFFF" w:sz="4" w:space="23"/>
        </w:pBdr>
        <w:tabs>
          <w:tab w:val="left" w:pos="1440"/>
        </w:tabs>
        <w:adjustRightInd w:val="0"/>
        <w:snapToGrid w:val="0"/>
        <w:spacing w:line="560" w:lineRule="exact"/>
        <w:ind w:firstLine="619" w:firstLineChars="200"/>
        <w:rPr>
          <w:rFonts w:ascii="仿宋_GB2312" w:hAnsi="仿宋_GB2312" w:eastAsia="仿宋_GB2312" w:cs="仿宋_GB2312"/>
          <w:b/>
          <w:bCs/>
          <w:sz w:val="32"/>
          <w:szCs w:val="32"/>
        </w:rPr>
      </w:pPr>
      <w:r>
        <w:rPr>
          <w:rFonts w:hint="eastAsia" w:ascii="仿宋_GB2312" w:hAnsi="仿宋_GB2312" w:eastAsia="仿宋_GB2312" w:cs="仿宋_GB2312"/>
          <w:b/>
          <w:bCs/>
          <w:color w:val="000000"/>
          <w:spacing w:val="-6"/>
          <w:kern w:val="0"/>
          <w:sz w:val="32"/>
        </w:rPr>
        <w:t>1.大力培育规上企业。</w:t>
      </w:r>
      <w:r>
        <w:rPr>
          <w:rFonts w:hint="eastAsia" w:ascii="仿宋_GB2312" w:hAnsi="仿宋_GB2312" w:eastAsia="仿宋_GB2312" w:cs="仿宋_GB2312"/>
          <w:b/>
          <w:bCs/>
          <w:sz w:val="32"/>
          <w:szCs w:val="32"/>
        </w:rPr>
        <w:t>一是优化营商环境。</w:t>
      </w:r>
      <w:r>
        <w:rPr>
          <w:rFonts w:hint="eastAsia" w:ascii="仿宋_GB2312" w:hAnsi="仿宋_GB2312" w:eastAsia="仿宋_GB2312" w:cs="仿宋_GB2312"/>
          <w:sz w:val="32"/>
          <w:szCs w:val="32"/>
        </w:rPr>
        <w:t>发挥行业主管部门职责，协助新建企业完善相关审批手续，做好行政部门之间的沟通、协作，提高企业办证效率，当好企业娘家人。</w:t>
      </w:r>
      <w:r>
        <w:rPr>
          <w:rFonts w:hint="eastAsia" w:ascii="仿宋_GB2312" w:hAnsi="仿宋_GB2312" w:eastAsia="仿宋_GB2312" w:cs="仿宋_GB2312"/>
          <w:b/>
          <w:bCs/>
          <w:sz w:val="32"/>
          <w:szCs w:val="32"/>
        </w:rPr>
        <w:t>二是强化产业引导。</w:t>
      </w:r>
      <w:r>
        <w:rPr>
          <w:rFonts w:hint="eastAsia" w:ascii="仿宋_GB2312" w:hAnsi="仿宋_GB2312" w:eastAsia="仿宋_GB2312" w:cs="仿宋_GB2312"/>
          <w:sz w:val="32"/>
          <w:szCs w:val="32"/>
        </w:rPr>
        <w:t>根据我县资源优势和市场需求，确定产业发展重点方向，引导企业聚集，促进产业链完善，形成产业集群效应。</w:t>
      </w:r>
      <w:r>
        <w:rPr>
          <w:rFonts w:hint="eastAsia" w:ascii="仿宋_GB2312" w:hAnsi="仿宋_GB2312" w:eastAsia="仿宋_GB2312" w:cs="仿宋_GB2312"/>
          <w:b/>
          <w:bCs/>
          <w:sz w:val="32"/>
          <w:szCs w:val="32"/>
        </w:rPr>
        <w:t>三是</w:t>
      </w:r>
      <w:r>
        <w:rPr>
          <w:rFonts w:hint="eastAsia" w:ascii="仿宋_GB2312" w:hAnsi="仿宋_GB2312" w:eastAsia="仿宋_GB2312" w:cs="仿宋_GB2312"/>
          <w:sz w:val="32"/>
          <w:szCs w:val="32"/>
        </w:rPr>
        <w:t>重点抓好浩源矿产品、宝莹砼业、黄河美园等企业生产运营动态监测分析和预测预警，引导企业提升运营效率和管理水平，定期深入企业进行调查指导，主动为企业服务，纾困解难，全力帮助企业扩大产能，打开市场，力争2026年新升规工业企业2户。</w:t>
      </w:r>
      <w:r>
        <w:rPr>
          <w:rFonts w:hint="eastAsia" w:ascii="仿宋_GB2312" w:hAnsi="仿宋_GB2312" w:eastAsia="仿宋_GB2312" w:cs="仿宋_GB2312"/>
          <w:b/>
          <w:bCs/>
          <w:sz w:val="32"/>
          <w:szCs w:val="32"/>
        </w:rPr>
        <w:t>四是积极争取项目补助。</w:t>
      </w:r>
      <w:r>
        <w:rPr>
          <w:rFonts w:hint="eastAsia" w:ascii="仿宋_GB2312" w:hAnsi="仿宋_GB2312" w:eastAsia="仿宋_GB2312" w:cs="仿宋_GB2312"/>
          <w:sz w:val="32"/>
          <w:szCs w:val="32"/>
        </w:rPr>
        <w:t>结合我县工业经济发展基础的难点、弱点，包装符合我县发展实际的工业项目，积极向德阳、州经信局、中石油等部门争取工业发展项目，不断完善企业发展环境。</w:t>
      </w:r>
      <w:r>
        <w:rPr>
          <w:rFonts w:hint="eastAsia" w:ascii="仿宋_GB2312" w:hAnsi="仿宋_GB2312" w:eastAsia="仿宋_GB2312" w:cs="仿宋_GB2312"/>
          <w:b/>
          <w:bCs/>
          <w:sz w:val="32"/>
          <w:szCs w:val="32"/>
        </w:rPr>
        <w:t>五是打造品牌扶持。</w:t>
      </w:r>
      <w:r>
        <w:rPr>
          <w:rFonts w:hint="eastAsia" w:ascii="仿宋_GB2312" w:hAnsi="仿宋_GB2312" w:eastAsia="仿宋_GB2312" w:cs="仿宋_GB2312"/>
          <w:sz w:val="32"/>
          <w:szCs w:val="32"/>
        </w:rPr>
        <w:t>加强本地产品的品牌建设，积极参加各类博览会、举办特色活动、开展绿色有机食品认证等工作，提高本地品牌的知名度和影响力</w:t>
      </w:r>
      <w:r>
        <w:rPr>
          <w:rFonts w:hint="eastAsia" w:ascii="仿宋_GB2312" w:hAnsi="仿宋_GB2312" w:eastAsia="仿宋_GB2312" w:cs="仿宋_GB2312"/>
          <w:b/>
          <w:bCs/>
          <w:sz w:val="32"/>
          <w:szCs w:val="32"/>
        </w:rPr>
        <w:t>。</w:t>
      </w:r>
    </w:p>
    <w:p w14:paraId="65ACED63">
      <w:pPr>
        <w:pBdr>
          <w:bottom w:val="single" w:color="FFFFFF" w:sz="4" w:space="23"/>
        </w:pBdr>
        <w:tabs>
          <w:tab w:val="left" w:pos="1440"/>
        </w:tabs>
        <w:adjustRightInd w:val="0"/>
        <w:snapToGrid w:val="0"/>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2.社会消费品零售总额方面。一是</w:t>
      </w:r>
      <w:r>
        <w:rPr>
          <w:rFonts w:hint="eastAsia" w:ascii="仿宋_GB2312" w:hAnsi="仿宋_GB2312" w:eastAsia="仿宋_GB2312" w:cs="仿宋_GB2312"/>
          <w:b/>
          <w:bCs/>
          <w:color w:val="000000"/>
          <w:sz w:val="32"/>
          <w:szCs w:val="32"/>
        </w:rPr>
        <w:t>建立机制，力促指标。</w:t>
      </w:r>
      <w:r>
        <w:rPr>
          <w:rFonts w:hint="eastAsia" w:ascii="仿宋_GB2312" w:hAnsi="仿宋_GB2312" w:eastAsia="仿宋_GB2312" w:cs="仿宋_GB2312"/>
          <w:sz w:val="32"/>
          <w:szCs w:val="32"/>
        </w:rPr>
        <w:t>进一步完善内贸流通工作体系，建立部门联动机制，积极开展统计政策宣传，防止企业数据漏报、瞒报，确保数据真实反映我县经济发展现状。</w:t>
      </w:r>
      <w:r>
        <w:rPr>
          <w:rFonts w:hint="eastAsia" w:ascii="仿宋_GB2312" w:hAnsi="仿宋_GB2312" w:eastAsia="仿宋_GB2312" w:cs="仿宋_GB2312"/>
          <w:b/>
          <w:bCs/>
          <w:color w:val="000000"/>
          <w:sz w:val="32"/>
          <w:szCs w:val="32"/>
        </w:rPr>
        <w:t>二是落实政策</w:t>
      </w:r>
      <w:r>
        <w:rPr>
          <w:rFonts w:hint="eastAsia" w:ascii="仿宋_GB2312" w:hAnsi="仿宋_GB2312" w:eastAsia="仿宋_GB2312" w:cs="仿宋_GB2312"/>
          <w:b/>
          <w:bCs/>
          <w:sz w:val="32"/>
          <w:szCs w:val="32"/>
        </w:rPr>
        <w:t>，除尘换新。</w:t>
      </w:r>
      <w:r>
        <w:rPr>
          <w:rFonts w:hint="eastAsia" w:ascii="仿宋_GB2312" w:hAnsi="仿宋_GB2312" w:eastAsia="仿宋_GB2312" w:cs="仿宋_GB2312"/>
          <w:sz w:val="32"/>
          <w:szCs w:val="32"/>
        </w:rPr>
        <w:t>抓好年内社消零单位新增培育和政策宣传，按照相关政策规定及时清退不符合条件的限额以上企业，并做好符合条件入库企业的培育。</w:t>
      </w:r>
    </w:p>
    <w:p w14:paraId="0CCA3EF8">
      <w:pPr>
        <w:pBdr>
          <w:bottom w:val="single" w:color="FFFFFF" w:sz="4" w:space="23"/>
        </w:pBdr>
        <w:tabs>
          <w:tab w:val="left" w:pos="1440"/>
        </w:tabs>
        <w:adjustRightInd w:val="0"/>
        <w:snapToGrid w:val="0"/>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3.服务业增加值增速方面。一是政策引领，提高积极性。</w:t>
      </w:r>
      <w:r>
        <w:rPr>
          <w:rFonts w:hint="eastAsia" w:ascii="仿宋_GB2312" w:hAnsi="仿宋_GB2312" w:eastAsia="仿宋_GB2312" w:cs="仿宋_GB2312"/>
          <w:sz w:val="32"/>
          <w:szCs w:val="32"/>
        </w:rPr>
        <w:t>大力宣传《阿坝州服务业市场经营主体发展培育实施方案（试行）》，鼓励企业以商引商，提升上线入统和数据报送积极性。</w:t>
      </w:r>
      <w:r>
        <w:rPr>
          <w:rFonts w:hint="eastAsia" w:ascii="仿宋_GB2312" w:hAnsi="仿宋_GB2312" w:eastAsia="仿宋_GB2312" w:cs="仿宋_GB2312"/>
          <w:b/>
          <w:bCs/>
          <w:sz w:val="32"/>
          <w:szCs w:val="32"/>
        </w:rPr>
        <w:t>二是强化指导，提层升级。</w:t>
      </w:r>
      <w:r>
        <w:rPr>
          <w:rFonts w:hint="eastAsia" w:ascii="仿宋_GB2312" w:hAnsi="仿宋_GB2312" w:eastAsia="仿宋_GB2312" w:cs="仿宋_GB2312"/>
          <w:sz w:val="32"/>
          <w:szCs w:val="32"/>
        </w:rPr>
        <w:t>紧盯目标任务和培育对象，深入一线指导企业快速发展，同时，做好定向跟进服务，明确时间进度，加强动态监测，及时掌握具体工作推进情况和完成情况，并对达标规模企业及时申报入库。</w:t>
      </w:r>
    </w:p>
    <w:p w14:paraId="03B8E1BE">
      <w:pPr>
        <w:pBdr>
          <w:bottom w:val="single" w:color="FFFFFF" w:sz="4" w:space="23"/>
        </w:pBdr>
        <w:tabs>
          <w:tab w:val="left" w:pos="1440"/>
        </w:tabs>
        <w:adjustRightInd w:val="0"/>
        <w:snapToGrid w:val="0"/>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color w:val="000000"/>
          <w:sz w:val="32"/>
          <w:szCs w:val="32"/>
        </w:rPr>
        <w:t>4.内贸流通方面。一是提档升级，扩大内需。</w:t>
      </w:r>
      <w:r>
        <w:rPr>
          <w:rFonts w:hint="eastAsia" w:ascii="仿宋_GB2312" w:hAnsi="仿宋_GB2312" w:eastAsia="仿宋_GB2312" w:cs="仿宋_GB2312"/>
          <w:color w:val="000000"/>
          <w:sz w:val="32"/>
          <w:szCs w:val="32"/>
        </w:rPr>
        <w:t>积极争取申报新建特色商业街、商贸综合体项目等方式，做好内贸流通企业的转型升级、提升改造等工作，通过优化营商环境，调整产业结构，创造新的供给等方式，扩大县内消费需求，促进我县消费升级；</w:t>
      </w:r>
      <w:r>
        <w:rPr>
          <w:rFonts w:hint="eastAsia" w:ascii="仿宋_GB2312" w:hAnsi="仿宋_GB2312" w:eastAsia="仿宋_GB2312" w:cs="仿宋_GB2312"/>
          <w:b/>
          <w:bCs/>
          <w:color w:val="000000"/>
          <w:sz w:val="32"/>
          <w:szCs w:val="32"/>
        </w:rPr>
        <w:t>二是借助平台，促进消费。</w:t>
      </w:r>
      <w:r>
        <w:rPr>
          <w:rFonts w:hint="eastAsia" w:ascii="仿宋_GB2312" w:hAnsi="仿宋_GB2312" w:eastAsia="仿宋_GB2312" w:cs="仿宋_GB2312"/>
          <w:color w:val="000000"/>
          <w:sz w:val="32"/>
          <w:szCs w:val="32"/>
        </w:rPr>
        <w:t>坚持目标导向，加强对辖区内在库企业的业务指导，完善台账与基础资料，及时收集消费市场信息，开展和利用好各种节庆、促销、展会等活动和旅游旺季消费节点，促进区域内消费市场健康发展。</w:t>
      </w:r>
    </w:p>
    <w:p w14:paraId="0D4FEBF9">
      <w:pPr>
        <w:pBdr>
          <w:bottom w:val="single" w:color="FFFFFF" w:sz="4" w:space="23"/>
        </w:pBdr>
        <w:tabs>
          <w:tab w:val="left" w:pos="1440"/>
        </w:tabs>
        <w:adjustRightInd w:val="0"/>
        <w:snapToGrid w:val="0"/>
        <w:spacing w:line="560" w:lineRule="exact"/>
        <w:ind w:firstLine="643" w:firstLineChars="200"/>
        <w:rPr>
          <w:rFonts w:ascii="仿宋_GB2312" w:hAnsi="仿宋_GB2312" w:eastAsia="仿宋_GB2312" w:cs="仿宋_GB2312"/>
          <w:color w:val="333333"/>
          <w:sz w:val="32"/>
          <w:szCs w:val="32"/>
        </w:rPr>
      </w:pPr>
      <w:r>
        <w:rPr>
          <w:rFonts w:hint="eastAsia" w:ascii="仿宋_GB2312" w:hAnsi="仿宋_GB2312" w:eastAsia="仿宋_GB2312" w:cs="仿宋_GB2312"/>
          <w:b/>
          <w:bCs/>
          <w:sz w:val="32"/>
          <w:szCs w:val="32"/>
        </w:rPr>
        <w:t>5.招商引资方面。一是加强招商引资。</w:t>
      </w:r>
      <w:r>
        <w:rPr>
          <w:rFonts w:hint="eastAsia" w:ascii="仿宋_GB2312" w:hAnsi="仿宋_GB2312" w:eastAsia="仿宋_GB2312" w:cs="仿宋_GB2312"/>
          <w:sz w:val="32"/>
          <w:szCs w:val="32"/>
        </w:rPr>
        <w:t>借助成阿园区、德阿园区和飞地园区的招商渠道及平台，宣传若尔盖县投资环境和优势资源，吸引更多的外部企业投资。</w:t>
      </w:r>
      <w:r>
        <w:rPr>
          <w:rFonts w:hint="eastAsia" w:ascii="仿宋_GB2312" w:hAnsi="仿宋_GB2312" w:eastAsia="仿宋_GB2312" w:cs="仿宋_GB2312"/>
          <w:b/>
          <w:bCs/>
          <w:sz w:val="32"/>
          <w:szCs w:val="32"/>
        </w:rPr>
        <w:t>二是强化经验交流。</w:t>
      </w:r>
      <w:r>
        <w:rPr>
          <w:rFonts w:hint="eastAsia" w:ascii="仿宋_GB2312" w:hAnsi="仿宋_GB2312" w:eastAsia="仿宋_GB2312" w:cs="仿宋_GB2312"/>
          <w:sz w:val="32"/>
          <w:szCs w:val="32"/>
        </w:rPr>
        <w:t>组织成阿园区、德阿园区和飞地园区人才到本地企业提供指导和服务，本地企业管理人员、技术人员到成熟园区企业学习交流，提升专业素质和管理水平，同时加强本地人才的培养和储备。</w:t>
      </w:r>
      <w:r>
        <w:rPr>
          <w:rFonts w:hint="eastAsia" w:ascii="仿宋_GB2312" w:hAnsi="仿宋_GB2312" w:eastAsia="仿宋_GB2312" w:cs="仿宋_GB2312"/>
          <w:color w:val="333333"/>
          <w:sz w:val="32"/>
          <w:szCs w:val="32"/>
        </w:rPr>
        <w:t xml:space="preserve"> </w:t>
      </w:r>
    </w:p>
    <w:p w14:paraId="79319319">
      <w:pPr>
        <w:pBdr>
          <w:bottom w:val="single" w:color="FFFFFF" w:sz="4" w:space="23"/>
        </w:pBdr>
        <w:tabs>
          <w:tab w:val="left" w:pos="1440"/>
        </w:tabs>
        <w:adjustRightInd w:val="0"/>
        <w:snapToGrid w:val="0"/>
        <w:spacing w:line="560" w:lineRule="exact"/>
        <w:ind w:firstLine="640" w:firstLineChars="200"/>
        <w:rPr>
          <w:rFonts w:ascii="黑体" w:hAnsi="黑体" w:eastAsia="黑体" w:cs="黑体"/>
          <w:color w:val="333333"/>
          <w:sz w:val="32"/>
          <w:szCs w:val="32"/>
        </w:rPr>
      </w:pPr>
      <w:r>
        <w:rPr>
          <w:rFonts w:hint="eastAsia" w:ascii="黑体" w:hAnsi="黑体" w:eastAsia="黑体" w:cs="黑体"/>
          <w:color w:val="333333"/>
          <w:sz w:val="32"/>
          <w:szCs w:val="32"/>
        </w:rPr>
        <w:t xml:space="preserve">二、部门预算单位构成 </w:t>
      </w:r>
    </w:p>
    <w:p w14:paraId="28511043">
      <w:p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县经信局属一级预算单位，下属二级预算单位1个，其中：行政单位1个；参照公务员法管理的事业单位1个。 </w:t>
      </w:r>
    </w:p>
    <w:p w14:paraId="1C77EC56">
      <w:pPr>
        <w:pBdr>
          <w:bottom w:val="single" w:color="FFFFFF" w:sz="4" w:space="23"/>
        </w:pBdr>
        <w:tabs>
          <w:tab w:val="left" w:pos="1440"/>
        </w:tabs>
        <w:adjustRightInd w:val="0"/>
        <w:snapToGrid w:val="0"/>
        <w:spacing w:line="560" w:lineRule="exact"/>
        <w:ind w:firstLine="640" w:firstLineChars="200"/>
        <w:rPr>
          <w:rFonts w:ascii="黑体" w:hAnsi="黑体" w:eastAsia="黑体" w:cs="黑体"/>
          <w:color w:val="333333"/>
          <w:sz w:val="32"/>
          <w:szCs w:val="32"/>
        </w:rPr>
      </w:pPr>
      <w:r>
        <w:rPr>
          <w:rFonts w:hint="eastAsia" w:ascii="黑体" w:hAnsi="黑体" w:eastAsia="黑体" w:cs="黑体"/>
          <w:color w:val="333333"/>
          <w:sz w:val="32"/>
          <w:szCs w:val="32"/>
        </w:rPr>
        <w:t>三、收支预算情况说明</w:t>
      </w:r>
    </w:p>
    <w:p w14:paraId="1AABCBC8">
      <w:p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按照综合预算的原则，县经信局所有收入和支出均纳入部门预算管理。收入包括：一般公共预算拨款收入291.97万元，上年结转0万元；支出包括：一般公共服务支出217.95万元，教育支出0万元，文化体育与传媒支出0万元，社会保障和就业支出30.52万元，医疗卫生与计划生育支出18.15万元，住房保障支出25.35万元。县经信局2026年收支总预算291.97万元,比2025年收支预算总数减少60.93万元，主要原因:医保、住房公积金、社保等基数调整。</w:t>
      </w:r>
    </w:p>
    <w:p w14:paraId="48F79F62">
      <w:pPr>
        <w:numPr>
          <w:ilvl w:val="0"/>
          <w:numId w:val="2"/>
        </w:num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收入预算情况 </w:t>
      </w:r>
    </w:p>
    <w:p w14:paraId="7AF6C02E">
      <w:p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县经信局2026年收入预算291.97万元，其中：上年结转0万元，占0%；一般公共预算拨款收入291.97万元，占100%；事业收入0万元，占0%；其他收入0万元，占0%。 </w:t>
      </w:r>
    </w:p>
    <w:p w14:paraId="3E904629">
      <w:pPr>
        <w:numPr>
          <w:ilvl w:val="0"/>
          <w:numId w:val="2"/>
        </w:num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支出预算情况 </w:t>
      </w:r>
    </w:p>
    <w:p w14:paraId="3F836032">
      <w:p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县经信局2026年支出预算291.97万元，其中：基本支出291.97万元，占100%；项目支出0万元，占0%。</w:t>
      </w:r>
    </w:p>
    <w:p w14:paraId="4C1E5472">
      <w:pPr>
        <w:numPr>
          <w:ilvl w:val="0"/>
          <w:numId w:val="0"/>
        </w:num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kern w:val="2"/>
          <w:sz w:val="32"/>
          <w:szCs w:val="32"/>
          <w:lang w:val="en-US" w:eastAsia="zh-CN" w:bidi="ar-SA"/>
        </w:rPr>
        <w:t>四、</w:t>
      </w:r>
      <w:r>
        <w:rPr>
          <w:rFonts w:hint="eastAsia" w:ascii="黑体" w:hAnsi="黑体" w:eastAsia="黑体" w:cs="黑体"/>
          <w:color w:val="333333"/>
          <w:sz w:val="32"/>
          <w:szCs w:val="32"/>
        </w:rPr>
        <w:t>财政拨款收支预算情况说明</w:t>
      </w:r>
      <w:r>
        <w:rPr>
          <w:rFonts w:hint="eastAsia" w:ascii="仿宋_GB2312" w:hAnsi="仿宋_GB2312" w:eastAsia="仿宋_GB2312" w:cs="仿宋_GB2312"/>
          <w:color w:val="333333"/>
          <w:sz w:val="32"/>
          <w:szCs w:val="32"/>
        </w:rPr>
        <w:t xml:space="preserve"> </w:t>
      </w:r>
    </w:p>
    <w:p w14:paraId="4B723764">
      <w:p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县经信局2026年财政拨款收支总预算291.97万元,比2025年财政拨款收支总预算减少60.93万元，主要原因：政策调整、项目变动等。 收入包括：本年一般公共预算拨款收入291.97万元，上年结转财政拨款资金0万元； 支出包括：一般公共服务支出217.95万元，教育支出0万元，文化体育与传媒支出0万元，社会保障和就业支出30.52万元，医疗卫生与计划生育支出18.15万元，住房保障支出25.35万元。</w:t>
      </w:r>
    </w:p>
    <w:p w14:paraId="4FB756F9">
      <w:pPr>
        <w:numPr>
          <w:ilvl w:val="0"/>
          <w:numId w:val="0"/>
        </w:numPr>
        <w:pBdr>
          <w:bottom w:val="single" w:color="FFFFFF" w:sz="4" w:space="23"/>
        </w:pBdr>
        <w:tabs>
          <w:tab w:val="left" w:pos="1440"/>
        </w:tabs>
        <w:adjustRightInd w:val="0"/>
        <w:snapToGrid w:val="0"/>
        <w:spacing w:line="560" w:lineRule="exact"/>
        <w:ind w:firstLine="640" w:firstLineChars="200"/>
        <w:rPr>
          <w:rFonts w:ascii="黑体" w:hAnsi="黑体" w:eastAsia="黑体" w:cs="黑体"/>
          <w:color w:val="333333"/>
          <w:sz w:val="32"/>
          <w:szCs w:val="32"/>
        </w:rPr>
      </w:pPr>
      <w:r>
        <w:rPr>
          <w:rFonts w:hint="eastAsia" w:ascii="黑体" w:hAnsi="黑体" w:eastAsia="黑体" w:cs="黑体"/>
          <w:color w:val="333333"/>
          <w:kern w:val="2"/>
          <w:sz w:val="32"/>
          <w:szCs w:val="32"/>
          <w:lang w:val="en-US" w:eastAsia="zh-CN" w:bidi="ar-SA"/>
        </w:rPr>
        <w:t>五、</w:t>
      </w:r>
      <w:r>
        <w:rPr>
          <w:rFonts w:hint="eastAsia" w:ascii="黑体" w:hAnsi="黑体" w:eastAsia="黑体" w:cs="黑体"/>
          <w:color w:val="333333"/>
          <w:sz w:val="32"/>
          <w:szCs w:val="32"/>
        </w:rPr>
        <w:t xml:space="preserve">一般公共预算当年拨款情况说明 </w:t>
      </w:r>
    </w:p>
    <w:p w14:paraId="2DFF0EE5">
      <w:pPr>
        <w:numPr>
          <w:ilvl w:val="0"/>
          <w:numId w:val="0"/>
        </w:numPr>
        <w:pBdr>
          <w:bottom w:val="single" w:color="FFFFFF" w:sz="4" w:space="23"/>
        </w:pBdr>
        <w:tabs>
          <w:tab w:val="left" w:pos="1440"/>
        </w:tabs>
        <w:adjustRightInd w:val="0"/>
        <w:snapToGrid w:val="0"/>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kern w:val="2"/>
          <w:sz w:val="32"/>
          <w:szCs w:val="32"/>
          <w:lang w:val="en-US" w:eastAsia="zh-CN" w:bidi="ar-SA"/>
        </w:rPr>
        <w:t>（一）</w:t>
      </w:r>
      <w:r>
        <w:rPr>
          <w:rFonts w:hint="eastAsia" w:ascii="仿宋_GB2312" w:hAnsi="仿宋_GB2312" w:eastAsia="仿宋_GB2312" w:cs="仿宋_GB2312"/>
          <w:color w:val="333333"/>
          <w:sz w:val="32"/>
          <w:szCs w:val="32"/>
        </w:rPr>
        <w:t>一般公共预算当年拨款规模变化情况</w:t>
      </w:r>
    </w:p>
    <w:p w14:paraId="365649FB">
      <w:pPr>
        <w:numPr>
          <w:ilvl w:val="0"/>
          <w:numId w:val="0"/>
        </w:numPr>
        <w:pBdr>
          <w:bottom w:val="single" w:color="FFFFFF" w:sz="4" w:space="23"/>
        </w:pBdr>
        <w:tabs>
          <w:tab w:val="left" w:pos="1440"/>
        </w:tabs>
        <w:adjustRightInd w:val="0"/>
        <w:snapToGrid w:val="0"/>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县经信局2026年一般公共预算当年拨款291.97万元，比2025年预算数减少60.93万元，主要原因：政策调整、项目变动等。</w:t>
      </w:r>
    </w:p>
    <w:p w14:paraId="527DFC0B">
      <w:pPr>
        <w:numPr>
          <w:ilvl w:val="0"/>
          <w:numId w:val="0"/>
        </w:numPr>
        <w:pBdr>
          <w:bottom w:val="single" w:color="FFFFFF" w:sz="4" w:space="23"/>
        </w:pBdr>
        <w:tabs>
          <w:tab w:val="left" w:pos="1440"/>
        </w:tabs>
        <w:adjustRightInd w:val="0"/>
        <w:snapToGrid w:val="0"/>
        <w:spacing w:line="240" w:lineRule="auto"/>
        <w:ind w:firstLine="320" w:firstLineChars="1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kern w:val="2"/>
          <w:sz w:val="32"/>
          <w:szCs w:val="32"/>
          <w:lang w:val="en-US" w:eastAsia="zh-CN" w:bidi="ar-SA"/>
        </w:rPr>
        <w:t>(二)</w:t>
      </w:r>
      <w:r>
        <w:rPr>
          <w:rFonts w:hint="eastAsia" w:ascii="仿宋_GB2312" w:hAnsi="仿宋_GB2312" w:eastAsia="仿宋_GB2312" w:cs="仿宋_GB2312"/>
          <w:color w:val="333333"/>
          <w:sz w:val="32"/>
          <w:szCs w:val="32"/>
        </w:rPr>
        <w:t>一般公共预算当年拨款结构情况</w:t>
      </w:r>
    </w:p>
    <w:p w14:paraId="342C9EDE">
      <w:pPr>
        <w:numPr>
          <w:ilvl w:val="0"/>
          <w:numId w:val="0"/>
        </w:numPr>
        <w:pBdr>
          <w:bottom w:val="single" w:color="FFFFFF" w:sz="4" w:space="23"/>
        </w:pBdr>
        <w:tabs>
          <w:tab w:val="left" w:pos="1440"/>
        </w:tabs>
        <w:adjustRightInd w:val="0"/>
        <w:snapToGrid w:val="0"/>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一般公共服务支出217.95万元，占70.65%；教育支出0万元，占0%；文化体育与传媒支出0万元，占0%；社会保障和就业支出30.52万元，占10%；医疗卫生与计划生育支出18.15万元，占8.33%；住房保障支出25.35万元，占11.02%。 </w:t>
      </w:r>
    </w:p>
    <w:p w14:paraId="1D55E66F">
      <w:pPr>
        <w:numPr>
          <w:ilvl w:val="0"/>
          <w:numId w:val="0"/>
        </w:numPr>
        <w:pBdr>
          <w:bottom w:val="single" w:color="FFFFFF" w:sz="4" w:space="23"/>
        </w:pBdr>
        <w:tabs>
          <w:tab w:val="left" w:pos="1440"/>
        </w:tabs>
        <w:adjustRightInd w:val="0"/>
        <w:snapToGrid w:val="0"/>
        <w:spacing w:line="560" w:lineRule="exact"/>
        <w:ind w:firstLine="320" w:firstLineChars="1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kern w:val="2"/>
          <w:sz w:val="32"/>
          <w:szCs w:val="32"/>
          <w:lang w:val="en-US" w:eastAsia="zh-CN" w:bidi="ar-SA"/>
        </w:rPr>
        <w:t>（三）</w:t>
      </w:r>
      <w:r>
        <w:rPr>
          <w:rFonts w:hint="eastAsia" w:ascii="仿宋_GB2312" w:hAnsi="仿宋_GB2312" w:eastAsia="仿宋_GB2312" w:cs="仿宋_GB2312"/>
          <w:color w:val="333333"/>
          <w:sz w:val="32"/>
          <w:szCs w:val="32"/>
        </w:rPr>
        <w:t xml:space="preserve">一般公共预算当年拨款具体使用情况 </w:t>
      </w:r>
    </w:p>
    <w:p w14:paraId="5A7BFB5C">
      <w:pPr>
        <w:numPr>
          <w:ilvl w:val="0"/>
          <w:numId w:val="0"/>
        </w:numPr>
        <w:pBdr>
          <w:bottom w:val="single" w:color="FFFFFF" w:sz="4" w:space="23"/>
        </w:pBdr>
        <w:tabs>
          <w:tab w:val="left" w:pos="1440"/>
        </w:tabs>
        <w:adjustRightInd w:val="0"/>
        <w:snapToGrid w:val="0"/>
        <w:spacing w:line="240" w:lineRule="auto"/>
        <w:ind w:left="0" w:leftChars="0"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1.</w:t>
      </w:r>
      <w:r>
        <w:rPr>
          <w:rFonts w:hint="eastAsia" w:ascii="仿宋_GB2312" w:hAnsi="宋体" w:eastAsia="仿宋_GB2312" w:cs="宋体"/>
          <w:color w:val="333333"/>
          <w:sz w:val="32"/>
          <w:szCs w:val="32"/>
          <w:shd w:val="clear" w:color="auto" w:fill="FFFFFF"/>
        </w:rPr>
        <w:t>一般公共服务（类）宣传事务（款）行政运行（项）2026年预算数为</w:t>
      </w:r>
      <w:r>
        <w:rPr>
          <w:rFonts w:hint="eastAsia" w:ascii="仿宋_GB2312" w:hAnsi="仿宋_GB2312" w:eastAsia="仿宋_GB2312" w:cs="仿宋_GB2312"/>
          <w:color w:val="333333"/>
          <w:sz w:val="32"/>
          <w:szCs w:val="32"/>
        </w:rPr>
        <w:t>217.95</w:t>
      </w:r>
      <w:r>
        <w:rPr>
          <w:rFonts w:hint="eastAsia" w:ascii="仿宋_GB2312" w:hAnsi="宋体" w:eastAsia="仿宋_GB2312" w:cs="宋体"/>
          <w:color w:val="333333"/>
          <w:sz w:val="32"/>
          <w:szCs w:val="32"/>
          <w:shd w:val="clear" w:color="auto" w:fill="FFFFFF"/>
        </w:rPr>
        <w:t>万元，主</w:t>
      </w:r>
      <w:r>
        <w:rPr>
          <w:rFonts w:hint="eastAsia" w:ascii="仿宋_GB2312" w:hAnsi="仿宋_GB2312" w:eastAsia="仿宋_GB2312" w:cs="仿宋_GB2312"/>
          <w:color w:val="333333"/>
          <w:sz w:val="32"/>
          <w:szCs w:val="32"/>
        </w:rPr>
        <w:t>要用于：工资福利、商品和服务、对个人和家庭的补助等支出。</w:t>
      </w:r>
    </w:p>
    <w:p w14:paraId="70DEDE4C">
      <w:pPr>
        <w:numPr>
          <w:ilvl w:val="0"/>
          <w:numId w:val="0"/>
        </w:numPr>
        <w:pBdr>
          <w:bottom w:val="single" w:color="FFFFFF" w:sz="4" w:space="23"/>
        </w:pBdr>
        <w:tabs>
          <w:tab w:val="left" w:pos="1440"/>
        </w:tabs>
        <w:adjustRightInd w:val="0"/>
        <w:snapToGrid w:val="0"/>
        <w:spacing w:line="240" w:lineRule="auto"/>
        <w:ind w:left="0" w:leftChars="0" w:firstLine="640" w:firstLineChars="200"/>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rPr>
        <w:t xml:space="preserve">2.社会保障和就业支出，2026年预算数为30.52万元，主要用于:缴纳单位职工养老保险、职业年金等五险。 </w:t>
      </w:r>
      <w:r>
        <w:rPr>
          <w:rFonts w:hint="eastAsia" w:ascii="仿宋_GB2312" w:hAnsi="仿宋_GB2312" w:eastAsia="仿宋_GB2312" w:cs="仿宋_GB2312"/>
          <w:color w:val="333333"/>
          <w:sz w:val="32"/>
          <w:szCs w:val="32"/>
          <w:lang w:val="en-US" w:eastAsia="zh-CN"/>
        </w:rPr>
        <w:t xml:space="preserve"> </w:t>
      </w:r>
    </w:p>
    <w:p w14:paraId="4468DF70">
      <w:pPr>
        <w:numPr>
          <w:ilvl w:val="0"/>
          <w:numId w:val="0"/>
        </w:numPr>
        <w:pBdr>
          <w:bottom w:val="single" w:color="FFFFFF" w:sz="4" w:space="23"/>
        </w:pBdr>
        <w:tabs>
          <w:tab w:val="left" w:pos="1440"/>
        </w:tabs>
        <w:adjustRightInd w:val="0"/>
        <w:snapToGrid w:val="0"/>
        <w:spacing w:line="240" w:lineRule="auto"/>
        <w:ind w:left="0" w:leftChars="0" w:firstLine="640" w:firstLineChars="200"/>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rPr>
        <w:t xml:space="preserve">3.医疗卫生与计划生育支出，2026年预算数为18.15万元，主要用于：缴纳单位职工医疗保险等。 </w:t>
      </w:r>
      <w:r>
        <w:rPr>
          <w:rFonts w:hint="eastAsia" w:ascii="仿宋_GB2312" w:hAnsi="仿宋_GB2312" w:eastAsia="仿宋_GB2312" w:cs="仿宋_GB2312"/>
          <w:color w:val="333333"/>
          <w:sz w:val="32"/>
          <w:szCs w:val="32"/>
          <w:lang w:val="en-US" w:eastAsia="zh-CN"/>
        </w:rPr>
        <w:t xml:space="preserve"> </w:t>
      </w:r>
    </w:p>
    <w:p w14:paraId="4B685DE6">
      <w:pPr>
        <w:numPr>
          <w:ilvl w:val="0"/>
          <w:numId w:val="0"/>
        </w:numPr>
        <w:pBdr>
          <w:bottom w:val="single" w:color="FFFFFF" w:sz="4" w:space="23"/>
        </w:pBdr>
        <w:tabs>
          <w:tab w:val="left" w:pos="1440"/>
        </w:tabs>
        <w:adjustRightInd w:val="0"/>
        <w:snapToGrid w:val="0"/>
        <w:spacing w:line="240" w:lineRule="auto"/>
        <w:ind w:left="0" w:leftChars="0" w:firstLine="640" w:firstLineChars="200"/>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rPr>
        <w:t xml:space="preserve">4.住房保障支出，2026年预算数为25.35万元，主要用于：缴纳单位职工住房公积金。 </w:t>
      </w:r>
      <w:r>
        <w:rPr>
          <w:rFonts w:hint="eastAsia" w:ascii="仿宋_GB2312" w:hAnsi="仿宋_GB2312" w:eastAsia="仿宋_GB2312" w:cs="仿宋_GB2312"/>
          <w:color w:val="333333"/>
          <w:sz w:val="32"/>
          <w:szCs w:val="32"/>
          <w:lang w:val="en-US" w:eastAsia="zh-CN"/>
        </w:rPr>
        <w:t xml:space="preserve"> </w:t>
      </w:r>
    </w:p>
    <w:p w14:paraId="6899BAD9">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333333"/>
          <w:sz w:val="32"/>
          <w:szCs w:val="32"/>
          <w:lang w:val="en-US" w:eastAsia="zh-CN"/>
        </w:rPr>
      </w:pPr>
      <w:r>
        <w:rPr>
          <w:rFonts w:hint="eastAsia" w:ascii="黑体" w:hAnsi="黑体" w:eastAsia="黑体" w:cs="黑体"/>
          <w:color w:val="333333"/>
          <w:sz w:val="32"/>
          <w:szCs w:val="32"/>
        </w:rPr>
        <w:t>六、一般公共预算基本支出情况说明</w:t>
      </w:r>
      <w:r>
        <w:rPr>
          <w:rFonts w:hint="eastAsia" w:ascii="仿宋_GB2312" w:hAnsi="仿宋_GB2312" w:eastAsia="仿宋_GB2312" w:cs="仿宋_GB2312"/>
          <w:color w:val="333333"/>
          <w:sz w:val="32"/>
          <w:szCs w:val="32"/>
        </w:rPr>
        <w:t xml:space="preserve"> </w:t>
      </w:r>
      <w:r>
        <w:rPr>
          <w:rFonts w:hint="eastAsia" w:ascii="仿宋_GB2312" w:hAnsi="仿宋_GB2312" w:eastAsia="仿宋_GB2312" w:cs="仿宋_GB2312"/>
          <w:color w:val="333333"/>
          <w:sz w:val="32"/>
          <w:szCs w:val="32"/>
          <w:lang w:val="en-US" w:eastAsia="zh-CN"/>
        </w:rPr>
        <w:t xml:space="preserve"> </w:t>
      </w:r>
    </w:p>
    <w:p w14:paraId="783ED0E3">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rPr>
        <w:t xml:space="preserve">县经信局2026年一般公共预算基本支出291.97万元，其中：人员经费269.19万元，主要包括：基本工资、津贴补贴、奖金、其他社会保障缴费、绩效工资、机关事业单位基本养老保险缴费、职业年金缴费、其他工资福利支出、离休费、奖励金、住房公积金、其他对个人和家庭的补助支出。公用经费22.78万元，主要包括：办公费、印刷费、手续费、水费、电费、邮电费、差旅费、维修（护）费、租赁费、会议费、培训费、劳务费、工会经费、福利费、其他交通工具运行维护费、其他商品和服务支出。 </w:t>
      </w:r>
      <w:r>
        <w:rPr>
          <w:rFonts w:hint="eastAsia" w:ascii="仿宋_GB2312" w:hAnsi="仿宋_GB2312" w:eastAsia="仿宋_GB2312" w:cs="仿宋_GB2312"/>
          <w:color w:val="333333"/>
          <w:sz w:val="32"/>
          <w:szCs w:val="32"/>
          <w:lang w:val="en-US" w:eastAsia="zh-CN"/>
        </w:rPr>
        <w:t xml:space="preserve"> </w:t>
      </w:r>
    </w:p>
    <w:p w14:paraId="589FEAA8">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黑体" w:hAnsi="黑体" w:eastAsia="黑体" w:cs="黑体"/>
          <w:color w:val="333333"/>
          <w:kern w:val="2"/>
          <w:sz w:val="32"/>
          <w:szCs w:val="32"/>
          <w:lang w:val="en-US" w:eastAsia="zh-CN" w:bidi="ar-SA"/>
        </w:rPr>
      </w:pPr>
      <w:r>
        <w:rPr>
          <w:rFonts w:hint="eastAsia" w:ascii="黑体" w:hAnsi="黑体" w:eastAsia="黑体" w:cs="黑体"/>
          <w:color w:val="333333"/>
          <w:kern w:val="2"/>
          <w:sz w:val="32"/>
          <w:szCs w:val="32"/>
          <w:lang w:val="en-US" w:eastAsia="zh-CN" w:bidi="ar-SA"/>
        </w:rPr>
        <w:t xml:space="preserve">七、“三公”经费财政拨款预算安排情况说明 </w:t>
      </w:r>
    </w:p>
    <w:p w14:paraId="0FE59160">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县经信局2026年“三公”经费财政拨款预算数5万元，其中：因公出国（境）经费0万元，公务接待费0万元，公务用车购置及运行维护费5万元。</w:t>
      </w:r>
    </w:p>
    <w:p w14:paraId="13A034B6">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（一）2026年因公出国（境）经费0万元。较2025年预算经费</w:t>
      </w:r>
      <w:r>
        <w:rPr>
          <w:rFonts w:hint="eastAsia" w:ascii="仿宋_GB2312" w:hAnsi="仿宋_GB2312" w:eastAsia="仿宋_GB2312" w:cs="仿宋_GB2312"/>
          <w:color w:val="333333"/>
          <w:sz w:val="32"/>
          <w:szCs w:val="32"/>
          <w:lang w:val="en-US" w:eastAsia="zh-CN"/>
        </w:rPr>
        <w:t>0万元增长0%，主要原因是:无</w:t>
      </w:r>
      <w:r>
        <w:rPr>
          <w:rFonts w:hint="eastAsia" w:ascii="仿宋_GB2312" w:hAnsi="仿宋_GB2312" w:eastAsia="仿宋_GB2312" w:cs="仿宋_GB2312"/>
          <w:color w:val="333333"/>
          <w:sz w:val="32"/>
          <w:szCs w:val="32"/>
        </w:rPr>
        <w:t>公出国（境）经费。</w:t>
      </w:r>
    </w:p>
    <w:p w14:paraId="0450B002">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（二）2025年公务接待费0万元。较2025年预算经费</w:t>
      </w:r>
      <w:r>
        <w:rPr>
          <w:rFonts w:hint="eastAsia" w:ascii="仿宋_GB2312" w:hAnsi="仿宋_GB2312" w:eastAsia="仿宋_GB2312" w:cs="仿宋_GB2312"/>
          <w:color w:val="333333"/>
          <w:sz w:val="32"/>
          <w:szCs w:val="32"/>
          <w:lang w:val="en-US" w:eastAsia="zh-CN"/>
        </w:rPr>
        <w:t>0.36万元</w:t>
      </w:r>
      <w:r>
        <w:rPr>
          <w:rFonts w:hint="eastAsia" w:ascii="仿宋_GB2312" w:hAnsi="仿宋_GB2312" w:eastAsia="仿宋_GB2312" w:cs="仿宋_GB2312"/>
          <w:color w:val="333333"/>
          <w:sz w:val="32"/>
          <w:szCs w:val="32"/>
        </w:rPr>
        <w:t>减少100%，</w:t>
      </w:r>
      <w:r>
        <w:rPr>
          <w:rFonts w:hint="eastAsia" w:ascii="仿宋_GB2312" w:hAnsi="仿宋_GB2312" w:eastAsia="仿宋_GB2312" w:cs="仿宋_GB2312"/>
          <w:color w:val="333333"/>
          <w:sz w:val="32"/>
          <w:szCs w:val="32"/>
          <w:lang w:eastAsia="zh-CN"/>
        </w:rPr>
        <w:t>主要</w:t>
      </w:r>
      <w:r>
        <w:rPr>
          <w:rFonts w:hint="eastAsia" w:ascii="仿宋_GB2312" w:hAnsi="仿宋_GB2312" w:eastAsia="仿宋_GB2312" w:cs="仿宋_GB2312"/>
          <w:color w:val="333333"/>
          <w:sz w:val="32"/>
          <w:szCs w:val="32"/>
        </w:rPr>
        <w:t>原因是</w:t>
      </w:r>
      <w:r>
        <w:rPr>
          <w:rFonts w:hint="eastAsia" w:ascii="仿宋_GB2312" w:hAnsi="仿宋_GB2312" w:eastAsia="仿宋_GB2312" w:cs="仿宋_GB2312"/>
          <w:color w:val="333333"/>
          <w:sz w:val="32"/>
          <w:szCs w:val="32"/>
          <w:lang w:eastAsia="zh-CN"/>
        </w:rPr>
        <w:t>：厉行节约、杜绝浪费。</w:t>
      </w:r>
    </w:p>
    <w:p w14:paraId="2A88F2D1">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（三）2026年公务用车购置费及运行维护费5万元,其中公务用车购置费0万元，运行维护费5万元，较2025年预算经费</w:t>
      </w:r>
      <w:r>
        <w:rPr>
          <w:rFonts w:hint="eastAsia" w:ascii="仿宋_GB2312" w:hAnsi="仿宋_GB2312" w:eastAsia="仿宋_GB2312" w:cs="仿宋_GB2312"/>
          <w:color w:val="333333"/>
          <w:sz w:val="32"/>
          <w:szCs w:val="32"/>
          <w:lang w:val="en-US" w:eastAsia="zh-CN"/>
        </w:rPr>
        <w:t>5万元增长0%，主要原因是：公车数量无变化。</w:t>
      </w:r>
      <w:bookmarkStart w:id="0" w:name="_GoBack"/>
      <w:bookmarkEnd w:id="0"/>
      <w:r>
        <w:rPr>
          <w:rFonts w:hint="eastAsia" w:ascii="仿宋_GB2312" w:hAnsi="仿宋_GB2312" w:eastAsia="仿宋_GB2312" w:cs="仿宋_GB2312"/>
          <w:color w:val="FF0000"/>
          <w:sz w:val="32"/>
          <w:szCs w:val="32"/>
        </w:rPr>
        <w:t xml:space="preserve"> </w:t>
      </w:r>
    </w:p>
    <w:p w14:paraId="47D14940">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黑体" w:hAnsi="黑体" w:eastAsia="黑体" w:cs="黑体"/>
          <w:color w:val="333333"/>
          <w:sz w:val="32"/>
          <w:szCs w:val="32"/>
          <w:lang w:val="en-US" w:eastAsia="zh-CN"/>
        </w:rPr>
      </w:pPr>
      <w:r>
        <w:rPr>
          <w:rFonts w:hint="eastAsia" w:ascii="黑体" w:hAnsi="黑体" w:eastAsia="黑体" w:cs="黑体"/>
          <w:color w:val="333333"/>
          <w:kern w:val="2"/>
          <w:sz w:val="32"/>
          <w:szCs w:val="32"/>
          <w:lang w:val="en-US" w:eastAsia="zh-CN" w:bidi="ar-SA"/>
        </w:rPr>
        <w:t>八、</w:t>
      </w:r>
      <w:r>
        <w:rPr>
          <w:rFonts w:hint="eastAsia" w:ascii="黑体" w:hAnsi="黑体" w:eastAsia="黑体" w:cs="黑体"/>
          <w:color w:val="333333"/>
          <w:sz w:val="32"/>
          <w:szCs w:val="32"/>
        </w:rPr>
        <w:t>政府性基金预算支出情况说明</w:t>
      </w:r>
      <w:r>
        <w:rPr>
          <w:rFonts w:hint="eastAsia" w:ascii="黑体" w:hAnsi="黑体" w:eastAsia="黑体" w:cs="黑体"/>
          <w:color w:val="333333"/>
          <w:sz w:val="32"/>
          <w:szCs w:val="32"/>
          <w:lang w:val="en-US" w:eastAsia="zh-CN"/>
        </w:rPr>
        <w:t xml:space="preserve"> </w:t>
      </w:r>
    </w:p>
    <w:p w14:paraId="31D90E3E">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240" w:lineRule="auto"/>
        <w:ind w:left="0" w:leftChars="0" w:firstLine="640" w:firstLineChars="200"/>
        <w:textAlignment w:val="auto"/>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县经信局2026年政府性基金预算拨款安排的支出0万元。较2025年预算经费0万元增长0%，主要原因是：</w:t>
      </w:r>
      <w:r>
        <w:rPr>
          <w:rFonts w:hint="eastAsia" w:ascii="仿宋_GB2312" w:hAnsi="仿宋_GB2312" w:eastAsia="仿宋_GB2312" w:cs="仿宋_GB2312"/>
          <w:color w:val="333333"/>
          <w:sz w:val="32"/>
          <w:szCs w:val="32"/>
          <w:lang w:eastAsia="zh-CN"/>
        </w:rPr>
        <w:t>没有</w:t>
      </w:r>
      <w:r>
        <w:rPr>
          <w:rFonts w:hint="eastAsia" w:ascii="仿宋_GB2312" w:hAnsi="仿宋_GB2312" w:eastAsia="仿宋_GB2312" w:cs="仿宋_GB2312"/>
          <w:color w:val="333333"/>
          <w:sz w:val="32"/>
          <w:szCs w:val="32"/>
        </w:rPr>
        <w:t>政府性基金</w:t>
      </w:r>
      <w:r>
        <w:rPr>
          <w:rFonts w:hint="eastAsia" w:ascii="仿宋_GB2312" w:hAnsi="仿宋_GB2312" w:eastAsia="仿宋_GB2312" w:cs="仿宋_GB2312"/>
          <w:color w:val="333333"/>
          <w:sz w:val="32"/>
          <w:szCs w:val="32"/>
          <w:lang w:eastAsia="zh-CN"/>
        </w:rPr>
        <w:t>预算支出</w:t>
      </w:r>
      <w:r>
        <w:rPr>
          <w:rFonts w:hint="eastAsia" w:ascii="仿宋_GB2312" w:hAnsi="仿宋_GB2312" w:eastAsia="仿宋_GB2312" w:cs="仿宋_GB2312"/>
          <w:color w:val="333333"/>
          <w:sz w:val="32"/>
          <w:szCs w:val="32"/>
        </w:rPr>
        <w:t>。</w:t>
      </w:r>
    </w:p>
    <w:p w14:paraId="28C893A0">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黑体" w:hAnsi="黑体" w:eastAsia="黑体" w:cs="黑体"/>
          <w:color w:val="333333"/>
          <w:kern w:val="2"/>
          <w:sz w:val="32"/>
          <w:szCs w:val="32"/>
          <w:lang w:val="en-US" w:eastAsia="zh-CN" w:bidi="ar-SA"/>
        </w:rPr>
      </w:pPr>
      <w:r>
        <w:rPr>
          <w:rFonts w:hint="eastAsia" w:ascii="黑体" w:hAnsi="黑体" w:eastAsia="黑体" w:cs="黑体"/>
          <w:color w:val="333333"/>
          <w:kern w:val="2"/>
          <w:sz w:val="32"/>
          <w:szCs w:val="32"/>
          <w:lang w:val="en-US" w:eastAsia="zh-CN" w:bidi="ar-SA"/>
        </w:rPr>
        <w:t xml:space="preserve">九、国有资本经营预算支出情况说明 </w:t>
      </w:r>
    </w:p>
    <w:p w14:paraId="460EE051">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333333"/>
          <w:kern w:val="2"/>
          <w:sz w:val="32"/>
          <w:szCs w:val="32"/>
          <w:lang w:val="en-US" w:eastAsia="zh-CN" w:bidi="ar-SA"/>
        </w:rPr>
      </w:pPr>
      <w:r>
        <w:rPr>
          <w:rFonts w:hint="eastAsia" w:ascii="仿宋_GB2312" w:hAnsi="仿宋_GB2312" w:eastAsia="仿宋_GB2312" w:cs="仿宋_GB2312"/>
          <w:color w:val="333333"/>
          <w:kern w:val="2"/>
          <w:sz w:val="32"/>
          <w:szCs w:val="32"/>
          <w:lang w:val="en-US" w:eastAsia="zh-CN" w:bidi="ar-SA"/>
        </w:rPr>
        <w:t>县经信局2026年国有资本经营预算拨款安排的支出0万元。较2025年预算经费0万元增长0%，主要原因是：没有国有资本经营</w:t>
      </w:r>
      <w:r>
        <w:rPr>
          <w:rFonts w:hint="eastAsia" w:ascii="仿宋_GB2312" w:hAnsi="仿宋_GB2312" w:eastAsia="仿宋_GB2312" w:cs="仿宋_GB2312"/>
          <w:color w:val="333333"/>
          <w:sz w:val="32"/>
          <w:szCs w:val="32"/>
          <w:lang w:eastAsia="zh-CN"/>
        </w:rPr>
        <w:t>预算支出</w:t>
      </w:r>
      <w:r>
        <w:rPr>
          <w:rFonts w:hint="eastAsia" w:ascii="仿宋_GB2312" w:hAnsi="仿宋_GB2312" w:eastAsia="仿宋_GB2312" w:cs="仿宋_GB2312"/>
          <w:color w:val="333333"/>
          <w:kern w:val="2"/>
          <w:sz w:val="32"/>
          <w:szCs w:val="32"/>
          <w:lang w:val="en-US" w:eastAsia="zh-CN" w:bidi="ar-SA"/>
        </w:rPr>
        <w:t>。</w:t>
      </w:r>
    </w:p>
    <w:p w14:paraId="4E222F2C">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黑体" w:hAnsi="黑体" w:eastAsia="黑体" w:cs="黑体"/>
          <w:color w:val="333333"/>
          <w:sz w:val="32"/>
          <w:szCs w:val="32"/>
        </w:rPr>
      </w:pPr>
      <w:r>
        <w:rPr>
          <w:rFonts w:hint="eastAsia" w:ascii="黑体" w:hAnsi="黑体" w:eastAsia="黑体" w:cs="黑体"/>
          <w:color w:val="333333"/>
          <w:sz w:val="32"/>
          <w:szCs w:val="32"/>
        </w:rPr>
        <w:t xml:space="preserve">十、其他重要事项的情况说明 </w:t>
      </w:r>
    </w:p>
    <w:p w14:paraId="6F279EFC">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kern w:val="2"/>
          <w:sz w:val="32"/>
          <w:szCs w:val="32"/>
          <w:lang w:val="en-US" w:eastAsia="zh-CN" w:bidi="ar-SA"/>
        </w:rPr>
        <w:t>（一）</w:t>
      </w:r>
      <w:r>
        <w:rPr>
          <w:rFonts w:hint="eastAsia" w:ascii="仿宋_GB2312" w:hAnsi="仿宋_GB2312" w:eastAsia="仿宋_GB2312" w:cs="仿宋_GB2312"/>
          <w:color w:val="333333"/>
          <w:sz w:val="32"/>
          <w:szCs w:val="32"/>
        </w:rPr>
        <w:t>机关运行经费</w:t>
      </w:r>
    </w:p>
    <w:p w14:paraId="67DF9D8E">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FF0000"/>
          <w:sz w:val="32"/>
          <w:szCs w:val="32"/>
        </w:rPr>
      </w:pPr>
      <w:r>
        <w:rPr>
          <w:rFonts w:hint="eastAsia" w:ascii="仿宋_GB2312" w:hAnsi="仿宋_GB2312" w:eastAsia="仿宋_GB2312" w:cs="仿宋_GB2312"/>
          <w:color w:val="333333"/>
          <w:sz w:val="32"/>
          <w:szCs w:val="32"/>
        </w:rPr>
        <w:t>县经信局2026年机关运行经费财政拨款预算为22.78万元，比2025年预算减少3.16万元，</w:t>
      </w:r>
      <w:r>
        <w:rPr>
          <w:rFonts w:hint="eastAsia" w:ascii="仿宋_GB2312" w:hAnsi="仿宋_GB2312" w:eastAsia="仿宋_GB2312" w:cs="仿宋_GB2312"/>
          <w:color w:val="333333"/>
          <w:sz w:val="32"/>
          <w:szCs w:val="32"/>
          <w:lang w:eastAsia="zh-CN"/>
        </w:rPr>
        <w:t>增长</w:t>
      </w:r>
      <w:r>
        <w:rPr>
          <w:rFonts w:hint="eastAsia" w:ascii="仿宋_GB2312" w:hAnsi="仿宋_GB2312" w:eastAsia="仿宋_GB2312" w:cs="仿宋_GB2312"/>
          <w:color w:val="333333"/>
          <w:sz w:val="32"/>
          <w:szCs w:val="32"/>
          <w:lang w:val="en-US" w:eastAsia="zh-CN"/>
        </w:rPr>
        <w:t>-</w:t>
      </w:r>
      <w:r>
        <w:rPr>
          <w:rFonts w:hint="eastAsia" w:ascii="仿宋_GB2312" w:hAnsi="仿宋_GB2312" w:eastAsia="仿宋_GB2312" w:cs="仿宋_GB2312"/>
          <w:color w:val="333333"/>
          <w:sz w:val="32"/>
          <w:szCs w:val="32"/>
          <w:lang w:eastAsia="zh-CN"/>
        </w:rPr>
        <w:t xml:space="preserve">12.18%。 </w:t>
      </w:r>
    </w:p>
    <w:p w14:paraId="08AD584C">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333333"/>
          <w:kern w:val="2"/>
          <w:sz w:val="32"/>
          <w:szCs w:val="32"/>
          <w:lang w:val="en-US" w:eastAsia="zh-CN" w:bidi="ar-SA"/>
        </w:rPr>
      </w:pPr>
      <w:r>
        <w:rPr>
          <w:rFonts w:hint="eastAsia" w:ascii="仿宋_GB2312" w:hAnsi="仿宋_GB2312" w:eastAsia="仿宋_GB2312" w:cs="仿宋_GB2312"/>
          <w:color w:val="333333"/>
          <w:kern w:val="2"/>
          <w:sz w:val="32"/>
          <w:szCs w:val="32"/>
          <w:lang w:val="en-US" w:eastAsia="zh-CN" w:bidi="ar-SA"/>
        </w:rPr>
        <w:t xml:space="preserve">（二）政府采购情况 </w:t>
      </w:r>
    </w:p>
    <w:p w14:paraId="6535F073">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ascii="仿宋_GB2312" w:hAnsi="仿宋_GB2312" w:eastAsia="仿宋_GB2312" w:cs="仿宋_GB2312"/>
          <w:color w:val="333333"/>
          <w:sz w:val="32"/>
          <w:szCs w:val="32"/>
        </w:rPr>
      </w:pPr>
      <w:r>
        <w:rPr>
          <w:rFonts w:hint="eastAsia" w:ascii="仿宋_GB2312" w:hAnsi="仿宋_GB2312" w:eastAsia="仿宋_GB2312" w:cs="仿宋_GB2312"/>
          <w:color w:val="333333"/>
          <w:kern w:val="2"/>
          <w:sz w:val="32"/>
          <w:szCs w:val="32"/>
          <w:lang w:val="en-US" w:eastAsia="zh-CN" w:bidi="ar-SA"/>
        </w:rPr>
        <w:t>2026年县经信局安排政府采购预算0万元，较2025年预算经费无变化。</w:t>
      </w:r>
      <w:r>
        <w:rPr>
          <w:rFonts w:hint="eastAsia" w:ascii="仿宋_GB2312" w:hAnsi="仿宋_GB2312" w:eastAsia="仿宋_GB2312" w:cs="仿宋_GB2312"/>
          <w:color w:val="333333"/>
          <w:sz w:val="32"/>
          <w:szCs w:val="32"/>
        </w:rPr>
        <w:t xml:space="preserve"> </w:t>
      </w:r>
    </w:p>
    <w:p w14:paraId="0158CD36">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333333"/>
          <w:kern w:val="2"/>
          <w:sz w:val="32"/>
          <w:szCs w:val="32"/>
          <w:lang w:val="en-US" w:eastAsia="zh-CN" w:bidi="ar-SA"/>
        </w:rPr>
      </w:pPr>
      <w:r>
        <w:rPr>
          <w:rFonts w:hint="eastAsia" w:ascii="仿宋_GB2312" w:hAnsi="仿宋_GB2312" w:eastAsia="仿宋_GB2312" w:cs="仿宋_GB2312"/>
          <w:color w:val="333333"/>
          <w:sz w:val="32"/>
          <w:szCs w:val="32"/>
        </w:rPr>
        <w:t>(</w:t>
      </w:r>
      <w:r>
        <w:rPr>
          <w:rFonts w:hint="eastAsia" w:ascii="仿宋_GB2312" w:hAnsi="仿宋_GB2312" w:eastAsia="仿宋_GB2312" w:cs="仿宋_GB2312"/>
          <w:color w:val="333333"/>
          <w:kern w:val="2"/>
          <w:sz w:val="32"/>
          <w:szCs w:val="32"/>
          <w:lang w:val="en-US" w:eastAsia="zh-CN" w:bidi="ar-SA"/>
        </w:rPr>
        <w:t>三)国有资产占有使用情况</w:t>
      </w:r>
    </w:p>
    <w:p w14:paraId="13ED1C8D">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333333"/>
          <w:kern w:val="2"/>
          <w:sz w:val="32"/>
          <w:szCs w:val="32"/>
          <w:lang w:val="en-US" w:eastAsia="zh-CN" w:bidi="ar-SA"/>
        </w:rPr>
      </w:pPr>
      <w:r>
        <w:rPr>
          <w:rFonts w:hint="eastAsia" w:ascii="仿宋_GB2312" w:hAnsi="仿宋_GB2312" w:eastAsia="仿宋_GB2312" w:cs="仿宋_GB2312"/>
          <w:color w:val="333333"/>
          <w:kern w:val="2"/>
          <w:sz w:val="32"/>
          <w:szCs w:val="32"/>
          <w:lang w:val="en-US" w:eastAsia="zh-CN" w:bidi="ar-SA"/>
        </w:rPr>
        <w:t>截至2026年12月31日，若尔盖县经信局固定资产11.71万元,为办公设施设备。净资产合计3.37万元。</w:t>
      </w:r>
    </w:p>
    <w:p w14:paraId="2380BBBD">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lang w:val="en-US" w:eastAsia="zh-CN"/>
        </w:rPr>
        <w:t>（四）</w:t>
      </w:r>
      <w:r>
        <w:rPr>
          <w:rFonts w:hint="eastAsia" w:ascii="仿宋_GB2312" w:hAnsi="仿宋_GB2312" w:eastAsia="仿宋_GB2312" w:cs="仿宋_GB2312"/>
          <w:color w:val="333333"/>
          <w:sz w:val="32"/>
          <w:szCs w:val="32"/>
        </w:rPr>
        <w:t xml:space="preserve">绩效目标设置情况 </w:t>
      </w:r>
    </w:p>
    <w:p w14:paraId="384A3204">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2026年县经信局均按要求实行绩效目标管理，涉及一般公共预算当年拨款291.97万元。达到工业企业技术改造，提升企业产值，同时，加强社销零企业（个体户）升规入统，增强我县经济发展；202</w:t>
      </w:r>
      <w:r>
        <w:rPr>
          <w:rFonts w:hint="eastAsia" w:ascii="仿宋_GB2312" w:hAnsi="仿宋_GB2312" w:eastAsia="仿宋_GB2312" w:cs="仿宋_GB2312"/>
          <w:color w:val="333333"/>
          <w:sz w:val="32"/>
          <w:szCs w:val="32"/>
          <w:lang w:val="en-US" w:eastAsia="zh-CN"/>
        </w:rPr>
        <w:t>6</w:t>
      </w:r>
      <w:r>
        <w:rPr>
          <w:rFonts w:hint="eastAsia" w:ascii="仿宋_GB2312" w:hAnsi="仿宋_GB2312" w:eastAsia="仿宋_GB2312" w:cs="仿宋_GB2312"/>
          <w:color w:val="333333"/>
          <w:sz w:val="32"/>
          <w:szCs w:val="32"/>
        </w:rPr>
        <w:t xml:space="preserve">年加快开展招商引资工作和带动企业外出展销，达到企业（个体户）升级改造，带动农牧民增收。 </w:t>
      </w:r>
    </w:p>
    <w:p w14:paraId="1075A23E">
      <w:pPr>
        <w:keepNext w:val="0"/>
        <w:keepLines w:val="0"/>
        <w:pageBreakBefore w:val="0"/>
        <w:widowControl w:val="0"/>
        <w:numPr>
          <w:ilvl w:val="0"/>
          <w:numId w:val="3"/>
        </w:numPr>
        <w:pBdr>
          <w:bottom w:val="single" w:color="FFFFFF" w:sz="4" w:space="23"/>
        </w:pBdr>
        <w:tabs>
          <w:tab w:val="left" w:pos="1440"/>
        </w:tabs>
        <w:kinsoku/>
        <w:wordWrap/>
        <w:overflowPunct/>
        <w:topLinePunct w:val="0"/>
        <w:autoSpaceDE/>
        <w:autoSpaceDN/>
        <w:bidi w:val="0"/>
        <w:adjustRightInd w:val="0"/>
        <w:snapToGrid w:val="0"/>
        <w:spacing w:line="360" w:lineRule="auto"/>
        <w:ind w:left="0" w:leftChars="0" w:firstLine="640" w:firstLineChars="200"/>
        <w:textAlignment w:val="auto"/>
        <w:rPr>
          <w:rFonts w:hint="eastAsia" w:ascii="黑体" w:hAnsi="黑体" w:eastAsia="黑体" w:cs="黑体"/>
          <w:color w:val="333333"/>
          <w:sz w:val="32"/>
          <w:szCs w:val="32"/>
        </w:rPr>
      </w:pPr>
      <w:r>
        <w:rPr>
          <w:rFonts w:hint="eastAsia" w:ascii="黑体" w:hAnsi="黑体" w:eastAsia="黑体" w:cs="黑体"/>
          <w:color w:val="333333"/>
          <w:sz w:val="32"/>
          <w:szCs w:val="32"/>
        </w:rPr>
        <w:t>名词解释</w:t>
      </w:r>
    </w:p>
    <w:p w14:paraId="296F73D8">
      <w:pPr>
        <w:keepNext w:val="0"/>
        <w:keepLines w:val="0"/>
        <w:pageBreakBefore w:val="0"/>
        <w:widowControl w:val="0"/>
        <w:numPr>
          <w:ilvl w:val="0"/>
          <w:numId w:val="0"/>
        </w:numPr>
        <w:pBdr>
          <w:bottom w:val="single" w:color="FFFFFF" w:sz="4" w:space="23"/>
        </w:pBdr>
        <w:tabs>
          <w:tab w:val="left" w:pos="1440"/>
        </w:tabs>
        <w:kinsoku/>
        <w:wordWrap/>
        <w:overflowPunct/>
        <w:topLinePunct w:val="0"/>
        <w:autoSpaceDE/>
        <w:autoSpaceDN/>
        <w:bidi w:val="0"/>
        <w:adjustRightInd w:val="0"/>
        <w:snapToGrid w:val="0"/>
        <w:spacing w:line="240" w:lineRule="auto"/>
        <w:ind w:left="0" w:leftChars="0" w:firstLine="640" w:firstLineChars="200"/>
        <w:textAlignment w:val="auto"/>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（一）财政拨款收入：指由财政拨款形成的部门收入。按现行管理制度，部门预算中反映的财政拨款仅包括一般公共预算拨款和政府性基金预算拨款。 </w:t>
      </w:r>
    </w:p>
    <w:p w14:paraId="1956CE98">
      <w:pPr>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（二）事业收入：指所属事业单位开展专业业务活动及辅助活动所取得的收入。 </w:t>
      </w:r>
    </w:p>
    <w:p w14:paraId="0D9289B3">
      <w:pPr>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（三）事业单位经营收入：指所属事业单位在专业业务活动及其辅助活动之外开展非独立核算经营活动取得的收入。</w:t>
      </w:r>
    </w:p>
    <w:p w14:paraId="35F39468">
      <w:pPr>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（四）其他收入：指除上述“财政拨款收入”、“事业收入”、“事业单位经营收入”等以外的收入，主要是所属行政事业单位按规定动用的售房收入、存款利息收入等。 </w:t>
      </w:r>
    </w:p>
    <w:p w14:paraId="2F54753A">
      <w:pPr>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五）用事业基金弥补收支差额：指所属事业单位在预计用当年的“财政拨款收入”、“事业收入”、“事业单位经营收入”、“其他收入”不足以安排当年支出的情况下，使用以前年度积累的事业基金弥补本年度收支缺口的资金。 </w:t>
      </w:r>
    </w:p>
    <w:p w14:paraId="08B55E0A">
      <w:pPr>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（六）上年结转：指所属行政事业单位以前年度尚未完成、结转至本年按原规定用途继续使用的资金和以前年度已完成项目剩余资金经批准用于新用途使用的资金。 </w:t>
      </w:r>
    </w:p>
    <w:p w14:paraId="13E5F06E">
      <w:pPr>
        <w:spacing w:line="560" w:lineRule="exact"/>
        <w:ind w:firstLine="1280" w:firstLineChars="400"/>
        <w:rPr>
          <w:rFonts w:ascii="仿宋_GB2312" w:hAnsi="仿宋_GB2312" w:eastAsia="仿宋_GB2312" w:cs="仿宋_GB2312"/>
          <w:color w:val="333333"/>
          <w:sz w:val="32"/>
          <w:szCs w:val="32"/>
        </w:rPr>
      </w:pPr>
    </w:p>
    <w:p w14:paraId="64990E2A">
      <w:pPr>
        <w:spacing w:line="560" w:lineRule="exact"/>
        <w:ind w:firstLine="643" w:firstLineChars="200"/>
        <w:rPr>
          <w:rFonts w:ascii="仿宋_GB2312" w:hAnsi="仿宋_GB2312" w:eastAsia="仿宋_GB2312" w:cs="仿宋_GB2312"/>
          <w:b/>
          <w:bCs/>
          <w:sz w:val="32"/>
          <w:szCs w:val="32"/>
        </w:rPr>
      </w:pPr>
    </w:p>
    <w:sectPr>
      <w:footerReference r:id="rId3" w:type="default"/>
      <w:pgSz w:w="11906" w:h="16838"/>
      <w:pgMar w:top="2098" w:right="1474" w:bottom="1984" w:left="158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689C9">
    <w:pPr>
      <w:pStyle w:val="4"/>
    </w:pPr>
    <w:r>
      <w:pict>
        <v:shape id="_x0000_s4097" o:spid="_x0000_s4097" o:spt="202" type="#_x0000_t202" style="position:absolute;left:0pt;margin-top:0pt;height:21.95pt;width:4.6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360A1B3D">
                <w:pPr>
                  <w:pStyle w:val="4"/>
                </w:pPr>
                <w:r>
                  <w:fldChar w:fldCharType="begin"/>
                </w:r>
                <w:r>
                  <w:instrText xml:space="preserve"> PAGE  \* MERGEFORMAT </w:instrText>
                </w:r>
                <w:r>
                  <w:fldChar w:fldCharType="separate"/>
                </w:r>
                <w:r>
                  <w:t>8</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201365"/>
    <w:multiLevelType w:val="singleLevel"/>
    <w:tmpl w:val="D0201365"/>
    <w:lvl w:ilvl="0" w:tentative="0">
      <w:start w:val="1"/>
      <w:numFmt w:val="chineseCounting"/>
      <w:suff w:val="nothing"/>
      <w:lvlText w:val="（%1）"/>
      <w:lvlJc w:val="left"/>
      <w:rPr>
        <w:rFonts w:hint="eastAsia"/>
      </w:rPr>
    </w:lvl>
  </w:abstractNum>
  <w:abstractNum w:abstractNumId="1">
    <w:nsid w:val="277C578B"/>
    <w:multiLevelType w:val="singleLevel"/>
    <w:tmpl w:val="277C578B"/>
    <w:lvl w:ilvl="0" w:tentative="0">
      <w:start w:val="11"/>
      <w:numFmt w:val="chineseCounting"/>
      <w:suff w:val="nothing"/>
      <w:lvlText w:val="%1、"/>
      <w:lvlJc w:val="left"/>
      <w:rPr>
        <w:rFonts w:hint="eastAsia"/>
      </w:rPr>
    </w:lvl>
  </w:abstractNum>
  <w:abstractNum w:abstractNumId="2">
    <w:nsid w:val="28F27FE7"/>
    <w:multiLevelType w:val="multilevel"/>
    <w:tmpl w:val="28F27FE7"/>
    <w:lvl w:ilvl="0" w:tentative="0">
      <w:start w:val="1"/>
      <w:numFmt w:val="japaneseCounting"/>
      <w:lvlText w:val="%1、"/>
      <w:lvlJc w:val="left"/>
      <w:pPr>
        <w:ind w:left="880" w:hanging="8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8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zZlZTA3ZmY5NzUzZGNmYzI2Zjg5YjJjZDk4NjJkNjQifQ=="/>
  </w:docVars>
  <w:rsids>
    <w:rsidRoot w:val="00A56BC9"/>
    <w:rsid w:val="0005416B"/>
    <w:rsid w:val="000921D5"/>
    <w:rsid w:val="000F15D7"/>
    <w:rsid w:val="0014246D"/>
    <w:rsid w:val="002A1ADD"/>
    <w:rsid w:val="00324125"/>
    <w:rsid w:val="003468E5"/>
    <w:rsid w:val="00374140"/>
    <w:rsid w:val="00395B14"/>
    <w:rsid w:val="004B5503"/>
    <w:rsid w:val="00534416"/>
    <w:rsid w:val="005C5783"/>
    <w:rsid w:val="00652157"/>
    <w:rsid w:val="007078C8"/>
    <w:rsid w:val="007C6B40"/>
    <w:rsid w:val="00832BDF"/>
    <w:rsid w:val="009C78E8"/>
    <w:rsid w:val="00A56BC9"/>
    <w:rsid w:val="00AF3202"/>
    <w:rsid w:val="00B60B7C"/>
    <w:rsid w:val="00C06C33"/>
    <w:rsid w:val="00C104E2"/>
    <w:rsid w:val="00C97165"/>
    <w:rsid w:val="00D033F9"/>
    <w:rsid w:val="00DD5461"/>
    <w:rsid w:val="00DF6243"/>
    <w:rsid w:val="00F32943"/>
    <w:rsid w:val="00F41997"/>
    <w:rsid w:val="00F949E3"/>
    <w:rsid w:val="0170369E"/>
    <w:rsid w:val="02955C76"/>
    <w:rsid w:val="02A464D5"/>
    <w:rsid w:val="02EA32C6"/>
    <w:rsid w:val="09672F6D"/>
    <w:rsid w:val="09DD72C1"/>
    <w:rsid w:val="0AB62FB0"/>
    <w:rsid w:val="0B221E85"/>
    <w:rsid w:val="0B2977C2"/>
    <w:rsid w:val="0BE61950"/>
    <w:rsid w:val="0C13055B"/>
    <w:rsid w:val="0E581497"/>
    <w:rsid w:val="0FF452B1"/>
    <w:rsid w:val="125B292B"/>
    <w:rsid w:val="135451EE"/>
    <w:rsid w:val="16DF4A54"/>
    <w:rsid w:val="18B0756E"/>
    <w:rsid w:val="19DD7D00"/>
    <w:rsid w:val="1A0519D7"/>
    <w:rsid w:val="1ABD1DF6"/>
    <w:rsid w:val="1B2E4825"/>
    <w:rsid w:val="1B726396"/>
    <w:rsid w:val="1B971DE2"/>
    <w:rsid w:val="1BCC0B62"/>
    <w:rsid w:val="1BDA2B9D"/>
    <w:rsid w:val="1D2B05C5"/>
    <w:rsid w:val="1E8A0861"/>
    <w:rsid w:val="1ED31E98"/>
    <w:rsid w:val="1F3970E3"/>
    <w:rsid w:val="20301147"/>
    <w:rsid w:val="23C810E5"/>
    <w:rsid w:val="24D16B39"/>
    <w:rsid w:val="25102E98"/>
    <w:rsid w:val="26143832"/>
    <w:rsid w:val="290E6F95"/>
    <w:rsid w:val="297434B8"/>
    <w:rsid w:val="29806E71"/>
    <w:rsid w:val="2A6313AB"/>
    <w:rsid w:val="2A905451"/>
    <w:rsid w:val="2A944CDC"/>
    <w:rsid w:val="2C371DA1"/>
    <w:rsid w:val="2E1A6430"/>
    <w:rsid w:val="2E242342"/>
    <w:rsid w:val="2E474E11"/>
    <w:rsid w:val="3011436C"/>
    <w:rsid w:val="303A3ED5"/>
    <w:rsid w:val="30AB5863"/>
    <w:rsid w:val="310C54EF"/>
    <w:rsid w:val="313306E8"/>
    <w:rsid w:val="316E32E2"/>
    <w:rsid w:val="32133B02"/>
    <w:rsid w:val="322023D2"/>
    <w:rsid w:val="325C5451"/>
    <w:rsid w:val="32607DFF"/>
    <w:rsid w:val="32B10138"/>
    <w:rsid w:val="33775400"/>
    <w:rsid w:val="34AF6ECC"/>
    <w:rsid w:val="364F61C0"/>
    <w:rsid w:val="36910587"/>
    <w:rsid w:val="3AC447DA"/>
    <w:rsid w:val="3C2E5359"/>
    <w:rsid w:val="3E257FA4"/>
    <w:rsid w:val="3E2B66CE"/>
    <w:rsid w:val="3F724CCD"/>
    <w:rsid w:val="40E4016B"/>
    <w:rsid w:val="42817701"/>
    <w:rsid w:val="42F20DCB"/>
    <w:rsid w:val="434D1CD9"/>
    <w:rsid w:val="44862773"/>
    <w:rsid w:val="44FD1D27"/>
    <w:rsid w:val="46606277"/>
    <w:rsid w:val="473321F6"/>
    <w:rsid w:val="47A273D3"/>
    <w:rsid w:val="48227754"/>
    <w:rsid w:val="48362D3C"/>
    <w:rsid w:val="4A6F1B6C"/>
    <w:rsid w:val="4D344CD5"/>
    <w:rsid w:val="4E2F4307"/>
    <w:rsid w:val="4E485577"/>
    <w:rsid w:val="500B32B5"/>
    <w:rsid w:val="508360D1"/>
    <w:rsid w:val="50923BFB"/>
    <w:rsid w:val="50F92314"/>
    <w:rsid w:val="511931FB"/>
    <w:rsid w:val="523B3E5F"/>
    <w:rsid w:val="52B04F36"/>
    <w:rsid w:val="55102B67"/>
    <w:rsid w:val="55376345"/>
    <w:rsid w:val="56A8690E"/>
    <w:rsid w:val="56CD21A4"/>
    <w:rsid w:val="578C3E5D"/>
    <w:rsid w:val="5A715E56"/>
    <w:rsid w:val="5BE660E1"/>
    <w:rsid w:val="5C4821F4"/>
    <w:rsid w:val="5C861D1E"/>
    <w:rsid w:val="5D8A5BAC"/>
    <w:rsid w:val="5E2D4789"/>
    <w:rsid w:val="5ECB7B15"/>
    <w:rsid w:val="5F8623A3"/>
    <w:rsid w:val="600A3D7E"/>
    <w:rsid w:val="60C73F2B"/>
    <w:rsid w:val="61CC3496"/>
    <w:rsid w:val="62934B49"/>
    <w:rsid w:val="66CC2CAC"/>
    <w:rsid w:val="66D200BF"/>
    <w:rsid w:val="67627252"/>
    <w:rsid w:val="67CD705D"/>
    <w:rsid w:val="680B2864"/>
    <w:rsid w:val="68273FF7"/>
    <w:rsid w:val="6C7614A6"/>
    <w:rsid w:val="6D855A48"/>
    <w:rsid w:val="6E9C5B9B"/>
    <w:rsid w:val="6F096E9E"/>
    <w:rsid w:val="6F3D2C98"/>
    <w:rsid w:val="70CB23C1"/>
    <w:rsid w:val="70D711A9"/>
    <w:rsid w:val="71551717"/>
    <w:rsid w:val="73337D8F"/>
    <w:rsid w:val="73DD358C"/>
    <w:rsid w:val="73F83F80"/>
    <w:rsid w:val="75D03567"/>
    <w:rsid w:val="760D7688"/>
    <w:rsid w:val="76500BBD"/>
    <w:rsid w:val="76DF6840"/>
    <w:rsid w:val="770E2F52"/>
    <w:rsid w:val="772701EB"/>
    <w:rsid w:val="78EA61E9"/>
    <w:rsid w:val="79247205"/>
    <w:rsid w:val="796C0E43"/>
    <w:rsid w:val="7AD242A9"/>
    <w:rsid w:val="7B005628"/>
    <w:rsid w:val="7B7E6A36"/>
    <w:rsid w:val="7E7F04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w:basedOn w:val="1"/>
    <w:autoRedefine/>
    <w:qFormat/>
    <w:uiPriority w:val="99"/>
    <w:pPr>
      <w:spacing w:after="120"/>
      <w:ind w:left="200" w:leftChars="200"/>
    </w:pPr>
    <w:rPr>
      <w:rFonts w:ascii="仿宋_GB2312" w:cs="仿宋_GB2312"/>
    </w:rPr>
  </w:style>
  <w:style w:type="paragraph" w:styleId="3">
    <w:name w:val="endnote text"/>
    <w:basedOn w:val="1"/>
    <w:link w:val="11"/>
    <w:autoRedefine/>
    <w:qFormat/>
    <w:uiPriority w:val="0"/>
    <w:pPr>
      <w:snapToGrid w:val="0"/>
      <w:jc w:val="left"/>
    </w:p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Body Text First Indent 2"/>
    <w:basedOn w:val="2"/>
    <w:autoRedefine/>
    <w:qFormat/>
    <w:uiPriority w:val="99"/>
    <w:pPr>
      <w:ind w:firstLine="420" w:firstLineChars="200"/>
    </w:pPr>
  </w:style>
  <w:style w:type="character" w:styleId="9">
    <w:name w:val="endnote reference"/>
    <w:basedOn w:val="8"/>
    <w:autoRedefine/>
    <w:qFormat/>
    <w:uiPriority w:val="0"/>
    <w:rPr>
      <w:vertAlign w:val="superscript"/>
    </w:rPr>
  </w:style>
  <w:style w:type="paragraph" w:customStyle="1" w:styleId="10">
    <w:name w:val="列出段落1"/>
    <w:basedOn w:val="1"/>
    <w:autoRedefine/>
    <w:qFormat/>
    <w:uiPriority w:val="99"/>
    <w:pPr>
      <w:ind w:firstLine="420" w:firstLineChars="200"/>
    </w:pPr>
  </w:style>
  <w:style w:type="character" w:customStyle="1" w:styleId="11">
    <w:name w:val="尾注文本 Char"/>
    <w:basedOn w:val="8"/>
    <w:link w:val="3"/>
    <w:autoRedefine/>
    <w:qFormat/>
    <w:uiPriority w:val="0"/>
    <w:rPr>
      <w:rFonts w:ascii="Calibri" w:hAnsi="Calibri"/>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148E1C-99E0-47D5-A819-B12B14DC3984}">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10</Pages>
  <Words>3974</Words>
  <Characters>4298</Characters>
  <Lines>7</Lines>
  <Paragraphs>9</Paragraphs>
  <TotalTime>4</TotalTime>
  <ScaleCrop>false</ScaleCrop>
  <LinksUpToDate>false</LinksUpToDate>
  <CharactersWithSpaces>4360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2026-01-22T05:48:00Z</dcterms:created>
  <dc:creator>Administrator</dc:creator>
  <cp:lastModifiedBy>今生的奋斗</cp:lastModifiedBy>
  <cp:lastPrinted>2025-01-15T09:03:00Z</cp:lastPrinted>
  <dcterms:modified xsi:type="dcterms:W3CDTF">2026-01-27T02:23:06Z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DDD8E7C20F8840B8B70A9569C0C198D8</vt:lpwstr>
  </property>
  <property fmtid="{D5CDD505-2E9C-101B-9397-08002B2CF9AE}" pid="4" name="KSOTemplateDocerSaveRecord">
    <vt:lpwstr>eyJoZGlkIjoiYjJmZWQ5OTQ5MjU2MDZjNDljOTdlZmM5MTUwYTcwMzgiLCJ1c2VySWQiOiI1NzUxODk1NjkifQ==</vt:lpwstr>
  </property>
</Properties>
</file>