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760" w:firstLineChars="400"/>
        <w:rPr>
          <w:rFonts w:ascii="黑体" w:hAnsi="黑体" w:eastAsia="黑体"/>
          <w:sz w:val="44"/>
          <w:szCs w:val="44"/>
        </w:rPr>
      </w:pPr>
    </w:p>
    <w:p>
      <w:pPr>
        <w:spacing w:line="0" w:lineRule="atLeast"/>
        <w:jc w:val="center"/>
        <w:rPr>
          <w:rFonts w:hint="eastAsia" w:ascii="方正小标宋简体" w:hAnsi="方正小标宋简体" w:eastAsia="方正小标宋简体" w:cs="方正小标宋简体"/>
          <w:color w:val="333333"/>
          <w:sz w:val="44"/>
          <w:szCs w:val="44"/>
        </w:rPr>
      </w:pPr>
      <w:r>
        <w:rPr>
          <w:rFonts w:hint="eastAsia" w:ascii="方正小标宋简体" w:hAnsi="方正小标宋简体" w:eastAsia="方正小标宋简体" w:cs="方正小标宋简体"/>
          <w:color w:val="333333"/>
          <w:sz w:val="44"/>
          <w:szCs w:val="44"/>
        </w:rPr>
        <w:t>若尔盖县招商引资办公室2026年部门预算</w:t>
      </w:r>
      <w:r>
        <w:rPr>
          <w:rFonts w:hint="eastAsia" w:ascii="方正小标宋简体" w:hAnsi="方正小标宋简体" w:eastAsia="方正小标宋简体" w:cs="方正小标宋简体"/>
          <w:color w:val="333333"/>
          <w:sz w:val="44"/>
          <w:szCs w:val="44"/>
        </w:rPr>
        <w:br w:type="textWrapping"/>
      </w:r>
      <w:r>
        <w:rPr>
          <w:rFonts w:hint="eastAsia" w:ascii="方正小标宋简体" w:hAnsi="方正小标宋简体" w:eastAsia="方正小标宋简体" w:cs="方正小标宋简体"/>
          <w:color w:val="333333"/>
          <w:sz w:val="44"/>
          <w:szCs w:val="44"/>
        </w:rPr>
        <w:t>(招商引资办)</w:t>
      </w:r>
    </w:p>
    <w:p>
      <w:pPr>
        <w:ind w:firstLine="1760" w:firstLineChars="400"/>
        <w:jc w:val="center"/>
        <w:rPr>
          <w:rFonts w:ascii="黑体" w:hAnsi="黑体" w:eastAsia="黑体"/>
          <w:sz w:val="44"/>
          <w:szCs w:val="44"/>
        </w:rPr>
      </w:pPr>
    </w:p>
    <w:p>
      <w:pPr>
        <w:ind w:firstLine="1760" w:firstLineChars="400"/>
        <w:jc w:val="center"/>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2560" w:firstLineChars="800"/>
        <w:rPr>
          <w:rFonts w:ascii="黑体" w:hAnsi="黑体" w:eastAsia="黑体" w:cs="黑体"/>
          <w:sz w:val="32"/>
          <w:szCs w:val="32"/>
        </w:rPr>
      </w:pPr>
    </w:p>
    <w:p>
      <w:pPr>
        <w:ind w:firstLine="2560" w:firstLineChars="800"/>
        <w:rPr>
          <w:rFonts w:ascii="黑体" w:hAnsi="黑体" w:eastAsia="黑体" w:cs="黑体"/>
          <w:sz w:val="32"/>
          <w:szCs w:val="32"/>
        </w:rPr>
      </w:pPr>
    </w:p>
    <w:p>
      <w:pPr>
        <w:ind w:firstLine="2560" w:firstLineChars="800"/>
        <w:rPr>
          <w:rFonts w:ascii="黑体" w:hAnsi="黑体" w:eastAsia="黑体" w:cs="黑体"/>
          <w:sz w:val="32"/>
          <w:szCs w:val="32"/>
        </w:rPr>
      </w:pPr>
    </w:p>
    <w:p>
      <w:pPr>
        <w:ind w:firstLine="2560" w:firstLineChars="800"/>
        <w:rPr>
          <w:rFonts w:ascii="黑体" w:hAnsi="黑体" w:eastAsia="黑体" w:cs="黑体"/>
          <w:sz w:val="32"/>
          <w:szCs w:val="32"/>
        </w:rPr>
      </w:pPr>
    </w:p>
    <w:p>
      <w:pPr>
        <w:ind w:firstLine="2560" w:firstLineChars="800"/>
        <w:rPr>
          <w:rFonts w:ascii="黑体" w:hAnsi="黑体" w:eastAsia="黑体" w:cs="黑体"/>
          <w:sz w:val="32"/>
          <w:szCs w:val="32"/>
        </w:rPr>
      </w:pPr>
    </w:p>
    <w:p>
      <w:pPr>
        <w:ind w:firstLine="2560" w:firstLineChars="800"/>
        <w:rPr>
          <w:rFonts w:ascii="黑体" w:hAnsi="黑体" w:eastAsia="黑体" w:cs="黑体"/>
          <w:sz w:val="32"/>
          <w:szCs w:val="32"/>
        </w:rPr>
      </w:pPr>
    </w:p>
    <w:p>
      <w:pPr>
        <w:ind w:firstLine="2560" w:firstLineChars="800"/>
        <w:rPr>
          <w:rFonts w:ascii="黑体" w:hAnsi="黑体" w:eastAsia="黑体" w:cs="黑体"/>
          <w:sz w:val="32"/>
          <w:szCs w:val="32"/>
        </w:rPr>
      </w:pPr>
    </w:p>
    <w:p>
      <w:pPr>
        <w:ind w:firstLine="2560" w:firstLineChars="800"/>
        <w:rPr>
          <w:rFonts w:hint="eastAsia" w:ascii="黑体" w:hAnsi="黑体" w:eastAsia="黑体"/>
          <w:sz w:val="52"/>
          <w:szCs w:val="52"/>
        </w:rPr>
      </w:pPr>
      <w:r>
        <w:rPr>
          <w:rFonts w:ascii="黑体" w:hAnsi="黑体" w:eastAsia="黑体" w:cs="黑体"/>
          <w:sz w:val="32"/>
          <w:szCs w:val="32"/>
        </w:rPr>
        <w:t>202</w:t>
      </w:r>
      <w:r>
        <w:rPr>
          <w:rFonts w:hint="eastAsia" w:ascii="黑体" w:hAnsi="黑体" w:eastAsia="黑体" w:cs="黑体"/>
          <w:sz w:val="32"/>
          <w:szCs w:val="32"/>
        </w:rPr>
        <w:t>6年</w:t>
      </w:r>
      <w:r>
        <w:rPr>
          <w:rFonts w:ascii="黑体" w:hAnsi="黑体" w:eastAsia="黑体" w:cs="黑体"/>
          <w:sz w:val="32"/>
          <w:szCs w:val="32"/>
        </w:rPr>
        <w:t xml:space="preserve"> 01  </w:t>
      </w:r>
      <w:r>
        <w:rPr>
          <w:rFonts w:hint="eastAsia" w:ascii="黑体" w:hAnsi="黑体" w:eastAsia="黑体" w:cs="黑体"/>
          <w:sz w:val="32"/>
          <w:szCs w:val="32"/>
        </w:rPr>
        <w:t>月</w:t>
      </w:r>
      <w:r>
        <w:rPr>
          <w:rFonts w:ascii="黑体" w:hAnsi="黑体" w:eastAsia="黑体" w:cs="黑体"/>
          <w:sz w:val="32"/>
          <w:szCs w:val="32"/>
        </w:rPr>
        <w:t xml:space="preserve"> </w:t>
      </w:r>
      <w:r>
        <w:rPr>
          <w:rFonts w:hint="eastAsia" w:ascii="黑体" w:hAnsi="黑体" w:eastAsia="黑体" w:cs="黑体"/>
          <w:sz w:val="32"/>
          <w:szCs w:val="32"/>
        </w:rPr>
        <w:t>28日</w:t>
      </w:r>
    </w:p>
    <w:p>
      <w:pPr>
        <w:ind w:firstLine="3120" w:firstLineChars="600"/>
        <w:rPr>
          <w:rFonts w:ascii="黑体" w:hAnsi="黑体" w:eastAsia="黑体"/>
          <w:sz w:val="52"/>
          <w:szCs w:val="52"/>
        </w:rPr>
      </w:pPr>
      <w:r>
        <w:rPr>
          <w:rFonts w:hint="eastAsia" w:ascii="黑体" w:hAnsi="黑体" w:eastAsia="黑体" w:cs="黑体"/>
          <w:sz w:val="52"/>
          <w:szCs w:val="52"/>
        </w:rPr>
        <w:t>目录</w:t>
      </w:r>
    </w:p>
    <w:p>
      <w:pPr>
        <w:ind w:firstLine="3080" w:firstLineChars="700"/>
        <w:rPr>
          <w:rFonts w:ascii="黑体" w:hAnsi="黑体" w:eastAsia="黑体"/>
          <w:sz w:val="44"/>
          <w:szCs w:val="44"/>
        </w:rPr>
      </w:pPr>
    </w:p>
    <w:p>
      <w:pPr>
        <w:pStyle w:val="11"/>
        <w:keepNext w:val="0"/>
        <w:keepLines w:val="0"/>
        <w:pageBreakBefore w:val="0"/>
        <w:widowControl w:val="0"/>
        <w:numPr>
          <w:ilvl w:val="0"/>
          <w:numId w:val="0"/>
        </w:numPr>
        <w:tabs>
          <w:tab w:val="right" w:leader="dot" w:pos="7560"/>
        </w:tabs>
        <w:kinsoku/>
        <w:wordWrap/>
        <w:overflowPunct/>
        <w:topLinePunct w:val="0"/>
        <w:autoSpaceDE/>
        <w:autoSpaceDN/>
        <w:bidi w:val="0"/>
        <w:adjustRightInd/>
        <w:snapToGrid/>
        <w:ind w:left="879" w:leftChars="0" w:hanging="879" w:firstLineChars="0"/>
        <w:textAlignment w:val="auto"/>
        <w:rPr>
          <w:rFonts w:ascii="黑体" w:hAnsi="黑体" w:eastAsia="黑体"/>
          <w:sz w:val="32"/>
          <w:szCs w:val="32"/>
        </w:rPr>
      </w:pPr>
      <w:r>
        <w:rPr>
          <w:rFonts w:hint="default" w:ascii="黑体" w:hAnsi="黑体" w:eastAsia="黑体" w:cs="Times New Roman"/>
          <w:kern w:val="2"/>
          <w:sz w:val="32"/>
          <w:szCs w:val="32"/>
          <w:lang w:val="en-US" w:eastAsia="zh-CN" w:bidi="ar-SA"/>
        </w:rPr>
        <w:t>一、</w:t>
      </w:r>
      <w:r>
        <w:rPr>
          <w:rFonts w:hint="eastAsia" w:ascii="黑体" w:hAnsi="黑体" w:eastAsia="黑体" w:cs="黑体"/>
          <w:sz w:val="32"/>
          <w:szCs w:val="32"/>
        </w:rPr>
        <w:t>基本职能及主要工作</w:t>
      </w:r>
      <w:r>
        <w:rPr>
          <w:rFonts w:hint="eastAsia" w:ascii="黑体" w:hAnsi="黑体" w:eastAsia="黑体" w:cs="黑体"/>
          <w:sz w:val="32"/>
          <w:szCs w:val="32"/>
          <w:lang w:val="en-US" w:eastAsia="zh-CN"/>
        </w:rPr>
        <w:tab/>
      </w:r>
      <w:r>
        <w:rPr>
          <w:rFonts w:hint="eastAsia" w:ascii="仿宋_GB2312" w:hAnsi="黑体" w:eastAsia="仿宋_GB2312" w:cs="仿宋_GB2312"/>
          <w:kern w:val="2"/>
          <w:sz w:val="32"/>
          <w:szCs w:val="32"/>
          <w:lang w:val="en-US" w:eastAsia="zh-CN" w:bidi="ar-SA"/>
        </w:rPr>
        <w:t>1</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（一）部门职能简介</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1</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（二）</w:t>
      </w:r>
      <w:r>
        <w:rPr>
          <w:rFonts w:ascii="仿宋_GB2312" w:hAnsi="黑体" w:eastAsia="仿宋_GB2312" w:cs="仿宋_GB2312"/>
          <w:sz w:val="32"/>
          <w:szCs w:val="32"/>
        </w:rPr>
        <w:t>202</w:t>
      </w:r>
      <w:r>
        <w:rPr>
          <w:rFonts w:hint="eastAsia" w:ascii="仿宋_GB2312" w:hAnsi="黑体" w:eastAsia="仿宋_GB2312" w:cs="仿宋_GB2312"/>
          <w:sz w:val="32"/>
          <w:szCs w:val="32"/>
        </w:rPr>
        <w:t>6年重点工作</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2</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二、部门预算单位构成</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2</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三、收支预算情况说明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2</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黑体" w:hAnsi="黑体" w:eastAsia="黑体" w:cs="黑体"/>
          <w:sz w:val="32"/>
          <w:szCs w:val="32"/>
        </w:rPr>
        <w:t>（</w:t>
      </w:r>
      <w:r>
        <w:rPr>
          <w:rFonts w:hint="eastAsia" w:ascii="仿宋_GB2312" w:hAnsi="黑体" w:eastAsia="仿宋_GB2312" w:cs="仿宋_GB2312"/>
          <w:sz w:val="32"/>
          <w:szCs w:val="32"/>
        </w:rPr>
        <w:t>一）收入预算情况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2</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（二）支出预算情况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2</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四、财政拨款收支预算情况说明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3</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hint="eastAsia" w:ascii="黑体" w:hAnsi="黑体" w:eastAsia="黑体" w:cs="黑体"/>
          <w:sz w:val="32"/>
          <w:szCs w:val="32"/>
          <w:lang w:val="en-US" w:eastAsia="zh-CN"/>
        </w:rPr>
      </w:pPr>
      <w:r>
        <w:rPr>
          <w:rFonts w:hint="eastAsia" w:ascii="黑体" w:hAnsi="黑体" w:eastAsia="黑体" w:cs="黑体"/>
          <w:sz w:val="32"/>
          <w:szCs w:val="32"/>
        </w:rPr>
        <w:t>五、一般公共预算当年拨款情况说明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lang w:val="en-US" w:eastAsia="zh-CN"/>
        </w:rPr>
        <w:t>3</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（一）一般公共预算当年拨款规模变化情况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3</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（二）一般公共预算当年拨款结构情况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3</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（三）一般公共预算当年拨款具体使用情况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4</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六、一般公共预算基本支出情况说明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4</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七、“三公”经费财政拨款预算安排情况说明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5</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hint="eastAsia" w:ascii="黑体" w:hAnsi="黑体" w:eastAsia="黑体" w:cs="黑体"/>
          <w:sz w:val="32"/>
          <w:szCs w:val="32"/>
        </w:rPr>
      </w:pPr>
      <w:r>
        <w:rPr>
          <w:rFonts w:hint="eastAsia" w:ascii="黑体" w:hAnsi="黑体" w:eastAsia="黑体" w:cs="黑体"/>
          <w:sz w:val="32"/>
          <w:szCs w:val="32"/>
        </w:rPr>
        <w:t>八、政府性基金预算支出情况说明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5</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九、国有资本经营预算支出情况说明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5</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十、其他重要事项的情况说明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6</w:t>
      </w:r>
    </w:p>
    <w:p>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hint="eastAsia" w:ascii="仿宋_GB2312" w:hAnsi="仿宋_GB2312" w:eastAsia="仿宋_GB2312" w:cs="仿宋_GB2312"/>
          <w:color w:val="333333"/>
          <w:sz w:val="32"/>
          <w:szCs w:val="32"/>
        </w:rPr>
        <w:sectPr>
          <w:pgSz w:w="11906" w:h="16838"/>
          <w:pgMar w:top="2098" w:right="1474" w:bottom="1984" w:left="1587" w:header="851" w:footer="992" w:gutter="0"/>
          <w:cols w:space="720" w:num="1"/>
          <w:docGrid w:type="lines" w:linePitch="312" w:charSpace="0"/>
        </w:sectPr>
      </w:pPr>
      <w:r>
        <w:rPr>
          <w:rFonts w:hint="eastAsia" w:ascii="黑体" w:hAnsi="黑体" w:eastAsia="黑体" w:cs="黑体"/>
          <w:sz w:val="32"/>
          <w:szCs w:val="32"/>
        </w:rPr>
        <w:t>十一、名称解释</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6</w:t>
      </w:r>
    </w:p>
    <w:p>
      <w:pPr>
        <w:spacing w:line="560" w:lineRule="exact"/>
        <w:rPr>
          <w:rFonts w:hint="eastAsia" w:ascii="黑体" w:hAnsi="黑体" w:eastAsia="黑体" w:cs="黑体"/>
          <w:color w:val="333333"/>
          <w:sz w:val="32"/>
          <w:szCs w:val="32"/>
        </w:rPr>
      </w:pPr>
      <w:r>
        <w:rPr>
          <w:rFonts w:hint="eastAsia" w:ascii="仿宋_GB2312" w:hAnsi="仿宋_GB2312" w:eastAsia="仿宋_GB2312" w:cs="仿宋_GB2312"/>
          <w:color w:val="333333"/>
          <w:sz w:val="32"/>
          <w:szCs w:val="32"/>
        </w:rPr>
        <w:t xml:space="preserve">   </w:t>
      </w:r>
      <w:r>
        <w:rPr>
          <w:rFonts w:hint="eastAsia" w:ascii="黑体" w:hAnsi="黑体" w:eastAsia="黑体" w:cs="黑体"/>
          <w:color w:val="333333"/>
          <w:sz w:val="32"/>
          <w:szCs w:val="32"/>
        </w:rPr>
        <w:t xml:space="preserve">一、基本职能及主要工作 </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（一）招商办职能简介 </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1.主要职能 </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负责全县招商项目策划、项目收集、项目分析、项目包装、项目发布、项目签约和重大项目的跟踪促进；整合各类项目信息；承担相关活动的组织、联络、洽谈和服务工作；承担国内区域经济交流与合作工作；负责宣传介绍我县有关产业政策、投资环境和经济发展信息；建立健全县对内对外开放和招商引资信息网络；为投资项目进行项目和市场分析；促进国内外经济机构、组织和个人在我县投资兴办企业，并为我县企业、产品向外发展提供相关服务；负责全县招商引资信息工作，多元化、多渠道收集相关信息，进行整理、加工，及时提供给相关部门和企业；开展投资信息咨询服务等；管理我县赴境外举办的各种商品交易和经贸推介活动，指导监督管理在境内举办的各种商贸交易会、展览会、展销会等活动。</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2.人员编制和领导职数: 若尔盖县招商引资办公室事业编制7名。其中：领导4名。</w:t>
      </w:r>
    </w:p>
    <w:p>
      <w:pPr>
        <w:spacing w:line="560" w:lineRule="exact"/>
        <w:ind w:firstLine="643"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b/>
          <w:bCs/>
          <w:color w:val="333333"/>
          <w:sz w:val="32"/>
          <w:szCs w:val="32"/>
        </w:rPr>
        <w:t>（二）经信局单位2026年重点工作</w:t>
      </w:r>
      <w:r>
        <w:rPr>
          <w:rFonts w:hint="eastAsia" w:ascii="仿宋_GB2312" w:hAnsi="仿宋_GB2312" w:eastAsia="仿宋_GB2312" w:cs="仿宋_GB2312"/>
          <w:color w:val="333333"/>
          <w:sz w:val="32"/>
          <w:szCs w:val="32"/>
        </w:rPr>
        <w:t xml:space="preserve"> </w:t>
      </w:r>
    </w:p>
    <w:p>
      <w:pPr>
        <w:pBdr>
          <w:bottom w:val="single" w:color="FFFFFF" w:sz="4" w:space="23"/>
        </w:pBdr>
        <w:tabs>
          <w:tab w:val="left" w:pos="1440"/>
        </w:tabs>
        <w:adjustRightInd w:val="0"/>
        <w:snapToGrid w:val="0"/>
        <w:spacing w:line="560" w:lineRule="exact"/>
        <w:ind w:firstLine="643"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b/>
          <w:bCs/>
          <w:sz w:val="32"/>
          <w:szCs w:val="32"/>
        </w:rPr>
        <w:t>一是加强招商引资。</w:t>
      </w:r>
      <w:r>
        <w:rPr>
          <w:rFonts w:hint="eastAsia" w:ascii="仿宋_GB2312" w:hAnsi="仿宋_GB2312" w:eastAsia="仿宋_GB2312" w:cs="仿宋_GB2312"/>
          <w:sz w:val="32"/>
          <w:szCs w:val="32"/>
        </w:rPr>
        <w:t>借助成阿园区、德阿园区和飞地园区的招商渠道及平台，宣传若尔盖县投资环境和优势资源，吸引更多的外部企业投资。</w:t>
      </w:r>
      <w:r>
        <w:rPr>
          <w:rFonts w:hint="eastAsia" w:ascii="仿宋_GB2312" w:hAnsi="仿宋_GB2312" w:eastAsia="仿宋_GB2312" w:cs="仿宋_GB2312"/>
          <w:b/>
          <w:bCs/>
          <w:sz w:val="32"/>
          <w:szCs w:val="32"/>
        </w:rPr>
        <w:t>二是强化经验交流。</w:t>
      </w:r>
      <w:r>
        <w:rPr>
          <w:rFonts w:hint="eastAsia" w:ascii="仿宋_GB2312" w:hAnsi="仿宋_GB2312" w:eastAsia="仿宋_GB2312" w:cs="仿宋_GB2312"/>
          <w:sz w:val="32"/>
          <w:szCs w:val="32"/>
        </w:rPr>
        <w:t>组织成阿园区、德阿园区和飞地园区人才到本地企业提供指导和服务，本地企业管理人员、技术人员到成熟园区企业学习交流，提升专业素质和管理水平，同时加强本地人才的培养和储备。</w:t>
      </w:r>
      <w:r>
        <w:rPr>
          <w:rFonts w:hint="eastAsia" w:ascii="仿宋_GB2312" w:hAnsi="仿宋_GB2312" w:eastAsia="仿宋_GB2312" w:cs="仿宋_GB2312"/>
          <w:color w:val="333333"/>
          <w:sz w:val="32"/>
          <w:szCs w:val="32"/>
        </w:rPr>
        <w:t xml:space="preserve"> </w:t>
      </w:r>
    </w:p>
    <w:p>
      <w:p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333333"/>
          <w:sz w:val="32"/>
          <w:szCs w:val="32"/>
        </w:rPr>
      </w:pPr>
      <w:r>
        <w:rPr>
          <w:rFonts w:hint="eastAsia" w:ascii="黑体" w:hAnsi="黑体" w:eastAsia="黑体" w:cs="黑体"/>
          <w:color w:val="333333"/>
          <w:sz w:val="32"/>
          <w:szCs w:val="32"/>
        </w:rPr>
        <w:t>二、</w:t>
      </w:r>
      <w:r>
        <w:rPr>
          <w:rFonts w:hint="eastAsia" w:ascii="仿宋_GB2312" w:hAnsi="仿宋_GB2312" w:eastAsia="仿宋_GB2312" w:cs="仿宋_GB2312"/>
          <w:color w:val="333333"/>
          <w:sz w:val="32"/>
          <w:szCs w:val="32"/>
        </w:rPr>
        <w:t>招商办属参照公务员法管理的事业单位，本级统一做预算。</w:t>
      </w:r>
    </w:p>
    <w:p>
      <w:p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黑体" w:hAnsi="黑体" w:eastAsia="黑体" w:cs="黑体"/>
          <w:color w:val="333333"/>
          <w:sz w:val="32"/>
          <w:szCs w:val="32"/>
        </w:rPr>
        <w:t>三、</w:t>
      </w:r>
      <w:r>
        <w:rPr>
          <w:rFonts w:hint="eastAsia" w:ascii="仿宋_GB2312" w:hAnsi="仿宋_GB2312" w:eastAsia="仿宋_GB2312" w:cs="仿宋_GB2312"/>
          <w:color w:val="333333"/>
          <w:sz w:val="32"/>
          <w:szCs w:val="32"/>
        </w:rPr>
        <w:t>收支预算情况说明按照综合预算的原则，县经信局所有收入和支出均纳入部门预算管理。收入包括：一般公共预算拨款收入134.94万元，上年结转0万元；支出包括：一般公共服务支出105.59万元，教育支出0万元，文化体育与传媒支出0万元，社会保障和就业支出7.56万元，医疗卫生与计划生育支出9.09万元，住房保障支出12.70万元。县经信局2026年收支总预算134.94万元,</w:t>
      </w:r>
      <w:r>
        <w:rPr>
          <w:rFonts w:hint="eastAsia" w:ascii="仿宋_GB2312" w:hAnsi="仿宋_GB2312" w:eastAsia="仿宋_GB2312" w:cs="仿宋_GB2312"/>
          <w:sz w:val="32"/>
          <w:szCs w:val="32"/>
        </w:rPr>
        <w:t>比2026年收支预算总数减少68.3万元原因：人员调动、项目减少。</w:t>
      </w:r>
    </w:p>
    <w:p>
      <w:p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（一）收入预算情况 </w:t>
      </w:r>
    </w:p>
    <w:p>
      <w:p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w:t>
      </w:r>
      <w:r>
        <w:rPr>
          <w:rFonts w:hint="eastAsia" w:ascii="仿宋_GB2312" w:hAnsi="仿宋_GB2312" w:eastAsia="仿宋_GB2312" w:cs="仿宋_GB2312"/>
          <w:sz w:val="32"/>
          <w:szCs w:val="32"/>
        </w:rPr>
        <w:t>年</w:t>
      </w:r>
      <w:r>
        <w:rPr>
          <w:rFonts w:hint="eastAsia" w:ascii="仿宋_GB2312" w:hAnsi="仿宋_GB2312" w:eastAsia="仿宋_GB2312" w:cs="仿宋_GB2312"/>
          <w:color w:val="333333"/>
          <w:sz w:val="32"/>
          <w:szCs w:val="32"/>
        </w:rPr>
        <w:t xml:space="preserve">收入预算134.94万元，结转0元，占0%；一般公共预算拨款收入134.94万元，占100%；事业收入0万元，占0%；其他收入0万元，占0%。 </w:t>
      </w:r>
    </w:p>
    <w:p>
      <w:pPr>
        <w:numPr>
          <w:ilvl w:val="0"/>
          <w:numId w:val="1"/>
        </w:num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支出预算情况 </w:t>
      </w:r>
    </w:p>
    <w:p>
      <w:p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w:t>
      </w:r>
      <w:r>
        <w:rPr>
          <w:rFonts w:hint="eastAsia" w:ascii="仿宋_GB2312" w:hAnsi="仿宋_GB2312" w:eastAsia="仿宋_GB2312" w:cs="仿宋_GB2312"/>
          <w:sz w:val="32"/>
          <w:szCs w:val="32"/>
        </w:rPr>
        <w:t>年</w:t>
      </w:r>
      <w:r>
        <w:rPr>
          <w:rFonts w:hint="eastAsia" w:ascii="仿宋_GB2312" w:hAnsi="仿宋_GB2312" w:eastAsia="仿宋_GB2312" w:cs="仿宋_GB2312"/>
          <w:color w:val="333333"/>
          <w:sz w:val="32"/>
          <w:szCs w:val="32"/>
        </w:rPr>
        <w:t xml:space="preserve">支出预算134.94万元，其中：基本支出134.94万元，占100%；项目支出0万元，占0%。 </w:t>
      </w:r>
    </w:p>
    <w:p>
      <w:pPr>
        <w:numPr>
          <w:ilvl w:val="0"/>
          <w:numId w:val="0"/>
        </w:numPr>
        <w:pBdr>
          <w:bottom w:val="single" w:color="FFFFFF" w:sz="4" w:space="23"/>
        </w:pBdr>
        <w:tabs>
          <w:tab w:val="left" w:pos="1440"/>
        </w:tabs>
        <w:adjustRightInd w:val="0"/>
        <w:snapToGrid w:val="0"/>
        <w:spacing w:line="560" w:lineRule="exact"/>
        <w:ind w:firstLine="640" w:firstLineChars="200"/>
        <w:rPr>
          <w:rFonts w:hint="eastAsia" w:ascii="黑体" w:hAnsi="黑体" w:eastAsia="黑体" w:cs="黑体"/>
          <w:color w:val="333333"/>
          <w:sz w:val="32"/>
          <w:szCs w:val="32"/>
          <w:lang w:val="en-US" w:eastAsia="zh-CN"/>
        </w:rPr>
      </w:pPr>
      <w:r>
        <w:rPr>
          <w:rFonts w:hint="eastAsia" w:ascii="黑体" w:hAnsi="黑体" w:eastAsia="黑体" w:cs="黑体"/>
          <w:color w:val="333333"/>
          <w:kern w:val="2"/>
          <w:sz w:val="32"/>
          <w:szCs w:val="32"/>
          <w:lang w:val="en-US" w:eastAsia="zh-CN" w:bidi="ar-SA"/>
        </w:rPr>
        <w:t>四、</w:t>
      </w:r>
      <w:r>
        <w:rPr>
          <w:rFonts w:hint="eastAsia" w:ascii="黑体" w:hAnsi="黑体" w:eastAsia="黑体" w:cs="黑体"/>
          <w:color w:val="333333"/>
          <w:sz w:val="32"/>
          <w:szCs w:val="32"/>
        </w:rPr>
        <w:t xml:space="preserve">财政拨款收支预算情况说明 </w:t>
      </w:r>
      <w:r>
        <w:rPr>
          <w:rFonts w:hint="eastAsia" w:ascii="黑体" w:hAnsi="黑体" w:eastAsia="黑体" w:cs="黑体"/>
          <w:color w:val="333333"/>
          <w:sz w:val="32"/>
          <w:szCs w:val="32"/>
          <w:lang w:val="en-US" w:eastAsia="zh-CN"/>
        </w:rPr>
        <w:t xml:space="preserve"> </w:t>
      </w:r>
    </w:p>
    <w:p>
      <w:pPr>
        <w:numPr>
          <w:ilvl w:val="0"/>
          <w:numId w:val="0"/>
        </w:numPr>
        <w:pBdr>
          <w:bottom w:val="single" w:color="FFFFFF" w:sz="4" w:space="23"/>
        </w:pBdr>
        <w:tabs>
          <w:tab w:val="left" w:pos="1440"/>
        </w:tabs>
        <w:adjustRightInd w:val="0"/>
        <w:snapToGrid w:val="0"/>
        <w:spacing w:line="560" w:lineRule="exact"/>
        <w:ind w:firstLine="320" w:firstLineChars="1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333333"/>
          <w:sz w:val="32"/>
          <w:szCs w:val="32"/>
        </w:rPr>
        <w:t>县经信局2026</w:t>
      </w:r>
      <w:r>
        <w:rPr>
          <w:rFonts w:hint="eastAsia" w:ascii="仿宋_GB2312" w:hAnsi="仿宋_GB2312" w:eastAsia="仿宋_GB2312" w:cs="仿宋_GB2312"/>
          <w:sz w:val="32"/>
          <w:szCs w:val="32"/>
        </w:rPr>
        <w:t>年</w:t>
      </w:r>
      <w:r>
        <w:rPr>
          <w:rFonts w:hint="eastAsia" w:ascii="仿宋_GB2312" w:hAnsi="仿宋_GB2312" w:eastAsia="仿宋_GB2312" w:cs="仿宋_GB2312"/>
          <w:color w:val="333333"/>
          <w:sz w:val="32"/>
          <w:szCs w:val="32"/>
        </w:rPr>
        <w:t>财政拨款收支总预算134.94万元,比2026</w:t>
      </w:r>
      <w:r>
        <w:rPr>
          <w:rFonts w:hint="eastAsia" w:ascii="仿宋_GB2312" w:hAnsi="仿宋_GB2312" w:eastAsia="仿宋_GB2312" w:cs="仿宋_GB2312"/>
          <w:sz w:val="32"/>
          <w:szCs w:val="32"/>
        </w:rPr>
        <w:t>年</w:t>
      </w:r>
      <w:r>
        <w:rPr>
          <w:rFonts w:hint="eastAsia" w:ascii="仿宋_GB2312" w:hAnsi="仿宋_GB2312" w:eastAsia="仿宋_GB2312" w:cs="仿宋_GB2312"/>
          <w:color w:val="333333"/>
          <w:sz w:val="32"/>
          <w:szCs w:val="32"/>
        </w:rPr>
        <w:t>财政拨款收支总预算</w:t>
      </w:r>
      <w:r>
        <w:rPr>
          <w:rFonts w:hint="eastAsia" w:ascii="仿宋_GB2312" w:hAnsi="仿宋_GB2312" w:eastAsia="仿宋_GB2312" w:cs="仿宋_GB2312"/>
          <w:sz w:val="32"/>
          <w:szCs w:val="32"/>
        </w:rPr>
        <w:t>减少</w:t>
      </w:r>
      <w:r>
        <w:rPr>
          <w:rFonts w:hint="eastAsia" w:ascii="仿宋_GB2312" w:hAnsi="仿宋_GB2312" w:eastAsia="仿宋_GB2312" w:cs="仿宋_GB2312"/>
          <w:color w:val="333333"/>
          <w:sz w:val="32"/>
          <w:szCs w:val="32"/>
        </w:rPr>
        <w:t>68.3</w:t>
      </w:r>
      <w:r>
        <w:rPr>
          <w:rFonts w:hint="eastAsia" w:ascii="仿宋_GB2312" w:hAnsi="仿宋_GB2312" w:eastAsia="仿宋_GB2312" w:cs="仿宋_GB2312"/>
          <w:sz w:val="32"/>
          <w:szCs w:val="32"/>
        </w:rPr>
        <w:t>万元，主要原因:人员调动、项目变动。</w:t>
      </w:r>
      <w:r>
        <w:rPr>
          <w:rFonts w:hint="eastAsia" w:ascii="仿宋_GB2312" w:hAnsi="仿宋_GB2312" w:eastAsia="仿宋_GB2312" w:cs="仿宋_GB2312"/>
          <w:sz w:val="32"/>
          <w:szCs w:val="32"/>
          <w:lang w:val="en-US" w:eastAsia="zh-CN"/>
        </w:rPr>
        <w:t xml:space="preserve"> </w:t>
      </w:r>
    </w:p>
    <w:p>
      <w:pPr>
        <w:numPr>
          <w:ilvl w:val="0"/>
          <w:numId w:val="0"/>
        </w:numPr>
        <w:pBdr>
          <w:bottom w:val="single" w:color="FFFFFF" w:sz="4" w:space="23"/>
        </w:pBdr>
        <w:tabs>
          <w:tab w:val="left" w:pos="1440"/>
        </w:tabs>
        <w:adjustRightInd w:val="0"/>
        <w:snapToGrid w:val="0"/>
        <w:spacing w:line="560" w:lineRule="exact"/>
        <w:ind w:firstLine="320" w:firstLineChars="100"/>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rPr>
        <w:t>收入包括：本年一般公共预算拨款收入134.94万元，上年结转财政拨款资金0万元； 支出包括：一般公共服务支出</w:t>
      </w:r>
      <w:r>
        <w:rPr>
          <w:rFonts w:hint="eastAsia" w:ascii="仿宋_GB2312" w:hAnsi="仿宋_GB2312" w:eastAsia="仿宋_GB2312" w:cs="仿宋_GB2312"/>
          <w:sz w:val="32"/>
          <w:szCs w:val="32"/>
        </w:rPr>
        <w:t>105.59</w:t>
      </w:r>
      <w:r>
        <w:rPr>
          <w:rFonts w:hint="eastAsia" w:ascii="仿宋_GB2312" w:hAnsi="仿宋_GB2312" w:eastAsia="仿宋_GB2312" w:cs="仿宋_GB2312"/>
          <w:color w:val="333333"/>
          <w:sz w:val="32"/>
          <w:szCs w:val="32"/>
        </w:rPr>
        <w:t>万元，教育支出0万元，文化体育与传媒支出0万元，社会保障和就业支出</w:t>
      </w:r>
      <w:r>
        <w:rPr>
          <w:rFonts w:hint="eastAsia" w:ascii="仿宋_GB2312" w:hAnsi="仿宋_GB2312" w:eastAsia="仿宋_GB2312" w:cs="仿宋_GB2312"/>
          <w:sz w:val="32"/>
          <w:szCs w:val="32"/>
        </w:rPr>
        <w:t>7.56</w:t>
      </w:r>
      <w:r>
        <w:rPr>
          <w:rFonts w:hint="eastAsia" w:ascii="仿宋_GB2312" w:hAnsi="仿宋_GB2312" w:eastAsia="仿宋_GB2312" w:cs="仿宋_GB2312"/>
          <w:color w:val="333333"/>
          <w:sz w:val="32"/>
          <w:szCs w:val="32"/>
        </w:rPr>
        <w:t>万元，医疗卫生与计划生育支出</w:t>
      </w:r>
      <w:r>
        <w:rPr>
          <w:rFonts w:hint="eastAsia" w:ascii="仿宋_GB2312" w:hAnsi="仿宋_GB2312" w:eastAsia="仿宋_GB2312" w:cs="仿宋_GB2312"/>
          <w:sz w:val="32"/>
          <w:szCs w:val="32"/>
        </w:rPr>
        <w:t>9.09</w:t>
      </w:r>
      <w:r>
        <w:rPr>
          <w:rFonts w:hint="eastAsia" w:ascii="仿宋_GB2312" w:hAnsi="仿宋_GB2312" w:eastAsia="仿宋_GB2312" w:cs="仿宋_GB2312"/>
          <w:color w:val="333333"/>
          <w:sz w:val="32"/>
          <w:szCs w:val="32"/>
        </w:rPr>
        <w:t>万元，住房保障支出</w:t>
      </w:r>
      <w:r>
        <w:rPr>
          <w:rFonts w:hint="eastAsia" w:ascii="仿宋_GB2312" w:hAnsi="仿宋_GB2312" w:eastAsia="仿宋_GB2312" w:cs="仿宋_GB2312"/>
          <w:sz w:val="32"/>
          <w:szCs w:val="32"/>
        </w:rPr>
        <w:t>12.7</w:t>
      </w:r>
      <w:r>
        <w:rPr>
          <w:rFonts w:hint="eastAsia" w:ascii="仿宋_GB2312" w:hAnsi="仿宋_GB2312" w:eastAsia="仿宋_GB2312" w:cs="仿宋_GB2312"/>
          <w:color w:val="333333"/>
          <w:sz w:val="32"/>
          <w:szCs w:val="32"/>
        </w:rPr>
        <w:t xml:space="preserve">万元。 </w:t>
      </w:r>
      <w:r>
        <w:rPr>
          <w:rFonts w:hint="eastAsia" w:ascii="仿宋_GB2312" w:hAnsi="仿宋_GB2312" w:eastAsia="仿宋_GB2312" w:cs="仿宋_GB2312"/>
          <w:color w:val="333333"/>
          <w:sz w:val="32"/>
          <w:szCs w:val="32"/>
          <w:lang w:val="en-US" w:eastAsia="zh-CN"/>
        </w:rPr>
        <w:t xml:space="preserve"> </w:t>
      </w:r>
    </w:p>
    <w:p>
      <w:pPr>
        <w:numPr>
          <w:ilvl w:val="0"/>
          <w:numId w:val="2"/>
        </w:numPr>
        <w:pBdr>
          <w:bottom w:val="single" w:color="FFFFFF" w:sz="4" w:space="23"/>
        </w:pBdr>
        <w:tabs>
          <w:tab w:val="left" w:pos="1440"/>
        </w:tabs>
        <w:adjustRightInd w:val="0"/>
        <w:snapToGrid w:val="0"/>
        <w:spacing w:line="560" w:lineRule="exact"/>
        <w:ind w:left="0" w:leftChars="0" w:firstLine="640" w:firstLineChars="200"/>
        <w:rPr>
          <w:rFonts w:hint="eastAsia" w:ascii="仿宋_GB2312" w:hAnsi="仿宋_GB2312" w:eastAsia="仿宋_GB2312" w:cs="仿宋_GB2312"/>
          <w:color w:val="333333"/>
          <w:sz w:val="32"/>
          <w:szCs w:val="32"/>
          <w:lang w:val="en-US" w:eastAsia="zh-CN"/>
        </w:rPr>
      </w:pPr>
      <w:r>
        <w:rPr>
          <w:rFonts w:hint="eastAsia" w:ascii="黑体" w:hAnsi="黑体" w:eastAsia="黑体" w:cs="黑体"/>
          <w:color w:val="333333"/>
          <w:sz w:val="32"/>
          <w:szCs w:val="32"/>
        </w:rPr>
        <w:t>一般公共预算当年拨款情况说明</w:t>
      </w:r>
      <w:r>
        <w:rPr>
          <w:rFonts w:hint="eastAsia" w:ascii="仿宋_GB2312" w:hAnsi="仿宋_GB2312" w:eastAsia="仿宋_GB2312" w:cs="仿宋_GB2312"/>
          <w:color w:val="333333"/>
          <w:sz w:val="32"/>
          <w:szCs w:val="32"/>
        </w:rPr>
        <w:t xml:space="preserve"> </w:t>
      </w:r>
      <w:r>
        <w:rPr>
          <w:rFonts w:hint="eastAsia" w:ascii="仿宋_GB2312" w:hAnsi="仿宋_GB2312" w:eastAsia="仿宋_GB2312" w:cs="仿宋_GB2312"/>
          <w:color w:val="333333"/>
          <w:sz w:val="32"/>
          <w:szCs w:val="32"/>
          <w:lang w:val="en-US" w:eastAsia="zh-CN"/>
        </w:rPr>
        <w:t xml:space="preserve"> </w:t>
      </w:r>
    </w:p>
    <w:p>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kern w:val="2"/>
          <w:sz w:val="32"/>
          <w:szCs w:val="32"/>
          <w:lang w:val="en-US" w:eastAsia="zh-CN" w:bidi="ar-SA"/>
        </w:rPr>
        <w:t>（一）</w:t>
      </w:r>
      <w:r>
        <w:rPr>
          <w:rFonts w:hint="eastAsia" w:ascii="仿宋_GB2312" w:hAnsi="仿宋_GB2312" w:eastAsia="仿宋_GB2312" w:cs="仿宋_GB2312"/>
          <w:color w:val="333333"/>
          <w:sz w:val="32"/>
          <w:szCs w:val="32"/>
        </w:rPr>
        <w:t xml:space="preserve">一般公共预算当年拨款规模变化情况 </w:t>
      </w:r>
      <w:r>
        <w:rPr>
          <w:rFonts w:hint="eastAsia" w:ascii="仿宋_GB2312" w:hAnsi="仿宋_GB2312" w:eastAsia="仿宋_GB2312" w:cs="仿宋_GB2312"/>
          <w:color w:val="333333"/>
          <w:sz w:val="32"/>
          <w:szCs w:val="32"/>
          <w:lang w:val="en-US" w:eastAsia="zh-CN"/>
        </w:rPr>
        <w:t xml:space="preserve">  </w:t>
      </w:r>
    </w:p>
    <w:p>
      <w:pPr>
        <w:numPr>
          <w:ilvl w:val="0"/>
          <w:numId w:val="0"/>
        </w:numPr>
        <w:pBdr>
          <w:bottom w:val="single" w:color="FFFFFF" w:sz="4" w:space="23"/>
        </w:pBdr>
        <w:tabs>
          <w:tab w:val="left" w:pos="1440"/>
        </w:tabs>
        <w:adjustRightInd w:val="0"/>
        <w:snapToGrid w:val="0"/>
        <w:spacing w:line="240" w:lineRule="auto"/>
        <w:ind w:left="0" w:leftChars="0" w:firstLine="0" w:firstLineChars="0"/>
        <w:jc w:val="left"/>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rPr>
        <w:t>县经信局2026年一般公共预算当年拨款134.94万元，比2026年预算数减少68.3万元，主要原因: 人员调动、项目变动。</w:t>
      </w:r>
      <w:r>
        <w:rPr>
          <w:rFonts w:hint="eastAsia" w:ascii="仿宋_GB2312" w:hAnsi="仿宋_GB2312" w:eastAsia="仿宋_GB2312" w:cs="仿宋_GB2312"/>
          <w:color w:val="333333"/>
          <w:sz w:val="32"/>
          <w:szCs w:val="32"/>
          <w:lang w:val="en-US" w:eastAsia="zh-CN"/>
        </w:rPr>
        <w:t xml:space="preserve">                                          </w:t>
      </w:r>
    </w:p>
    <w:p>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kern w:val="2"/>
          <w:sz w:val="32"/>
          <w:szCs w:val="32"/>
          <w:lang w:val="en-US" w:eastAsia="zh-CN" w:bidi="ar-SA"/>
        </w:rPr>
      </w:pPr>
    </w:p>
    <w:p>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kern w:val="2"/>
          <w:sz w:val="32"/>
          <w:szCs w:val="32"/>
          <w:lang w:val="en-US" w:eastAsia="zh-CN" w:bidi="ar-SA"/>
        </w:rPr>
      </w:pPr>
      <w:r>
        <w:rPr>
          <w:rFonts w:hint="eastAsia" w:ascii="仿宋_GB2312" w:hAnsi="仿宋_GB2312" w:eastAsia="仿宋_GB2312" w:cs="仿宋_GB2312"/>
          <w:color w:val="333333"/>
          <w:kern w:val="2"/>
          <w:sz w:val="32"/>
          <w:szCs w:val="32"/>
          <w:lang w:val="en-US" w:eastAsia="zh-CN" w:bidi="ar-SA"/>
        </w:rPr>
        <w:t>(二）一般公共预算当年拨款结构情况</w:t>
      </w:r>
    </w:p>
    <w:p>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kern w:val="2"/>
          <w:sz w:val="32"/>
          <w:szCs w:val="32"/>
          <w:lang w:val="en-US" w:eastAsia="zh-CN" w:bidi="ar-SA"/>
        </w:rPr>
      </w:pPr>
      <w:r>
        <w:rPr>
          <w:rFonts w:hint="eastAsia" w:ascii="仿宋_GB2312" w:hAnsi="仿宋_GB2312" w:eastAsia="仿宋_GB2312" w:cs="仿宋_GB2312"/>
          <w:color w:val="333333"/>
          <w:kern w:val="2"/>
          <w:sz w:val="32"/>
          <w:szCs w:val="32"/>
          <w:lang w:val="en-US" w:eastAsia="zh-CN" w:bidi="ar-SA"/>
        </w:rPr>
        <w:t>一般公共服务支出105.59万元，占70.23%；教育支出0万元，占0%；文化体育与传媒支出0万元，占0%；社会保障和就业支出7.56万元，占15.11%；医疗卫生与计划生育支出9.09万元，占6.15%；住房保障支出12.7万元，占8.51%。</w:t>
      </w:r>
    </w:p>
    <w:p>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kern w:val="2"/>
          <w:sz w:val="32"/>
          <w:szCs w:val="32"/>
          <w:lang w:val="en-US" w:eastAsia="zh-CN" w:bidi="ar-SA"/>
        </w:rPr>
      </w:pPr>
      <w:r>
        <w:rPr>
          <w:rFonts w:hint="eastAsia" w:ascii="仿宋_GB2312" w:hAnsi="仿宋_GB2312" w:eastAsia="仿宋_GB2312" w:cs="仿宋_GB2312"/>
          <w:color w:val="333333"/>
          <w:kern w:val="2"/>
          <w:sz w:val="32"/>
          <w:szCs w:val="32"/>
          <w:lang w:val="en-US" w:eastAsia="zh-CN" w:bidi="ar-SA"/>
        </w:rPr>
        <w:t>（三）一般公共预算当年拨款具体使用情况</w:t>
      </w:r>
    </w:p>
    <w:p>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kern w:val="2"/>
          <w:sz w:val="32"/>
          <w:szCs w:val="32"/>
          <w:lang w:val="en-US" w:eastAsia="zh-CN" w:bidi="ar-SA"/>
        </w:rPr>
      </w:pPr>
      <w:r>
        <w:rPr>
          <w:rFonts w:hint="eastAsia" w:ascii="仿宋_GB2312" w:hAnsi="仿宋_GB2312" w:eastAsia="仿宋_GB2312" w:cs="仿宋_GB2312"/>
          <w:color w:val="333333"/>
          <w:kern w:val="2"/>
          <w:sz w:val="32"/>
          <w:szCs w:val="32"/>
          <w:lang w:val="en-US" w:eastAsia="zh-CN" w:bidi="ar-SA"/>
        </w:rPr>
        <w:t>1．一般公共服务（类）宣传事务（款）行政运行（项）2026年预算数为105.59万元，主要用于：工资福利、商品和服务、对个人和家庭的补助等支出。</w:t>
      </w:r>
    </w:p>
    <w:p>
      <w:pPr>
        <w:numPr>
          <w:ilvl w:val="0"/>
          <w:numId w:val="0"/>
        </w:numPr>
        <w:pBdr>
          <w:bottom w:val="single" w:color="FFFFFF" w:sz="4" w:space="23"/>
        </w:pBdr>
        <w:tabs>
          <w:tab w:val="left" w:pos="1440"/>
        </w:tabs>
        <w:adjustRightInd w:val="0"/>
        <w:snapToGrid w:val="0"/>
        <w:spacing w:line="240" w:lineRule="auto"/>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kern w:val="2"/>
          <w:sz w:val="32"/>
          <w:szCs w:val="32"/>
          <w:lang w:val="en-US" w:eastAsia="zh-CN" w:bidi="ar-SA"/>
        </w:rPr>
        <w:t>2.社会保障和就业支出，2026年预算数为7.56万元，主要用于:缴纳单位职工养老保险、</w:t>
      </w:r>
      <w:r>
        <w:rPr>
          <w:rFonts w:hint="eastAsia" w:ascii="仿宋_GB2312" w:hAnsi="仿宋_GB2312" w:eastAsia="仿宋_GB2312" w:cs="仿宋_GB2312"/>
          <w:color w:val="333333"/>
          <w:sz w:val="32"/>
          <w:szCs w:val="32"/>
        </w:rPr>
        <w:t>职业年金等五险。</w:t>
      </w:r>
    </w:p>
    <w:p>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kern w:val="2"/>
          <w:sz w:val="32"/>
          <w:szCs w:val="32"/>
          <w:lang w:val="en-US" w:eastAsia="zh-CN" w:bidi="ar-SA"/>
        </w:rPr>
      </w:pPr>
      <w:r>
        <w:rPr>
          <w:rFonts w:hint="eastAsia" w:ascii="仿宋_GB2312" w:hAnsi="仿宋_GB2312" w:eastAsia="仿宋_GB2312" w:cs="仿宋_GB2312"/>
          <w:color w:val="333333"/>
          <w:kern w:val="2"/>
          <w:sz w:val="32"/>
          <w:szCs w:val="32"/>
          <w:lang w:val="en-US" w:eastAsia="zh-CN" w:bidi="ar-SA"/>
        </w:rPr>
        <w:t xml:space="preserve">3.医疗卫生与计划生育支出，2026年预算数为9.09万元，主要用于：缴纳单位职工医疗保险等。 </w:t>
      </w:r>
    </w:p>
    <w:p>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kern w:val="2"/>
          <w:sz w:val="32"/>
          <w:szCs w:val="32"/>
          <w:lang w:val="en-US" w:eastAsia="zh-CN" w:bidi="ar-SA"/>
        </w:rPr>
        <w:t>4.住房保障支出，2026年预算数为12.7万元，主要用于：</w:t>
      </w:r>
      <w:r>
        <w:rPr>
          <w:rFonts w:hint="eastAsia" w:ascii="仿宋_GB2312" w:hAnsi="仿宋_GB2312" w:eastAsia="仿宋_GB2312" w:cs="仿宋_GB2312"/>
          <w:color w:val="333333"/>
          <w:sz w:val="32"/>
          <w:szCs w:val="32"/>
        </w:rPr>
        <w:t xml:space="preserve">缴纳单位职工住房公积金。 </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 </w:t>
      </w:r>
      <w:r>
        <w:rPr>
          <w:rFonts w:hint="eastAsia" w:ascii="黑体" w:hAnsi="黑体" w:eastAsia="黑体" w:cs="黑体"/>
          <w:color w:val="333333"/>
          <w:sz w:val="32"/>
          <w:szCs w:val="32"/>
        </w:rPr>
        <w:t xml:space="preserve">六、一般公共预算基本支出情况说明 </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一般公共预算基本支出134.94万元，其中：人员经费126.23万元，主要包括：基本工资、津贴补贴、奖金、其他社会保障缴费、绩效工资、机关事业单位基本养老保险缴费、职业年金缴费、其他工资福利支出、离休费、奖励金、住房公积金、其他对个人和家庭的补助支出。公用经费8.71万元，主要包括：办公费、印刷费、手续费、水费、电费、邮电费、差旅费、维修（护）费、租赁费、会议费、培训费、劳务费、工会经费、福利费、其他交通工具运行维护费、其他商品和服务支出。</w:t>
      </w:r>
    </w:p>
    <w:p>
      <w:pPr>
        <w:numPr>
          <w:ilvl w:val="0"/>
          <w:numId w:val="3"/>
        </w:numPr>
        <w:spacing w:line="560" w:lineRule="exact"/>
        <w:rPr>
          <w:rFonts w:hint="eastAsia" w:ascii="仿宋_GB2312" w:hAnsi="仿宋_GB2312" w:eastAsia="仿宋_GB2312" w:cs="仿宋_GB2312"/>
          <w:color w:val="333333"/>
          <w:sz w:val="32"/>
          <w:szCs w:val="32"/>
        </w:rPr>
      </w:pPr>
      <w:r>
        <w:rPr>
          <w:rFonts w:hint="eastAsia" w:ascii="黑体" w:hAnsi="黑体" w:eastAsia="黑体" w:cs="黑体"/>
          <w:color w:val="333333"/>
          <w:sz w:val="32"/>
          <w:szCs w:val="32"/>
        </w:rPr>
        <w:t>“三公”经费财政拨款预算安排情况说明</w:t>
      </w:r>
      <w:r>
        <w:rPr>
          <w:rFonts w:hint="eastAsia" w:ascii="仿宋_GB2312" w:hAnsi="仿宋_GB2312" w:eastAsia="仿宋_GB2312" w:cs="仿宋_GB2312"/>
          <w:color w:val="333333"/>
          <w:sz w:val="32"/>
          <w:szCs w:val="32"/>
        </w:rPr>
        <w:t xml:space="preserve"> </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县经信局2026年“三公”经费财政拨款预算数0万元，其中：因公出国（境）经费0万元，公务接待费0万元，公务用车购置及运行维护费0万元。 </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color w:val="333333"/>
          <w:sz w:val="32"/>
          <w:szCs w:val="32"/>
        </w:rPr>
        <w:t>2026</w:t>
      </w:r>
      <w:r>
        <w:rPr>
          <w:rFonts w:hint="eastAsia" w:ascii="仿宋_GB2312" w:hAnsi="仿宋_GB2312" w:eastAsia="仿宋_GB2312" w:cs="仿宋_GB2312"/>
          <w:sz w:val="32"/>
          <w:szCs w:val="32"/>
        </w:rPr>
        <w:t>年因公出国（境）经费0万元。较</w:t>
      </w:r>
      <w:r>
        <w:rPr>
          <w:rFonts w:hint="eastAsia" w:ascii="仿宋_GB2312" w:hAnsi="仿宋_GB2312" w:eastAsia="仿宋_GB2312" w:cs="仿宋_GB2312"/>
          <w:color w:val="333333"/>
          <w:sz w:val="32"/>
          <w:szCs w:val="32"/>
        </w:rPr>
        <w:t>2026</w:t>
      </w:r>
      <w:r>
        <w:rPr>
          <w:rFonts w:hint="eastAsia" w:ascii="仿宋_GB2312" w:hAnsi="仿宋_GB2312" w:eastAsia="仿宋_GB2312" w:cs="仿宋_GB2312"/>
          <w:sz w:val="32"/>
          <w:szCs w:val="32"/>
        </w:rPr>
        <w:t>年预算经费</w:t>
      </w:r>
      <w:r>
        <w:rPr>
          <w:rFonts w:hint="eastAsia" w:ascii="仿宋_GB2312" w:hAnsi="仿宋_GB2312" w:eastAsia="仿宋_GB2312" w:cs="仿宋_GB2312"/>
          <w:sz w:val="32"/>
          <w:szCs w:val="32"/>
          <w:lang w:val="en-US" w:eastAsia="zh-CN"/>
        </w:rPr>
        <w:t>0万元增长0%，主要原因是;无</w:t>
      </w:r>
      <w:r>
        <w:rPr>
          <w:rFonts w:hint="eastAsia" w:ascii="仿宋_GB2312" w:hAnsi="仿宋_GB2312" w:eastAsia="仿宋_GB2312" w:cs="仿宋_GB2312"/>
          <w:sz w:val="32"/>
          <w:szCs w:val="32"/>
        </w:rPr>
        <w:t>年因公出国（境）。</w:t>
      </w:r>
    </w:p>
    <w:p>
      <w:pPr>
        <w:spacing w:line="56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2026年公务接待费0万元。较202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年预算经费</w:t>
      </w:r>
      <w:r>
        <w:rPr>
          <w:rFonts w:hint="eastAsia" w:ascii="仿宋_GB2312" w:hAnsi="仿宋_GB2312" w:eastAsia="仿宋_GB2312" w:cs="仿宋_GB2312"/>
          <w:sz w:val="32"/>
          <w:szCs w:val="32"/>
          <w:lang w:val="en-US" w:eastAsia="zh-CN"/>
        </w:rPr>
        <w:t>0.36万元增长0%，主要原因是：厉行节约、杜绝浪费。</w:t>
      </w:r>
      <w:r>
        <w:rPr>
          <w:rFonts w:hint="eastAsia" w:ascii="仿宋_GB2312" w:hAnsi="仿宋_GB2312" w:eastAsia="仿宋_GB2312" w:cs="仿宋_GB2312"/>
          <w:sz w:val="32"/>
          <w:szCs w:val="32"/>
        </w:rPr>
        <w:t xml:space="preserve"> </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（三）2026年公务用车购置及运行维护费0万元。较202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年预算经费</w:t>
      </w:r>
      <w:r>
        <w:rPr>
          <w:rFonts w:hint="eastAsia" w:ascii="仿宋_GB2312" w:hAnsi="仿宋_GB2312" w:eastAsia="仿宋_GB2312" w:cs="仿宋_GB2312"/>
          <w:sz w:val="32"/>
          <w:szCs w:val="32"/>
          <w:lang w:val="en-US" w:eastAsia="zh-CN"/>
        </w:rPr>
        <w:t>0万元增长0%，主要原因是：无</w:t>
      </w:r>
      <w:r>
        <w:rPr>
          <w:rFonts w:hint="eastAsia" w:ascii="仿宋_GB2312" w:hAnsi="仿宋_GB2312" w:eastAsia="仿宋_GB2312" w:cs="仿宋_GB2312"/>
          <w:sz w:val="32"/>
          <w:szCs w:val="32"/>
        </w:rPr>
        <w:t>公务用车购置及运行维护费。</w:t>
      </w:r>
    </w:p>
    <w:p>
      <w:pPr>
        <w:numPr>
          <w:ilvl w:val="0"/>
          <w:numId w:val="4"/>
        </w:numPr>
        <w:spacing w:line="560" w:lineRule="exact"/>
        <w:rPr>
          <w:rFonts w:hint="eastAsia" w:ascii="黑体" w:hAnsi="黑体" w:eastAsia="黑体" w:cs="黑体"/>
          <w:color w:val="333333"/>
          <w:sz w:val="32"/>
          <w:szCs w:val="32"/>
        </w:rPr>
      </w:pPr>
      <w:r>
        <w:rPr>
          <w:rFonts w:hint="eastAsia" w:ascii="黑体" w:hAnsi="黑体" w:eastAsia="黑体" w:cs="黑体"/>
          <w:color w:val="333333"/>
          <w:sz w:val="32"/>
          <w:szCs w:val="32"/>
        </w:rPr>
        <w:t xml:space="preserve">政府性基金预算支出情况说明 </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县经信局2026年政府性基金预算拨款安排的支出0万元。较2025年预算经费0万元增长0%，主要原因是：</w:t>
      </w:r>
      <w:r>
        <w:rPr>
          <w:rFonts w:hint="eastAsia" w:ascii="仿宋_GB2312" w:hAnsi="仿宋_GB2312" w:eastAsia="仿宋_GB2312" w:cs="仿宋_GB2312"/>
          <w:color w:val="333333"/>
          <w:sz w:val="32"/>
          <w:szCs w:val="32"/>
          <w:lang w:val="en-US" w:eastAsia="zh-CN"/>
        </w:rPr>
        <w:t>没有</w:t>
      </w:r>
      <w:r>
        <w:rPr>
          <w:rFonts w:hint="eastAsia" w:ascii="仿宋_GB2312" w:hAnsi="仿宋_GB2312" w:eastAsia="仿宋_GB2312" w:cs="仿宋_GB2312"/>
          <w:color w:val="333333"/>
          <w:sz w:val="32"/>
          <w:szCs w:val="32"/>
        </w:rPr>
        <w:t>政府性基金</w:t>
      </w:r>
      <w:r>
        <w:rPr>
          <w:rFonts w:hint="eastAsia" w:ascii="仿宋_GB2312" w:hAnsi="仿宋_GB2312" w:eastAsia="仿宋_GB2312" w:cs="仿宋_GB2312"/>
          <w:color w:val="333333"/>
          <w:sz w:val="32"/>
          <w:szCs w:val="32"/>
          <w:lang w:eastAsia="zh-CN"/>
        </w:rPr>
        <w:t>预算支出</w:t>
      </w:r>
      <w:r>
        <w:rPr>
          <w:rFonts w:hint="eastAsia" w:ascii="仿宋_GB2312" w:hAnsi="仿宋_GB2312" w:eastAsia="仿宋_GB2312" w:cs="仿宋_GB2312"/>
          <w:color w:val="333333"/>
          <w:sz w:val="32"/>
          <w:szCs w:val="32"/>
        </w:rPr>
        <w:t>。</w:t>
      </w:r>
    </w:p>
    <w:p>
      <w:pPr>
        <w:numPr>
          <w:ilvl w:val="0"/>
          <w:numId w:val="4"/>
        </w:numPr>
        <w:spacing w:line="560" w:lineRule="exact"/>
        <w:rPr>
          <w:rFonts w:hint="eastAsia" w:ascii="黑体" w:hAnsi="黑体" w:eastAsia="黑体" w:cs="黑体"/>
          <w:color w:val="333333"/>
          <w:sz w:val="32"/>
          <w:szCs w:val="32"/>
        </w:rPr>
      </w:pPr>
      <w:r>
        <w:rPr>
          <w:rFonts w:hint="eastAsia" w:ascii="黑体" w:hAnsi="黑体" w:eastAsia="黑体" w:cs="黑体"/>
          <w:color w:val="333333"/>
          <w:sz w:val="32"/>
          <w:szCs w:val="32"/>
        </w:rPr>
        <w:t xml:space="preserve">国有资本经营预算支出情况说明 </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县经信局2026年国有资本经营预算拨款安排的支出0万元。较2025年预算经费0万元增长0%，主要原因是：</w:t>
      </w:r>
      <w:r>
        <w:rPr>
          <w:rFonts w:hint="eastAsia" w:ascii="仿宋_GB2312" w:hAnsi="仿宋_GB2312" w:eastAsia="仿宋_GB2312" w:cs="仿宋_GB2312"/>
          <w:color w:val="333333"/>
          <w:sz w:val="32"/>
          <w:szCs w:val="32"/>
          <w:lang w:eastAsia="zh-CN"/>
        </w:rPr>
        <w:t>无</w:t>
      </w:r>
      <w:r>
        <w:rPr>
          <w:rFonts w:hint="eastAsia" w:ascii="仿宋_GB2312" w:hAnsi="仿宋_GB2312" w:eastAsia="仿宋_GB2312" w:cs="仿宋_GB2312"/>
          <w:color w:val="333333"/>
          <w:sz w:val="32"/>
          <w:szCs w:val="32"/>
        </w:rPr>
        <w:t>国有资本经营</w:t>
      </w:r>
      <w:r>
        <w:rPr>
          <w:rFonts w:hint="eastAsia" w:ascii="仿宋_GB2312" w:hAnsi="仿宋_GB2312" w:eastAsia="仿宋_GB2312" w:cs="仿宋_GB2312"/>
          <w:color w:val="333333"/>
          <w:sz w:val="32"/>
          <w:szCs w:val="32"/>
          <w:lang w:eastAsia="zh-CN"/>
        </w:rPr>
        <w:t>预算支出</w:t>
      </w:r>
      <w:r>
        <w:rPr>
          <w:rFonts w:hint="eastAsia" w:ascii="仿宋_GB2312" w:hAnsi="仿宋_GB2312" w:eastAsia="仿宋_GB2312" w:cs="仿宋_GB2312"/>
          <w:color w:val="333333"/>
          <w:sz w:val="32"/>
          <w:szCs w:val="32"/>
        </w:rPr>
        <w:t>。</w:t>
      </w:r>
    </w:p>
    <w:p>
      <w:pPr>
        <w:numPr>
          <w:ilvl w:val="0"/>
          <w:numId w:val="4"/>
        </w:numPr>
        <w:spacing w:line="560" w:lineRule="exact"/>
        <w:rPr>
          <w:rFonts w:hint="eastAsia" w:ascii="黑体" w:hAnsi="黑体" w:eastAsia="黑体" w:cs="黑体"/>
          <w:color w:val="333333"/>
          <w:sz w:val="32"/>
          <w:szCs w:val="32"/>
        </w:rPr>
      </w:pPr>
      <w:r>
        <w:rPr>
          <w:rFonts w:hint="eastAsia" w:ascii="黑体" w:hAnsi="黑体" w:eastAsia="黑体" w:cs="黑体"/>
          <w:color w:val="333333"/>
          <w:sz w:val="32"/>
          <w:szCs w:val="32"/>
        </w:rPr>
        <w:t xml:space="preserve">其他重要事项的情况说明 </w:t>
      </w:r>
    </w:p>
    <w:p>
      <w:pPr>
        <w:numPr>
          <w:ilvl w:val="0"/>
          <w:numId w:val="5"/>
        </w:numPr>
        <w:spacing w:line="560" w:lineRule="exact"/>
        <w:ind w:firstLine="64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机关运行经费</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县经信局2026年机关运行经费财政拨款预算为8.71万元，比2026年预算减少3.39万元，增</w:t>
      </w:r>
      <w:r>
        <w:rPr>
          <w:rFonts w:hint="eastAsia" w:ascii="仿宋_GB2312" w:hAnsi="仿宋_GB2312" w:eastAsia="仿宋_GB2312" w:cs="仿宋_GB2312"/>
          <w:color w:val="333333"/>
          <w:sz w:val="32"/>
          <w:szCs w:val="32"/>
          <w:lang w:eastAsia="zh-CN"/>
        </w:rPr>
        <w:t>长</w:t>
      </w:r>
      <w:r>
        <w:rPr>
          <w:rFonts w:hint="eastAsia" w:ascii="仿宋_GB2312" w:hAnsi="仿宋_GB2312" w:eastAsia="仿宋_GB2312" w:cs="仿宋_GB2312"/>
          <w:color w:val="333333"/>
          <w:sz w:val="32"/>
          <w:szCs w:val="32"/>
          <w:lang w:val="en-US" w:eastAsia="zh-CN"/>
        </w:rPr>
        <w:t>-</w:t>
      </w:r>
      <w:r>
        <w:rPr>
          <w:rFonts w:hint="eastAsia" w:ascii="仿宋_GB2312" w:hAnsi="仿宋_GB2312" w:eastAsia="仿宋_GB2312" w:cs="仿宋_GB2312"/>
          <w:color w:val="333333"/>
          <w:sz w:val="32"/>
          <w:szCs w:val="32"/>
        </w:rPr>
        <w:t>28.02%</w:t>
      </w:r>
      <w:bookmarkStart w:id="0" w:name="_GoBack"/>
      <w:bookmarkEnd w:id="0"/>
      <w:r>
        <w:rPr>
          <w:rFonts w:hint="eastAsia" w:ascii="仿宋_GB2312" w:hAnsi="仿宋_GB2312" w:eastAsia="仿宋_GB2312" w:cs="仿宋_GB2312"/>
          <w:color w:val="333333"/>
          <w:sz w:val="32"/>
          <w:szCs w:val="32"/>
        </w:rPr>
        <w:t>。</w:t>
      </w:r>
    </w:p>
    <w:p>
      <w:pPr>
        <w:numPr>
          <w:ilvl w:val="0"/>
          <w:numId w:val="5"/>
        </w:numPr>
        <w:spacing w:line="560" w:lineRule="exact"/>
        <w:ind w:firstLine="64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政府采购情况</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2026年县经信局安排政府采购预算0万元，较2026年预算经费无变化。</w:t>
      </w:r>
    </w:p>
    <w:p>
      <w:pPr>
        <w:numPr>
          <w:ilvl w:val="0"/>
          <w:numId w:val="5"/>
        </w:numPr>
        <w:spacing w:line="560" w:lineRule="exact"/>
        <w:ind w:firstLine="64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国有资产占有使用情况</w:t>
      </w:r>
    </w:p>
    <w:p>
      <w:p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招商办为县经信局二级单位，国有资产在局本级体现。</w:t>
      </w:r>
    </w:p>
    <w:p>
      <w:pPr>
        <w:numPr>
          <w:ilvl w:val="0"/>
          <w:numId w:val="5"/>
        </w:numPr>
        <w:spacing w:line="560" w:lineRule="exact"/>
        <w:ind w:firstLine="64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绩效目标设置情况2026年县经信局均按要求实行绩效目标管理，涉及一般公共预算当年拨款134.94万元，2026年力争完成6次展销会，完成2次以上招商引资工作，达到企业（个体户）升级改造，带动农牧民增收。</w:t>
      </w:r>
    </w:p>
    <w:p>
      <w:pPr>
        <w:spacing w:line="560" w:lineRule="exact"/>
        <w:ind w:firstLine="640" w:firstLineChars="200"/>
        <w:rPr>
          <w:rFonts w:hint="eastAsia" w:ascii="黑体" w:hAnsi="黑体" w:eastAsia="黑体" w:cs="黑体"/>
          <w:color w:val="333333"/>
          <w:sz w:val="32"/>
          <w:szCs w:val="32"/>
        </w:rPr>
      </w:pPr>
      <w:r>
        <w:rPr>
          <w:rFonts w:hint="eastAsia" w:ascii="黑体" w:hAnsi="黑体" w:eastAsia="黑体" w:cs="黑体"/>
          <w:color w:val="333333"/>
          <w:sz w:val="32"/>
          <w:szCs w:val="32"/>
        </w:rPr>
        <w:t>十一、名词解释</w:t>
      </w:r>
    </w:p>
    <w:p>
      <w:pPr>
        <w:numPr>
          <w:ilvl w:val="0"/>
          <w:numId w:val="6"/>
        </w:num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财政拨款收入：指由财政拨款形成的部门收入。按现行管理制度，部门预算中反映的财政拨款仅包括一般公共预算拨款和政府性基金预算拨款。</w:t>
      </w:r>
    </w:p>
    <w:p>
      <w:pPr>
        <w:numPr>
          <w:ilvl w:val="0"/>
          <w:numId w:val="6"/>
        </w:num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事业收入：指所属事业单位开展专业业务活动及辅助活动所取得的收入。</w:t>
      </w:r>
    </w:p>
    <w:p>
      <w:pPr>
        <w:numPr>
          <w:ilvl w:val="0"/>
          <w:numId w:val="6"/>
        </w:num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事业单位经营收入：指所属事业单位在专业业务活动及其辅助活动之外开展非独立核算经营活动取得的收入。</w:t>
      </w:r>
    </w:p>
    <w:p>
      <w:pPr>
        <w:numPr>
          <w:ilvl w:val="0"/>
          <w:numId w:val="6"/>
        </w:num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其他收入：指除上述“财政拨款收入”、“事业收入”、“事业单位经营收入”等以外的收入，主要是所属行政事业单位按规定动用的售房收入、存款利息收入等。</w:t>
      </w:r>
    </w:p>
    <w:p>
      <w:pPr>
        <w:numPr>
          <w:ilvl w:val="0"/>
          <w:numId w:val="6"/>
        </w:num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用事业基金弥补收支差额：指所属事业单位在预计用当年的“财政拨款收入”、“事业收入”、“事业单位经营收入”、“其他收入”不足以安排当年支出的情况下，使用以前年度积累的事业基金弥补本年度收支缺口的资金。</w:t>
      </w:r>
    </w:p>
    <w:p>
      <w:pPr>
        <w:numPr>
          <w:ilvl w:val="0"/>
          <w:numId w:val="6"/>
        </w:numPr>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上年结转：指所属行政事业单位以前年度尚未完成、结转至本年按原规定用途继续使用的资金和以前年度已完成项目剩余资金经批准用于新用途使用的资金。 </w:t>
      </w:r>
    </w:p>
    <w:p>
      <w:pPr>
        <w:spacing w:line="560" w:lineRule="exact"/>
        <w:ind w:firstLine="640" w:firstLineChars="200"/>
        <w:rPr>
          <w:rFonts w:hint="eastAsia" w:ascii="仿宋_GB2312" w:hAnsi="仿宋_GB2312" w:eastAsia="仿宋_GB2312" w:cs="仿宋_GB2312"/>
          <w:sz w:val="32"/>
          <w:szCs w:val="32"/>
        </w:rPr>
      </w:pPr>
    </w:p>
    <w:sectPr>
      <w:footerReference r:id="rId3" w:type="default"/>
      <w:pgSz w:w="11906" w:h="16838"/>
      <w:pgMar w:top="2098" w:right="1474" w:bottom="1984" w:left="158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4097" o:spid="_x0000_s4097" o:spt="202" type="#_x0000_t202" style="position:absolute;left:0pt;margin-top:0pt;height:21.95pt;width:4.6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4"/>
                </w:pPr>
                <w:r>
                  <w:fldChar w:fldCharType="begin"/>
                </w:r>
                <w:r>
                  <w:instrText xml:space="preserve"> PAGE  \* MERGEFORMAT </w:instrText>
                </w:r>
                <w:r>
                  <w:fldChar w:fldCharType="separate"/>
                </w:r>
                <w:r>
                  <w:rPr>
                    <w:lang w:val="en-US" w:eastAsia="zh-CN"/>
                  </w:rPr>
                  <w:t>5</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F9EC1D"/>
    <w:multiLevelType w:val="singleLevel"/>
    <w:tmpl w:val="ADF9EC1D"/>
    <w:lvl w:ilvl="0" w:tentative="0">
      <w:start w:val="2"/>
      <w:numFmt w:val="chineseCounting"/>
      <w:suff w:val="nothing"/>
      <w:lvlText w:val="（%1）"/>
      <w:lvlJc w:val="left"/>
      <w:rPr>
        <w:rFonts w:hint="eastAsia"/>
      </w:rPr>
    </w:lvl>
  </w:abstractNum>
  <w:abstractNum w:abstractNumId="1">
    <w:nsid w:val="B9884994"/>
    <w:multiLevelType w:val="singleLevel"/>
    <w:tmpl w:val="B9884994"/>
    <w:lvl w:ilvl="0" w:tentative="0">
      <w:start w:val="7"/>
      <w:numFmt w:val="chineseCounting"/>
      <w:suff w:val="nothing"/>
      <w:lvlText w:val="%1、"/>
      <w:lvlJc w:val="left"/>
      <w:pPr>
        <w:ind w:left="800" w:firstLine="0"/>
      </w:pPr>
      <w:rPr>
        <w:rFonts w:hint="eastAsia"/>
      </w:rPr>
    </w:lvl>
  </w:abstractNum>
  <w:abstractNum w:abstractNumId="2">
    <w:nsid w:val="C8272CAC"/>
    <w:multiLevelType w:val="singleLevel"/>
    <w:tmpl w:val="C8272CAC"/>
    <w:lvl w:ilvl="0" w:tentative="0">
      <w:start w:val="1"/>
      <w:numFmt w:val="chineseCounting"/>
      <w:suff w:val="nothing"/>
      <w:lvlText w:val="（%1）"/>
      <w:lvlJc w:val="left"/>
      <w:pPr>
        <w:ind w:left="-10"/>
      </w:pPr>
      <w:rPr>
        <w:rFonts w:hint="eastAsia"/>
      </w:rPr>
    </w:lvl>
  </w:abstractNum>
  <w:abstractNum w:abstractNumId="3">
    <w:nsid w:val="D628CB07"/>
    <w:multiLevelType w:val="singleLevel"/>
    <w:tmpl w:val="D628CB07"/>
    <w:lvl w:ilvl="0" w:tentative="0">
      <w:start w:val="1"/>
      <w:numFmt w:val="chineseCounting"/>
      <w:suff w:val="nothing"/>
      <w:lvlText w:val="（%1）"/>
      <w:lvlJc w:val="left"/>
      <w:rPr>
        <w:rFonts w:hint="eastAsia"/>
      </w:rPr>
    </w:lvl>
  </w:abstractNum>
  <w:abstractNum w:abstractNumId="4">
    <w:nsid w:val="E3D5EB6D"/>
    <w:multiLevelType w:val="singleLevel"/>
    <w:tmpl w:val="E3D5EB6D"/>
    <w:lvl w:ilvl="0" w:tentative="0">
      <w:start w:val="8"/>
      <w:numFmt w:val="chineseCounting"/>
      <w:suff w:val="nothing"/>
      <w:lvlText w:val="%1、"/>
      <w:lvlJc w:val="left"/>
      <w:pPr>
        <w:ind w:left="426" w:firstLine="0"/>
      </w:pPr>
      <w:rPr>
        <w:rFonts w:hint="eastAsia"/>
      </w:rPr>
    </w:lvl>
  </w:abstractNum>
  <w:abstractNum w:abstractNumId="5">
    <w:nsid w:val="5D664222"/>
    <w:multiLevelType w:val="singleLevel"/>
    <w:tmpl w:val="5D664222"/>
    <w:lvl w:ilvl="0" w:tentative="0">
      <w:start w:val="5"/>
      <w:numFmt w:val="chineseCounting"/>
      <w:suff w:val="nothing"/>
      <w:lvlText w:val="%1、"/>
      <w:lvlJc w:val="left"/>
      <w:rPr>
        <w:rFonts w:hint="eastAsia"/>
      </w:r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8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zZlZTA3ZmY5NzUzZGNmYzI2Zjg5YjJjZDk4NjJkNjQifQ=="/>
  </w:docVars>
  <w:rsids>
    <w:rsidRoot w:val="00EF252C"/>
    <w:rsid w:val="00085C38"/>
    <w:rsid w:val="00171DAD"/>
    <w:rsid w:val="00192BB2"/>
    <w:rsid w:val="001A4904"/>
    <w:rsid w:val="00276E33"/>
    <w:rsid w:val="002B247F"/>
    <w:rsid w:val="002C12DD"/>
    <w:rsid w:val="002C21D5"/>
    <w:rsid w:val="003F39C3"/>
    <w:rsid w:val="004545BE"/>
    <w:rsid w:val="00494AE0"/>
    <w:rsid w:val="004A7E08"/>
    <w:rsid w:val="00502F73"/>
    <w:rsid w:val="00504B85"/>
    <w:rsid w:val="005D3489"/>
    <w:rsid w:val="005E07F2"/>
    <w:rsid w:val="005E26B4"/>
    <w:rsid w:val="007D5A51"/>
    <w:rsid w:val="008D5BEF"/>
    <w:rsid w:val="008D79F0"/>
    <w:rsid w:val="00990F6C"/>
    <w:rsid w:val="009F1761"/>
    <w:rsid w:val="00B7475B"/>
    <w:rsid w:val="00C81D89"/>
    <w:rsid w:val="00D72732"/>
    <w:rsid w:val="00E65ECC"/>
    <w:rsid w:val="00E913DE"/>
    <w:rsid w:val="00EF252C"/>
    <w:rsid w:val="00F42AEC"/>
    <w:rsid w:val="00F518C5"/>
    <w:rsid w:val="00F71CFD"/>
    <w:rsid w:val="00FA7C74"/>
    <w:rsid w:val="01242CAF"/>
    <w:rsid w:val="012A3378"/>
    <w:rsid w:val="05F05E66"/>
    <w:rsid w:val="06386D48"/>
    <w:rsid w:val="063D7098"/>
    <w:rsid w:val="06913258"/>
    <w:rsid w:val="070E1B85"/>
    <w:rsid w:val="073A21FE"/>
    <w:rsid w:val="083F547E"/>
    <w:rsid w:val="084120E9"/>
    <w:rsid w:val="09344FF2"/>
    <w:rsid w:val="09774062"/>
    <w:rsid w:val="09E342EA"/>
    <w:rsid w:val="09EB70ED"/>
    <w:rsid w:val="0F3B4ABE"/>
    <w:rsid w:val="0F9254D6"/>
    <w:rsid w:val="0FAD1197"/>
    <w:rsid w:val="0FD07C9F"/>
    <w:rsid w:val="120174E4"/>
    <w:rsid w:val="121073DE"/>
    <w:rsid w:val="121A7943"/>
    <w:rsid w:val="1234071A"/>
    <w:rsid w:val="131A75DA"/>
    <w:rsid w:val="1389559C"/>
    <w:rsid w:val="14437C7B"/>
    <w:rsid w:val="17376372"/>
    <w:rsid w:val="1750298E"/>
    <w:rsid w:val="180E5379"/>
    <w:rsid w:val="1B4A1A0D"/>
    <w:rsid w:val="1FB43DE7"/>
    <w:rsid w:val="1FD60F98"/>
    <w:rsid w:val="23E9602A"/>
    <w:rsid w:val="24EC5DD1"/>
    <w:rsid w:val="261C4094"/>
    <w:rsid w:val="27463377"/>
    <w:rsid w:val="28546167"/>
    <w:rsid w:val="29F431C8"/>
    <w:rsid w:val="2BFF288E"/>
    <w:rsid w:val="2C7375EB"/>
    <w:rsid w:val="2D755A98"/>
    <w:rsid w:val="2DBA03AC"/>
    <w:rsid w:val="2DC93154"/>
    <w:rsid w:val="2E3C7476"/>
    <w:rsid w:val="2E6B7761"/>
    <w:rsid w:val="30E77756"/>
    <w:rsid w:val="314E571E"/>
    <w:rsid w:val="31C6470B"/>
    <w:rsid w:val="328622EF"/>
    <w:rsid w:val="32A47CEB"/>
    <w:rsid w:val="32E736C9"/>
    <w:rsid w:val="32F84DF3"/>
    <w:rsid w:val="32FB617D"/>
    <w:rsid w:val="353C420B"/>
    <w:rsid w:val="3736112E"/>
    <w:rsid w:val="3841209E"/>
    <w:rsid w:val="394538AA"/>
    <w:rsid w:val="3A27015C"/>
    <w:rsid w:val="3A4B6D36"/>
    <w:rsid w:val="3AA60379"/>
    <w:rsid w:val="3C6C004C"/>
    <w:rsid w:val="3E410AE4"/>
    <w:rsid w:val="3FEB6F5A"/>
    <w:rsid w:val="404E5281"/>
    <w:rsid w:val="40504C94"/>
    <w:rsid w:val="41D04488"/>
    <w:rsid w:val="42ED123B"/>
    <w:rsid w:val="43CB2D15"/>
    <w:rsid w:val="441278C2"/>
    <w:rsid w:val="443F7C92"/>
    <w:rsid w:val="451B4863"/>
    <w:rsid w:val="46444FBE"/>
    <w:rsid w:val="47D63712"/>
    <w:rsid w:val="480C3547"/>
    <w:rsid w:val="483D40CA"/>
    <w:rsid w:val="4CFA4C80"/>
    <w:rsid w:val="4ED9170A"/>
    <w:rsid w:val="4EDD03B5"/>
    <w:rsid w:val="4EF1548F"/>
    <w:rsid w:val="51151C3C"/>
    <w:rsid w:val="51E12104"/>
    <w:rsid w:val="531541F7"/>
    <w:rsid w:val="536A64C8"/>
    <w:rsid w:val="53BF452D"/>
    <w:rsid w:val="556540FE"/>
    <w:rsid w:val="5986157E"/>
    <w:rsid w:val="5A101562"/>
    <w:rsid w:val="5AD90094"/>
    <w:rsid w:val="5BA83AF8"/>
    <w:rsid w:val="5C830541"/>
    <w:rsid w:val="5D753EAF"/>
    <w:rsid w:val="5F286767"/>
    <w:rsid w:val="604625F6"/>
    <w:rsid w:val="616805DD"/>
    <w:rsid w:val="621D66FB"/>
    <w:rsid w:val="632443AD"/>
    <w:rsid w:val="636C046D"/>
    <w:rsid w:val="642A59F3"/>
    <w:rsid w:val="64376D85"/>
    <w:rsid w:val="65864EAB"/>
    <w:rsid w:val="6939021F"/>
    <w:rsid w:val="6A5C2B8F"/>
    <w:rsid w:val="6A8A7284"/>
    <w:rsid w:val="6B570BD3"/>
    <w:rsid w:val="6C3A69EF"/>
    <w:rsid w:val="6DD71F00"/>
    <w:rsid w:val="6E0C6169"/>
    <w:rsid w:val="6E1D268C"/>
    <w:rsid w:val="6FF90A74"/>
    <w:rsid w:val="700A59DA"/>
    <w:rsid w:val="705C289A"/>
    <w:rsid w:val="70983674"/>
    <w:rsid w:val="70A9269F"/>
    <w:rsid w:val="7148230A"/>
    <w:rsid w:val="72535801"/>
    <w:rsid w:val="73AB01D2"/>
    <w:rsid w:val="763D5388"/>
    <w:rsid w:val="767A3648"/>
    <w:rsid w:val="76D51394"/>
    <w:rsid w:val="78520C1D"/>
    <w:rsid w:val="78540E39"/>
    <w:rsid w:val="78574B7E"/>
    <w:rsid w:val="7A255D4E"/>
    <w:rsid w:val="7CAD0B17"/>
    <w:rsid w:val="7D2C5EE0"/>
    <w:rsid w:val="7DAA3D4D"/>
    <w:rsid w:val="7E5F6E9E"/>
    <w:rsid w:val="7EC516A2"/>
    <w:rsid w:val="7F192E0E"/>
    <w:rsid w:val="7F3A70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qFormat/>
    <w:uiPriority w:val="99"/>
    <w:pPr>
      <w:spacing w:after="120"/>
      <w:ind w:left="200" w:leftChars="200"/>
    </w:pPr>
    <w:rPr>
      <w:rFonts w:ascii="仿宋_GB2312" w:cs="仿宋_GB2312"/>
    </w:rPr>
  </w:style>
  <w:style w:type="paragraph" w:styleId="4">
    <w:name w:val="footer"/>
    <w:basedOn w:val="1"/>
    <w:link w:val="9"/>
    <w:uiPriority w:val="0"/>
    <w:pPr>
      <w:tabs>
        <w:tab w:val="center" w:pos="4153"/>
        <w:tab w:val="right" w:pos="8306"/>
      </w:tabs>
      <w:snapToGrid w:val="0"/>
      <w:jc w:val="left"/>
    </w:pPr>
    <w:rPr>
      <w:sz w:val="18"/>
      <w:szCs w:val="18"/>
    </w:rPr>
  </w:style>
  <w:style w:type="paragraph" w:styleId="5">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jc w:val="left"/>
    </w:pPr>
    <w:rPr>
      <w:kern w:val="0"/>
      <w:sz w:val="24"/>
    </w:rPr>
  </w:style>
  <w:style w:type="character" w:customStyle="1" w:styleId="9">
    <w:name w:val="页脚 Char"/>
    <w:basedOn w:val="8"/>
    <w:link w:val="4"/>
    <w:uiPriority w:val="0"/>
    <w:rPr>
      <w:rFonts w:ascii="Calibri" w:hAnsi="Calibri"/>
      <w:kern w:val="2"/>
      <w:sz w:val="18"/>
      <w:szCs w:val="18"/>
    </w:rPr>
  </w:style>
  <w:style w:type="character" w:customStyle="1" w:styleId="10">
    <w:name w:val="页眉 Char"/>
    <w:basedOn w:val="8"/>
    <w:link w:val="5"/>
    <w:autoRedefine/>
    <w:uiPriority w:val="0"/>
    <w:rPr>
      <w:rFonts w:ascii="Calibri" w:hAnsi="Calibri"/>
      <w:kern w:val="2"/>
      <w:sz w:val="18"/>
      <w:szCs w:val="18"/>
    </w:rPr>
  </w:style>
  <w:style w:type="paragraph" w:customStyle="1"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8</Pages>
  <Words>2939</Words>
  <Characters>3226</Characters>
  <Lines>26</Lines>
  <Paragraphs>7</Paragraphs>
  <TotalTime>0</TotalTime>
  <ScaleCrop>false</ScaleCrop>
  <LinksUpToDate>false</LinksUpToDate>
  <CharactersWithSpaces>3327</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2026-01-22T06:41:00Z</dcterms:created>
  <dc:creator>Administrator</dc:creator>
  <cp:lastModifiedBy>Administrator</cp:lastModifiedBy>
  <cp:lastPrinted>2025-01-15T08:11:00Z</cp:lastPrinted>
  <dcterms:modified xsi:type="dcterms:W3CDTF">2026-01-26T08:37:51Z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18BE6F0CA1B54CBCA03725CE3D79EF60</vt:lpwstr>
  </property>
  <property fmtid="{D5CDD505-2E9C-101B-9397-08002B2CF9AE}" pid="4" name="KSOTemplateDocerSaveRecord">
    <vt:lpwstr>eyJoZGlkIjoiYjJmZWQ5OTQ5MjU2MDZjNDljOTdlZmM5MTUwYTcwMzgiLCJ1c2VySWQiOiI1NzUxODk1NjkifQ==</vt:lpwstr>
  </property>
</Properties>
</file>