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B74283">
      <w:pPr>
        <w:spacing w:before="15"/>
      </w:pPr>
    </w:p>
    <w:p w14:paraId="3EB8D799">
      <w:pPr>
        <w:spacing w:before="15"/>
      </w:pPr>
    </w:p>
    <w:p w14:paraId="0A622635">
      <w:pPr>
        <w:spacing w:before="15"/>
      </w:pPr>
    </w:p>
    <w:p w14:paraId="7CE46784">
      <w:pPr>
        <w:spacing w:before="14"/>
      </w:pPr>
    </w:p>
    <w:p w14:paraId="16B7F654">
      <w:pPr>
        <w:sectPr>
          <w:headerReference r:id="rId5" w:type="default"/>
          <w:pgSz w:w="14400" w:h="10800"/>
          <w:pgMar w:top="400" w:right="0" w:bottom="0" w:left="0" w:header="0" w:footer="0" w:gutter="0"/>
          <w:cols w:equalWidth="0" w:num="1">
            <w:col w:w="14400"/>
          </w:cols>
        </w:sectPr>
      </w:pPr>
    </w:p>
    <w:p w14:paraId="0E423932">
      <w:pPr>
        <w:pStyle w:val="2"/>
        <w:spacing w:before="121" w:line="222" w:lineRule="auto"/>
        <w:ind w:right="44"/>
        <w:jc w:val="right"/>
        <w:outlineLvl w:val="0"/>
        <w:rPr>
          <w:sz w:val="31"/>
          <w:szCs w:val="31"/>
        </w:rPr>
      </w:pPr>
      <w:r>
        <w:rPr>
          <w:b/>
          <w:bCs/>
          <w:spacing w:val="7"/>
          <w:sz w:val="31"/>
          <w:szCs w:val="31"/>
        </w:rPr>
        <w:t>《若尔盖县县城详细规划（2021-2035年）》</w:t>
      </w:r>
    </w:p>
    <w:p w14:paraId="2C63942F">
      <w:pPr>
        <w:pStyle w:val="2"/>
        <w:spacing w:before="162" w:line="219" w:lineRule="auto"/>
        <w:ind w:left="3149"/>
        <w:rPr>
          <w:sz w:val="24"/>
          <w:szCs w:val="24"/>
        </w:rPr>
      </w:pPr>
      <w:r>
        <w:rPr>
          <w:b/>
          <w:bCs/>
          <w:spacing w:val="-7"/>
          <w:sz w:val="24"/>
          <w:szCs w:val="24"/>
        </w:rPr>
        <w:t>（批后公示稿）</w:t>
      </w:r>
    </w:p>
    <w:p w14:paraId="36A7EFAE">
      <w:pPr>
        <w:pStyle w:val="2"/>
        <w:spacing w:before="147" w:line="218" w:lineRule="auto"/>
        <w:ind w:left="3280"/>
        <w:rPr>
          <w:sz w:val="24"/>
          <w:szCs w:val="24"/>
        </w:rPr>
      </w:pPr>
      <w:r>
        <w:rPr>
          <w:b/>
          <w:bCs/>
          <w:spacing w:val="-13"/>
          <w:sz w:val="24"/>
          <w:szCs w:val="24"/>
        </w:rPr>
        <w:t>第一章</w:t>
      </w:r>
      <w:r>
        <w:rPr>
          <w:spacing w:val="26"/>
          <w:sz w:val="24"/>
          <w:szCs w:val="24"/>
        </w:rPr>
        <w:t xml:space="preserve"> </w:t>
      </w:r>
      <w:r>
        <w:rPr>
          <w:b/>
          <w:bCs/>
          <w:spacing w:val="-13"/>
          <w:sz w:val="24"/>
          <w:szCs w:val="24"/>
        </w:rPr>
        <w:t>总</w:t>
      </w:r>
      <w:r>
        <w:rPr>
          <w:spacing w:val="18"/>
          <w:sz w:val="24"/>
          <w:szCs w:val="24"/>
        </w:rPr>
        <w:t xml:space="preserve"> </w:t>
      </w:r>
      <w:r>
        <w:rPr>
          <w:b/>
          <w:bCs/>
          <w:spacing w:val="-13"/>
          <w:sz w:val="24"/>
          <w:szCs w:val="24"/>
        </w:rPr>
        <w:t>则</w:t>
      </w:r>
    </w:p>
    <w:p w14:paraId="25A45BF0">
      <w:pPr>
        <w:pStyle w:val="2"/>
        <w:spacing w:before="131" w:line="226" w:lineRule="auto"/>
        <w:ind w:left="915"/>
      </w:pPr>
      <w:r>
        <w:rPr>
          <w:b/>
          <w:bCs/>
          <w:spacing w:val="1"/>
        </w:rPr>
        <w:t>第1条</w:t>
      </w:r>
      <w:r>
        <w:rPr>
          <w:spacing w:val="25"/>
        </w:rPr>
        <w:t xml:space="preserve"> </w:t>
      </w:r>
      <w:r>
        <w:rPr>
          <w:b/>
          <w:bCs/>
          <w:spacing w:val="1"/>
        </w:rPr>
        <w:t>编制目的</w:t>
      </w:r>
    </w:p>
    <w:p w14:paraId="57E7BCD4">
      <w:pPr>
        <w:pStyle w:val="2"/>
        <w:spacing w:before="127" w:line="350" w:lineRule="auto"/>
        <w:ind w:left="907" w:right="100" w:firstLine="427"/>
      </w:pPr>
      <w:r>
        <w:rPr>
          <w:spacing w:val="9"/>
        </w:rPr>
        <w:t>为提升详细规划在国土空间高质量发展、高水平治理中的重要作</w:t>
      </w:r>
      <w:r>
        <w:rPr>
          <w:spacing w:val="1"/>
        </w:rPr>
        <w:t xml:space="preserve"> </w:t>
      </w:r>
      <w:r>
        <w:rPr>
          <w:spacing w:val="8"/>
        </w:rPr>
        <w:t>用，实现国土空间总体规划有效落地与逐级传导，</w:t>
      </w:r>
      <w:r>
        <w:rPr>
          <w:spacing w:val="-49"/>
        </w:rPr>
        <w:t xml:space="preserve"> </w:t>
      </w:r>
      <w:r>
        <w:rPr>
          <w:spacing w:val="8"/>
        </w:rPr>
        <w:t>依据《中共中央国</w:t>
      </w:r>
      <w:r>
        <w:t xml:space="preserve"> </w:t>
      </w:r>
      <w:r>
        <w:rPr>
          <w:spacing w:val="6"/>
        </w:rPr>
        <w:t>务院关于建立国土空间规划体系并监督实施的若干意见》</w:t>
      </w:r>
      <w:r>
        <w:rPr>
          <w:spacing w:val="-35"/>
        </w:rPr>
        <w:t xml:space="preserve"> </w:t>
      </w:r>
      <w:r>
        <w:rPr>
          <w:spacing w:val="6"/>
        </w:rPr>
        <w:t>(中发〔2019〕</w:t>
      </w:r>
      <w:r>
        <w:t xml:space="preserve"> </w:t>
      </w:r>
      <w:r>
        <w:rPr>
          <w:spacing w:val="7"/>
        </w:rPr>
        <w:t>18号)和《自然资源部关于加强国土空间详细规划工作的通知》</w:t>
      </w:r>
      <w:r>
        <w:rPr>
          <w:spacing w:val="-33"/>
        </w:rPr>
        <w:t xml:space="preserve"> </w:t>
      </w:r>
      <w:r>
        <w:rPr>
          <w:spacing w:val="7"/>
        </w:rPr>
        <w:t>(自然</w:t>
      </w:r>
      <w:r>
        <w:t xml:space="preserve"> </w:t>
      </w:r>
      <w:r>
        <w:rPr>
          <w:spacing w:val="9"/>
        </w:rPr>
        <w:t>资发〔2023〕43号)《四川省自然资源厅关于</w:t>
      </w:r>
      <w:r>
        <w:rPr>
          <w:spacing w:val="8"/>
        </w:rPr>
        <w:t>进一步加强城镇详细规划</w:t>
      </w:r>
      <w:r>
        <w:rPr>
          <w:spacing w:val="7"/>
        </w:rPr>
        <w:t>工作的通知》（川自然资函〔2024〕258号）</w:t>
      </w:r>
      <w:r>
        <w:rPr>
          <w:spacing w:val="-44"/>
        </w:rPr>
        <w:t xml:space="preserve"> </w:t>
      </w:r>
      <w:r>
        <w:rPr>
          <w:spacing w:val="7"/>
        </w:rPr>
        <w:t>等文件要求，特编制本规</w:t>
      </w:r>
      <w:r>
        <w:rPr>
          <w:spacing w:val="-6"/>
        </w:rPr>
        <w:t>划。</w:t>
      </w:r>
    </w:p>
    <w:p w14:paraId="76211886">
      <w:pPr>
        <w:pStyle w:val="2"/>
        <w:spacing w:line="227" w:lineRule="auto"/>
        <w:ind w:left="915"/>
      </w:pPr>
      <w:r>
        <w:rPr>
          <w:b/>
          <w:bCs/>
          <w:spacing w:val="2"/>
        </w:rPr>
        <w:t>第2条</w:t>
      </w:r>
      <w:r>
        <w:rPr>
          <w:spacing w:val="18"/>
        </w:rPr>
        <w:t xml:space="preserve"> </w:t>
      </w:r>
      <w:r>
        <w:rPr>
          <w:b/>
          <w:bCs/>
          <w:spacing w:val="2"/>
        </w:rPr>
        <w:t>规划范围</w:t>
      </w:r>
    </w:p>
    <w:p w14:paraId="0D95CD85">
      <w:pPr>
        <w:pStyle w:val="2"/>
        <w:spacing w:before="125" w:line="350" w:lineRule="auto"/>
        <w:ind w:left="906" w:right="262" w:firstLine="421"/>
      </w:pPr>
      <w:r>
        <w:rPr>
          <w:spacing w:val="5"/>
        </w:rPr>
        <w:t>根据《若尔盖县国土空间总体规划（2021-2035年）</w:t>
      </w:r>
      <w:r>
        <w:rPr>
          <w:spacing w:val="-57"/>
        </w:rPr>
        <w:t xml:space="preserve"> </w:t>
      </w:r>
      <w:r>
        <w:rPr>
          <w:spacing w:val="5"/>
        </w:rPr>
        <w:t>》，</w:t>
      </w:r>
      <w:r>
        <w:rPr>
          <w:spacing w:val="-47"/>
        </w:rPr>
        <w:t xml:space="preserve"> </w:t>
      </w:r>
      <w:r>
        <w:rPr>
          <w:spacing w:val="5"/>
        </w:rPr>
        <w:t>中心城区</w:t>
      </w:r>
      <w:r>
        <w:rPr>
          <w:spacing w:val="8"/>
        </w:rPr>
        <w:t>范围为达扎寺镇城镇开发边界范围所围合的区域</w:t>
      </w:r>
      <w:r>
        <w:rPr>
          <w:spacing w:val="7"/>
        </w:rPr>
        <w:t>，</w:t>
      </w:r>
      <w:r>
        <w:rPr>
          <w:spacing w:val="-42"/>
        </w:rPr>
        <w:t xml:space="preserve"> </w:t>
      </w:r>
      <w:r>
        <w:rPr>
          <w:spacing w:val="7"/>
        </w:rPr>
        <w:t>包括现状建成区与规划扩展区，城镇开发边界面积4.05平方公里。</w:t>
      </w:r>
    </w:p>
    <w:p w14:paraId="45E3124F">
      <w:pPr>
        <w:pStyle w:val="2"/>
        <w:spacing w:before="1" w:line="227" w:lineRule="auto"/>
        <w:ind w:left="916"/>
      </w:pPr>
      <w:r>
        <w:rPr>
          <w:b/>
          <w:bCs/>
          <w:spacing w:val="2"/>
        </w:rPr>
        <w:t>第3条</w:t>
      </w:r>
      <w:r>
        <w:rPr>
          <w:spacing w:val="18"/>
        </w:rPr>
        <w:t xml:space="preserve"> </w:t>
      </w:r>
      <w:r>
        <w:rPr>
          <w:b/>
          <w:bCs/>
          <w:spacing w:val="2"/>
        </w:rPr>
        <w:t>规划效力</w:t>
      </w:r>
    </w:p>
    <w:p w14:paraId="734B3960">
      <w:pPr>
        <w:pStyle w:val="2"/>
        <w:spacing w:before="126" w:line="350" w:lineRule="auto"/>
        <w:ind w:left="906" w:right="243" w:firstLine="420"/>
      </w:pPr>
      <w:r>
        <w:rPr>
          <w:spacing w:val="8"/>
        </w:rPr>
        <w:t>《若尔盖县县城详细规划(2021一2035年》是规划区内各项建设和规划管理的法定文件，</w:t>
      </w:r>
      <w:r>
        <w:rPr>
          <w:spacing w:val="-51"/>
        </w:rPr>
        <w:t xml:space="preserve"> </w:t>
      </w:r>
      <w:r>
        <w:rPr>
          <w:spacing w:val="8"/>
        </w:rPr>
        <w:t>规划范围开发边界内进行的一切建设行为均应</w:t>
      </w:r>
      <w:r>
        <w:rPr>
          <w:spacing w:val="5"/>
        </w:rPr>
        <w:t>按照本规划进行执行。</w:t>
      </w:r>
    </w:p>
    <w:p w14:paraId="6BAE7F2E">
      <w:pPr>
        <w:pStyle w:val="2"/>
        <w:spacing w:before="18" w:line="217" w:lineRule="auto"/>
        <w:ind w:left="3100"/>
        <w:rPr>
          <w:sz w:val="24"/>
          <w:szCs w:val="24"/>
        </w:rPr>
      </w:pPr>
      <w:r>
        <w:rPr>
          <w:b/>
          <w:bCs/>
          <w:spacing w:val="-13"/>
          <w:sz w:val="24"/>
          <w:szCs w:val="24"/>
        </w:rPr>
        <w:t>第二章</w:t>
      </w:r>
      <w:r>
        <w:rPr>
          <w:spacing w:val="60"/>
          <w:sz w:val="24"/>
          <w:szCs w:val="24"/>
        </w:rPr>
        <w:t xml:space="preserve"> </w:t>
      </w:r>
      <w:r>
        <w:rPr>
          <w:b/>
          <w:bCs/>
          <w:spacing w:val="-13"/>
          <w:sz w:val="24"/>
          <w:szCs w:val="24"/>
        </w:rPr>
        <w:t>目标定位</w:t>
      </w:r>
    </w:p>
    <w:p w14:paraId="70EC2667">
      <w:pPr>
        <w:pStyle w:val="2"/>
        <w:spacing w:before="132" w:line="226" w:lineRule="auto"/>
        <w:ind w:left="915"/>
      </w:pPr>
      <w:r>
        <w:rPr>
          <w:b/>
          <w:bCs/>
          <w:spacing w:val="2"/>
        </w:rPr>
        <w:t>第4条</w:t>
      </w:r>
      <w:r>
        <w:rPr>
          <w:spacing w:val="18"/>
        </w:rPr>
        <w:t xml:space="preserve"> </w:t>
      </w:r>
      <w:r>
        <w:rPr>
          <w:b/>
          <w:bCs/>
          <w:spacing w:val="2"/>
        </w:rPr>
        <w:t>规划定位</w:t>
      </w:r>
    </w:p>
    <w:p w14:paraId="6B042C6C">
      <w:pPr>
        <w:spacing w:line="14" w:lineRule="auto"/>
        <w:rPr>
          <w:rFonts w:ascii="FreeSerif"/>
          <w:sz w:val="2"/>
        </w:rPr>
      </w:pPr>
      <w:r>
        <w:rPr>
          <w:rFonts w:ascii="FreeSerif" w:hAnsi="FreeSerif" w:eastAsia="FreeSerif" w:cs="FreeSerif"/>
          <w:sz w:val="2"/>
          <w:szCs w:val="2"/>
        </w:rPr>
        <w:br w:type="column"/>
      </w:r>
    </w:p>
    <w:p w14:paraId="2B2C26FD">
      <w:pPr>
        <w:pStyle w:val="2"/>
        <w:spacing w:before="62" w:line="226" w:lineRule="auto"/>
        <w:ind w:left="420"/>
      </w:pPr>
      <w:r>
        <w:rPr>
          <w:spacing w:val="4"/>
        </w:rPr>
        <w:t>承接总体规划定位：</w:t>
      </w:r>
    </w:p>
    <w:p w14:paraId="40C98C88">
      <w:pPr>
        <w:pStyle w:val="2"/>
        <w:spacing w:before="126" w:line="350" w:lineRule="auto"/>
        <w:ind w:left="2" w:right="872" w:firstLine="423"/>
      </w:pPr>
      <w:r>
        <w:rPr>
          <w:spacing w:val="8"/>
        </w:rPr>
        <w:t>最美高原湿地生态旅游目的地、黄河上游重要水源涵养和补给地、</w:t>
      </w:r>
      <w:r>
        <w:rPr>
          <w:spacing w:val="9"/>
        </w:rPr>
        <w:t>世界最美高海拔国家公园若尔盖湿地、川西北高原农牧业绿色可持续</w:t>
      </w:r>
      <w:r>
        <w:rPr>
          <w:spacing w:val="4"/>
        </w:rPr>
        <w:t xml:space="preserve"> </w:t>
      </w:r>
      <w:r>
        <w:rPr>
          <w:spacing w:val="3"/>
        </w:rPr>
        <w:t>发展先进县。</w:t>
      </w:r>
    </w:p>
    <w:p w14:paraId="1482DA7F">
      <w:pPr>
        <w:pStyle w:val="2"/>
        <w:spacing w:line="226" w:lineRule="auto"/>
        <w:ind w:left="421"/>
      </w:pPr>
      <w:r>
        <w:rPr>
          <w:spacing w:val="7"/>
        </w:rPr>
        <w:t>将若尔盖县县城建设为：</w:t>
      </w:r>
    </w:p>
    <w:p w14:paraId="5B309761">
      <w:pPr>
        <w:pStyle w:val="2"/>
        <w:spacing w:before="127" w:line="226" w:lineRule="auto"/>
        <w:ind w:left="404"/>
      </w:pPr>
      <w:r>
        <w:rPr>
          <w:spacing w:val="9"/>
        </w:rPr>
        <w:t>“以民族地区高质量发展阿坝典范若尔盖示范”的国家公园名城。</w:t>
      </w:r>
    </w:p>
    <w:p w14:paraId="560DE863">
      <w:pPr>
        <w:pStyle w:val="2"/>
        <w:spacing w:before="128" w:line="226" w:lineRule="auto"/>
        <w:ind w:left="9"/>
      </w:pPr>
      <w:r>
        <w:rPr>
          <w:b/>
          <w:bCs/>
          <w:spacing w:val="2"/>
        </w:rPr>
        <w:t>第5条</w:t>
      </w:r>
      <w:r>
        <w:rPr>
          <w:spacing w:val="18"/>
        </w:rPr>
        <w:t xml:space="preserve"> </w:t>
      </w:r>
      <w:r>
        <w:rPr>
          <w:b/>
          <w:bCs/>
          <w:spacing w:val="2"/>
        </w:rPr>
        <w:t>规模控制</w:t>
      </w:r>
    </w:p>
    <w:p w14:paraId="78BBC9DB">
      <w:pPr>
        <w:pStyle w:val="2"/>
        <w:spacing w:before="127" w:line="227" w:lineRule="auto"/>
        <w:ind w:left="423"/>
      </w:pPr>
      <w:r>
        <w:rPr>
          <w:spacing w:val="6"/>
        </w:rPr>
        <w:t>人口规模：至2035年，规划区人口约2.3万人。</w:t>
      </w:r>
    </w:p>
    <w:p w14:paraId="65E4E3A2">
      <w:pPr>
        <w:pStyle w:val="2"/>
        <w:spacing w:before="127" w:line="350" w:lineRule="auto"/>
        <w:ind w:right="1035" w:firstLine="420"/>
      </w:pPr>
      <w:r>
        <w:rPr>
          <w:spacing w:val="8"/>
        </w:rPr>
        <w:t>用地规模：落实上位规划划定城镇开发边界面积405.02公顷。城</w:t>
      </w:r>
      <w:r>
        <w:rPr>
          <w:spacing w:val="7"/>
        </w:rPr>
        <w:t>镇开发边界内规划城镇建设用地面积402.73公顷。</w:t>
      </w:r>
    </w:p>
    <w:p w14:paraId="632A4A89">
      <w:pPr>
        <w:pStyle w:val="2"/>
        <w:spacing w:before="17" w:line="218" w:lineRule="auto"/>
        <w:ind w:left="2192"/>
        <w:rPr>
          <w:sz w:val="24"/>
          <w:szCs w:val="24"/>
        </w:rPr>
      </w:pPr>
      <w:r>
        <w:rPr>
          <w:b/>
          <w:bCs/>
          <w:spacing w:val="-9"/>
          <w:sz w:val="24"/>
          <w:szCs w:val="24"/>
        </w:rPr>
        <w:t>第三章</w:t>
      </w:r>
      <w:r>
        <w:rPr>
          <w:spacing w:val="23"/>
          <w:sz w:val="24"/>
          <w:szCs w:val="24"/>
        </w:rPr>
        <w:t xml:space="preserve"> </w:t>
      </w:r>
      <w:r>
        <w:rPr>
          <w:b/>
          <w:bCs/>
          <w:spacing w:val="-9"/>
          <w:sz w:val="24"/>
          <w:szCs w:val="24"/>
        </w:rPr>
        <w:t>土地利用</w:t>
      </w:r>
    </w:p>
    <w:p w14:paraId="07C7FECB">
      <w:pPr>
        <w:pStyle w:val="2"/>
        <w:spacing w:before="131" w:line="227" w:lineRule="auto"/>
        <w:ind w:left="9"/>
      </w:pPr>
      <w:r>
        <w:rPr>
          <w:b/>
          <w:bCs/>
        </w:rPr>
        <w:t>第6条</w:t>
      </w:r>
      <w:r>
        <w:rPr>
          <w:spacing w:val="32"/>
        </w:rPr>
        <w:t xml:space="preserve"> </w:t>
      </w:r>
      <w:r>
        <w:rPr>
          <w:b/>
          <w:bCs/>
        </w:rPr>
        <w:t>空间结构</w:t>
      </w:r>
    </w:p>
    <w:p w14:paraId="0B35BD34">
      <w:pPr>
        <w:pStyle w:val="2"/>
        <w:spacing w:before="126" w:line="350" w:lineRule="auto"/>
        <w:ind w:right="1037" w:firstLine="420"/>
      </w:pPr>
      <w:r>
        <w:rPr>
          <w:spacing w:val="7"/>
        </w:rPr>
        <w:t>规划形成“三带、三廊、</w:t>
      </w:r>
      <w:r>
        <w:rPr>
          <w:spacing w:val="-28"/>
        </w:rPr>
        <w:t xml:space="preserve"> </w:t>
      </w:r>
      <w:r>
        <w:rPr>
          <w:spacing w:val="7"/>
        </w:rPr>
        <w:t>一轴、两核、三心、五组团”的山水文</w:t>
      </w:r>
      <w:r>
        <w:rPr>
          <w:spacing w:val="-3"/>
        </w:rPr>
        <w:t>旅城。</w:t>
      </w:r>
    </w:p>
    <w:p w14:paraId="52998778">
      <w:pPr>
        <w:pStyle w:val="2"/>
        <w:spacing w:before="1" w:line="349" w:lineRule="auto"/>
        <w:ind w:left="6" w:right="1063" w:firstLine="420"/>
      </w:pPr>
      <w:r>
        <w:rPr>
          <w:spacing w:val="8"/>
        </w:rPr>
        <w:t>三带：三条生态景观带，分别为南部草原湿地生态景观带、热曲</w:t>
      </w:r>
      <w:r>
        <w:rPr>
          <w:spacing w:val="7"/>
        </w:rPr>
        <w:t>河景观带、黑河景观带。</w:t>
      </w:r>
    </w:p>
    <w:p w14:paraId="3F38B1CD">
      <w:pPr>
        <w:pStyle w:val="2"/>
        <w:spacing w:before="1" w:line="350" w:lineRule="auto"/>
        <w:ind w:left="3" w:right="1036" w:firstLine="422"/>
      </w:pPr>
      <w:r>
        <w:rPr>
          <w:spacing w:val="8"/>
        </w:rPr>
        <w:t>三廊：</w:t>
      </w:r>
      <w:r>
        <w:rPr>
          <w:spacing w:val="-56"/>
        </w:rPr>
        <w:t xml:space="preserve"> </w:t>
      </w:r>
      <w:r>
        <w:rPr>
          <w:spacing w:val="8"/>
        </w:rPr>
        <w:t>三条城市景观廊，分别为老城望山景观廊、湿</w:t>
      </w:r>
      <w:r>
        <w:rPr>
          <w:spacing w:val="7"/>
        </w:rPr>
        <w:t>地望山景观</w:t>
      </w:r>
      <w:r>
        <w:rPr>
          <w:spacing w:val="6"/>
        </w:rPr>
        <w:t>廊、达扎景观廊。</w:t>
      </w:r>
    </w:p>
    <w:p w14:paraId="76A4EE34">
      <w:pPr>
        <w:pStyle w:val="2"/>
        <w:spacing w:before="1" w:line="224" w:lineRule="auto"/>
        <w:ind w:left="423"/>
      </w:pPr>
      <w:r>
        <w:rPr>
          <w:spacing w:val="9"/>
        </w:rPr>
        <w:t>一轴：城镇综合发展轴，贯通新老城区、城市功能核的发展轴</w:t>
      </w:r>
      <w:r>
        <w:rPr>
          <w:spacing w:val="8"/>
        </w:rPr>
        <w:t>线。</w:t>
      </w:r>
    </w:p>
    <w:p w14:paraId="4D665AB5">
      <w:pPr>
        <w:pStyle w:val="2"/>
        <w:spacing w:before="128" w:line="350" w:lineRule="auto"/>
        <w:ind w:left="26" w:right="1037" w:firstLine="399"/>
      </w:pPr>
      <w:r>
        <w:rPr>
          <w:spacing w:val="9"/>
        </w:rPr>
        <w:t>三心：三个功能发展中心，分别为老城商贸服务中心、特色商业</w:t>
      </w:r>
      <w:r>
        <w:rPr>
          <w:spacing w:val="2"/>
        </w:rPr>
        <w:t>中心、新城商业中心。</w:t>
      </w:r>
    </w:p>
    <w:p w14:paraId="59A5470B">
      <w:pPr>
        <w:pStyle w:val="2"/>
        <w:spacing w:before="1" w:line="271" w:lineRule="auto"/>
        <w:ind w:left="3" w:right="1037" w:firstLine="420"/>
      </w:pPr>
      <w:r>
        <w:rPr>
          <w:spacing w:val="7"/>
        </w:rPr>
        <w:t>五组团：</w:t>
      </w:r>
      <w:r>
        <w:rPr>
          <w:spacing w:val="-32"/>
        </w:rPr>
        <w:t xml:space="preserve"> </w:t>
      </w:r>
      <w:r>
        <w:rPr>
          <w:spacing w:val="7"/>
        </w:rPr>
        <w:t>老城综合服务组团、西部新城旅游商贸组团、岭噶村旅</w:t>
      </w:r>
      <w:r>
        <w:rPr>
          <w:spacing w:val="9"/>
        </w:rPr>
        <w:t>游度假组团、红光村安多风情组团、生态融合产业园</w:t>
      </w:r>
      <w:r>
        <w:rPr>
          <w:spacing w:val="8"/>
        </w:rPr>
        <w:t>组团。</w:t>
      </w:r>
    </w:p>
    <w:p w14:paraId="29363FC4">
      <w:pPr>
        <w:spacing w:line="271" w:lineRule="auto"/>
        <w:sectPr>
          <w:type w:val="continuous"/>
          <w:pgSz w:w="14400" w:h="10800"/>
          <w:pgMar w:top="400" w:right="0" w:bottom="0" w:left="0" w:header="0" w:footer="0" w:gutter="0"/>
          <w:cols w:equalWidth="0" w:num="2">
            <w:col w:w="7258" w:space="100"/>
            <w:col w:w="7043"/>
          </w:cols>
        </w:sectPr>
      </w:pPr>
    </w:p>
    <w:p w14:paraId="1FAAC207">
      <w:pPr>
        <w:spacing w:before="1"/>
      </w:pPr>
    </w:p>
    <w:p w14:paraId="78E10812">
      <w:pPr>
        <w:spacing w:before="1"/>
      </w:pPr>
    </w:p>
    <w:p w14:paraId="07E07917">
      <w:pPr>
        <w:spacing w:before="1"/>
      </w:pPr>
    </w:p>
    <w:p w14:paraId="2E593BBA"/>
    <w:p w14:paraId="03E62BE7"/>
    <w:p w14:paraId="2C1E64D3">
      <w:pPr>
        <w:sectPr>
          <w:headerReference r:id="rId6" w:type="default"/>
          <w:pgSz w:w="14400" w:h="10800"/>
          <w:pgMar w:top="400" w:right="0" w:bottom="0" w:left="0" w:header="0" w:footer="0" w:gutter="0"/>
          <w:cols w:equalWidth="0" w:num="1">
            <w:col w:w="14400"/>
          </w:cols>
        </w:sectPr>
      </w:pPr>
    </w:p>
    <w:p w14:paraId="390E4A2E">
      <w:pPr>
        <w:pStyle w:val="2"/>
        <w:spacing w:before="48" w:line="227" w:lineRule="auto"/>
        <w:ind w:left="915"/>
        <w:outlineLvl w:val="0"/>
      </w:pPr>
      <w:r>
        <w:rPr>
          <w:b/>
          <w:bCs/>
          <w:spacing w:val="2"/>
        </w:rPr>
        <w:t>第7条</w:t>
      </w:r>
      <w:r>
        <w:rPr>
          <w:spacing w:val="18"/>
        </w:rPr>
        <w:t xml:space="preserve"> </w:t>
      </w:r>
      <w:r>
        <w:rPr>
          <w:b/>
          <w:bCs/>
          <w:spacing w:val="2"/>
        </w:rPr>
        <w:t>用地构成</w:t>
      </w:r>
    </w:p>
    <w:p w14:paraId="23865702">
      <w:pPr>
        <w:pStyle w:val="2"/>
        <w:spacing w:before="125" w:line="350" w:lineRule="auto"/>
        <w:ind w:left="906" w:right="181" w:firstLine="420"/>
      </w:pPr>
      <w:r>
        <w:rPr>
          <w:spacing w:val="8"/>
        </w:rPr>
        <w:t>规划范围内主要用地类型为居住用地、公共管理与公共服务用地、</w:t>
      </w:r>
      <w:r>
        <w:rPr>
          <w:spacing w:val="9"/>
        </w:rPr>
        <w:t>商业服务业用地、工矿用地、仓储用地、交通运输用地、公用设施用</w:t>
      </w:r>
      <w:r>
        <w:rPr>
          <w:spacing w:val="4"/>
        </w:rPr>
        <w:t xml:space="preserve"> 地、绿地与开敞空间用地等。其中，</w:t>
      </w:r>
      <w:r>
        <w:rPr>
          <w:spacing w:val="61"/>
        </w:rPr>
        <w:t xml:space="preserve"> </w:t>
      </w:r>
      <w:r>
        <w:rPr>
          <w:spacing w:val="4"/>
        </w:rPr>
        <w:t>居住用地占比14.01%，公共管理</w:t>
      </w:r>
      <w:r>
        <w:rPr>
          <w:spacing w:val="8"/>
        </w:rPr>
        <w:t>与公共服务用地占比18.14%，商业服务业用地占比17.58%，工矿用地占比7.44%，仓储用地占比1.58%，交</w:t>
      </w:r>
      <w:r>
        <w:rPr>
          <w:spacing w:val="7"/>
        </w:rPr>
        <w:t>通运输用地占比17.62%，公用设</w:t>
      </w:r>
      <w:r>
        <w:rPr>
          <w:spacing w:val="8"/>
        </w:rPr>
        <w:t>施用地占比3.83%，绿地与开敞空间用地占比15.08%，特殊用地占比</w:t>
      </w:r>
    </w:p>
    <w:p w14:paraId="356BBF41">
      <w:pPr>
        <w:pStyle w:val="2"/>
        <w:ind w:left="905"/>
      </w:pPr>
      <w:r>
        <w:rPr>
          <w:spacing w:val="2"/>
        </w:rPr>
        <w:t>3.69%。</w:t>
      </w:r>
    </w:p>
    <w:p w14:paraId="36144D1E">
      <w:pPr>
        <w:pStyle w:val="2"/>
        <w:spacing w:before="130" w:line="218" w:lineRule="auto"/>
        <w:ind w:left="2859"/>
        <w:rPr>
          <w:sz w:val="24"/>
          <w:szCs w:val="24"/>
        </w:rPr>
      </w:pPr>
      <w:r>
        <w:rPr>
          <w:b/>
          <w:bCs/>
          <w:spacing w:val="-8"/>
          <w:sz w:val="24"/>
          <w:szCs w:val="24"/>
        </w:rPr>
        <w:t>第四章</w:t>
      </w:r>
      <w:r>
        <w:rPr>
          <w:spacing w:val="25"/>
          <w:sz w:val="24"/>
          <w:szCs w:val="24"/>
        </w:rPr>
        <w:t xml:space="preserve"> </w:t>
      </w:r>
      <w:r>
        <w:rPr>
          <w:b/>
          <w:bCs/>
          <w:spacing w:val="-8"/>
          <w:sz w:val="24"/>
          <w:szCs w:val="24"/>
        </w:rPr>
        <w:t>综合交通规划</w:t>
      </w:r>
    </w:p>
    <w:p w14:paraId="707E486B">
      <w:pPr>
        <w:pStyle w:val="2"/>
        <w:spacing w:before="130" w:line="227" w:lineRule="auto"/>
        <w:ind w:left="915"/>
      </w:pPr>
      <w:r>
        <w:rPr>
          <w:b/>
          <w:bCs/>
          <w:spacing w:val="1"/>
        </w:rPr>
        <w:t>第8条</w:t>
      </w:r>
      <w:r>
        <w:rPr>
          <w:spacing w:val="25"/>
        </w:rPr>
        <w:t xml:space="preserve"> </w:t>
      </w:r>
      <w:r>
        <w:rPr>
          <w:b/>
          <w:bCs/>
          <w:spacing w:val="1"/>
        </w:rPr>
        <w:t>对外交通</w:t>
      </w:r>
    </w:p>
    <w:p w14:paraId="7A4016EE">
      <w:pPr>
        <w:pStyle w:val="2"/>
        <w:spacing w:before="126" w:line="350" w:lineRule="auto"/>
        <w:ind w:left="909" w:right="346" w:firstLine="423"/>
        <w:jc w:val="both"/>
      </w:pPr>
      <w:r>
        <w:rPr>
          <w:spacing w:val="9"/>
        </w:rPr>
        <w:t>主要依托过境路实现若尔盖县城区与周边区域之间的对外交通联</w:t>
      </w:r>
      <w:r>
        <w:rPr>
          <w:spacing w:val="8"/>
        </w:rPr>
        <w:t>系，规划形成“一横两纵”的过境路网结构，横向过境路为G213，纵</w:t>
      </w:r>
      <w:r>
        <w:rPr>
          <w:spacing w:val="9"/>
        </w:rPr>
        <w:t>向过境路为G248、高铁站连接线。主要依托高铁站连</w:t>
      </w:r>
      <w:r>
        <w:rPr>
          <w:spacing w:val="8"/>
        </w:rPr>
        <w:t>接线实现与若尔</w:t>
      </w:r>
      <w:r>
        <w:rPr>
          <w:spacing w:val="9"/>
        </w:rPr>
        <w:t>盖高铁站之间的交通联系；主要通过G248实现与若尔盖县</w:t>
      </w:r>
      <w:r>
        <w:rPr>
          <w:spacing w:val="8"/>
        </w:rPr>
        <w:t>唐克镇方向</w:t>
      </w:r>
      <w:r>
        <w:rPr>
          <w:spacing w:val="9"/>
        </w:rPr>
        <w:t>之间的交通联系；主要通过G213实现与松潘县、若尔盖</w:t>
      </w:r>
      <w:r>
        <w:rPr>
          <w:spacing w:val="8"/>
        </w:rPr>
        <w:t>县红星镇方向</w:t>
      </w:r>
    </w:p>
    <w:p w14:paraId="68B3CD61">
      <w:pPr>
        <w:pStyle w:val="2"/>
        <w:spacing w:before="1" w:line="227" w:lineRule="auto"/>
        <w:ind w:left="909"/>
      </w:pPr>
      <w:r>
        <w:rPr>
          <w:spacing w:val="6"/>
        </w:rPr>
        <w:t>之间的交通联系。</w:t>
      </w:r>
    </w:p>
    <w:p w14:paraId="3F418BE3">
      <w:pPr>
        <w:pStyle w:val="2"/>
        <w:spacing w:before="126" w:line="227" w:lineRule="auto"/>
        <w:ind w:left="915"/>
      </w:pPr>
      <w:r>
        <w:rPr>
          <w:b/>
          <w:bCs/>
          <w:spacing w:val="2"/>
        </w:rPr>
        <w:t>第9条</w:t>
      </w:r>
      <w:r>
        <w:rPr>
          <w:spacing w:val="18"/>
        </w:rPr>
        <w:t xml:space="preserve"> </w:t>
      </w:r>
      <w:r>
        <w:rPr>
          <w:b/>
          <w:bCs/>
          <w:spacing w:val="2"/>
        </w:rPr>
        <w:t>路网结构</w:t>
      </w:r>
    </w:p>
    <w:p w14:paraId="3B778BB5">
      <w:pPr>
        <w:pStyle w:val="2"/>
        <w:spacing w:before="127" w:line="328" w:lineRule="auto"/>
        <w:ind w:left="905" w:right="213" w:firstLine="420"/>
        <w:jc w:val="both"/>
      </w:pPr>
      <w:r>
        <w:rPr>
          <w:spacing w:val="9"/>
        </w:rPr>
        <w:t>规划若尔盖县城区形成“六横六纵”的干路网结构，横向主要道</w:t>
      </w:r>
      <w:r>
        <w:rPr>
          <w:spacing w:val="7"/>
        </w:rPr>
        <w:t>路为曙光路、幸福路、商业街、G213辅道老城段、达秋路、西区大道；</w:t>
      </w:r>
      <w:r>
        <w:rPr>
          <w:spacing w:val="9"/>
        </w:rPr>
        <w:t>纵向主要道路为红星路、德阳大道、麦溪路、明珠路、巴西街、园区</w:t>
      </w:r>
      <w:r>
        <w:rPr>
          <w:spacing w:val="-3"/>
        </w:rPr>
        <w:t>大道。</w:t>
      </w:r>
    </w:p>
    <w:p w14:paraId="4EC5261E">
      <w:pPr>
        <w:spacing w:line="14" w:lineRule="auto"/>
        <w:rPr>
          <w:rFonts w:ascii="FreeSerif"/>
          <w:sz w:val="2"/>
        </w:rPr>
      </w:pPr>
      <w:r>
        <w:rPr>
          <w:rFonts w:ascii="FreeSerif" w:hAnsi="FreeSerif" w:eastAsia="FreeSerif" w:cs="FreeSerif"/>
          <w:sz w:val="2"/>
          <w:szCs w:val="2"/>
        </w:rPr>
        <w:br w:type="column"/>
      </w:r>
    </w:p>
    <w:p w14:paraId="35E01CDD">
      <w:pPr>
        <w:pStyle w:val="2"/>
        <w:spacing w:before="64" w:line="218" w:lineRule="auto"/>
        <w:ind w:left="1712"/>
        <w:rPr>
          <w:sz w:val="24"/>
          <w:szCs w:val="24"/>
        </w:rPr>
      </w:pPr>
      <w:r>
        <w:rPr>
          <w:b/>
          <w:bCs/>
          <w:spacing w:val="-5"/>
          <w:sz w:val="24"/>
          <w:szCs w:val="24"/>
        </w:rPr>
        <w:t>第五章</w:t>
      </w:r>
      <w:r>
        <w:rPr>
          <w:spacing w:val="-5"/>
          <w:sz w:val="24"/>
          <w:szCs w:val="24"/>
        </w:rPr>
        <w:t xml:space="preserve"> </w:t>
      </w:r>
      <w:r>
        <w:rPr>
          <w:b/>
          <w:bCs/>
          <w:spacing w:val="-5"/>
          <w:sz w:val="24"/>
          <w:szCs w:val="24"/>
        </w:rPr>
        <w:t>公共服务设施规划</w:t>
      </w:r>
    </w:p>
    <w:p w14:paraId="6D3938F1">
      <w:pPr>
        <w:pStyle w:val="2"/>
        <w:spacing w:before="130" w:line="227" w:lineRule="auto"/>
        <w:ind w:left="9"/>
      </w:pPr>
      <w:r>
        <w:rPr>
          <w:b/>
          <w:bCs/>
          <w:spacing w:val="5"/>
        </w:rPr>
        <w:t>第10条</w:t>
      </w:r>
      <w:r>
        <w:rPr>
          <w:spacing w:val="5"/>
        </w:rPr>
        <w:t xml:space="preserve"> </w:t>
      </w:r>
      <w:r>
        <w:rPr>
          <w:b/>
          <w:bCs/>
          <w:spacing w:val="5"/>
        </w:rPr>
        <w:t>城市级公共服务设施</w:t>
      </w:r>
    </w:p>
    <w:p w14:paraId="76A088DB">
      <w:pPr>
        <w:pStyle w:val="2"/>
        <w:spacing w:before="125" w:line="350" w:lineRule="auto"/>
        <w:ind w:left="4" w:right="1037" w:firstLine="425"/>
        <w:jc w:val="both"/>
      </w:pPr>
      <w:r>
        <w:rPr>
          <w:spacing w:val="9"/>
        </w:rPr>
        <w:t>落实城市级公共服务传导，进一步提升公共服务品质，规划完善青少年宫、西区文化馆、民族体育馆、若尔盖县人民医院、若尔盖县</w:t>
      </w:r>
      <w:r>
        <w:rPr>
          <w:spacing w:val="7"/>
        </w:rPr>
        <w:t>藏医院、藏医院二门诊部、妇幼保健院、疾控中心、养（敬）</w:t>
      </w:r>
      <w:r>
        <w:rPr>
          <w:spacing w:val="-24"/>
        </w:rPr>
        <w:t xml:space="preserve"> </w:t>
      </w:r>
      <w:r>
        <w:rPr>
          <w:spacing w:val="7"/>
        </w:rPr>
        <w:t>老院等</w:t>
      </w:r>
      <w:r>
        <w:rPr>
          <w:spacing w:val="5"/>
        </w:rPr>
        <w:t>城市级公共服务设施。</w:t>
      </w:r>
    </w:p>
    <w:p w14:paraId="097ED29A">
      <w:pPr>
        <w:pStyle w:val="2"/>
        <w:spacing w:line="227" w:lineRule="auto"/>
        <w:ind w:left="9"/>
      </w:pPr>
      <w:r>
        <w:rPr>
          <w:b/>
          <w:bCs/>
          <w:spacing w:val="3"/>
        </w:rPr>
        <w:t>第11条</w:t>
      </w:r>
      <w:r>
        <w:rPr>
          <w:spacing w:val="31"/>
        </w:rPr>
        <w:t xml:space="preserve"> </w:t>
      </w:r>
      <w:r>
        <w:rPr>
          <w:b/>
          <w:bCs/>
          <w:spacing w:val="3"/>
        </w:rPr>
        <w:t>十分钟生活圈设施</w:t>
      </w:r>
    </w:p>
    <w:p w14:paraId="439FFF37">
      <w:pPr>
        <w:pStyle w:val="2"/>
        <w:spacing w:before="126" w:line="350" w:lineRule="auto"/>
        <w:ind w:right="1037" w:firstLine="421"/>
        <w:jc w:val="both"/>
      </w:pPr>
      <w:r>
        <w:rPr>
          <w:spacing w:val="7"/>
        </w:rPr>
        <w:t>满足10分钟生活圈的服务需求，增加中小学用地，</w:t>
      </w:r>
      <w:r>
        <w:rPr>
          <w:spacing w:val="-36"/>
        </w:rPr>
        <w:t xml:space="preserve"> </w:t>
      </w:r>
      <w:r>
        <w:rPr>
          <w:spacing w:val="7"/>
        </w:rPr>
        <w:t>布局社区综合</w:t>
      </w:r>
      <w:r>
        <w:rPr>
          <w:spacing w:val="9"/>
        </w:rPr>
        <w:t>服务中心、文化活动中心、卫生服务中心、中型多功能运动场、菜市</w:t>
      </w:r>
      <w:r>
        <w:rPr>
          <w:spacing w:val="5"/>
        </w:rPr>
        <w:t>场等公共服务设施。</w:t>
      </w:r>
    </w:p>
    <w:p w14:paraId="5B5D4428">
      <w:pPr>
        <w:pStyle w:val="2"/>
        <w:spacing w:line="227" w:lineRule="auto"/>
        <w:ind w:left="9"/>
      </w:pPr>
      <w:r>
        <w:rPr>
          <w:b/>
          <w:bCs/>
          <w:spacing w:val="5"/>
        </w:rPr>
        <w:t>第12条</w:t>
      </w:r>
      <w:r>
        <w:rPr>
          <w:spacing w:val="5"/>
        </w:rPr>
        <w:t xml:space="preserve"> </w:t>
      </w:r>
      <w:r>
        <w:rPr>
          <w:b/>
          <w:bCs/>
          <w:spacing w:val="5"/>
        </w:rPr>
        <w:t>五分钟生活圈设施</w:t>
      </w:r>
    </w:p>
    <w:p w14:paraId="459111B7">
      <w:pPr>
        <w:pStyle w:val="2"/>
        <w:spacing w:before="128" w:line="350" w:lineRule="auto"/>
        <w:ind w:left="8" w:right="773" w:firstLine="413"/>
      </w:pPr>
      <w:r>
        <w:rPr>
          <w:spacing w:val="8"/>
        </w:rPr>
        <w:t>满足5分钟生活圈的服务需求，布局基层社区服务站（社区用房）、</w:t>
      </w:r>
      <w:r>
        <w:rPr>
          <w:spacing w:val="7"/>
        </w:rPr>
        <w:t>幼儿园、室外综合健身场地等社区公共服务设施。</w:t>
      </w:r>
    </w:p>
    <w:p w14:paraId="3701E14E">
      <w:pPr>
        <w:pStyle w:val="2"/>
        <w:spacing w:before="16" w:line="218" w:lineRule="auto"/>
        <w:ind w:left="1592"/>
        <w:rPr>
          <w:sz w:val="24"/>
          <w:szCs w:val="24"/>
        </w:rPr>
      </w:pPr>
      <w:r>
        <w:rPr>
          <w:b/>
          <w:bCs/>
          <w:spacing w:val="-5"/>
          <w:sz w:val="24"/>
          <w:szCs w:val="24"/>
        </w:rPr>
        <w:t>第六章</w:t>
      </w:r>
      <w:r>
        <w:rPr>
          <w:spacing w:val="-5"/>
          <w:sz w:val="24"/>
          <w:szCs w:val="24"/>
        </w:rPr>
        <w:t xml:space="preserve"> </w:t>
      </w:r>
      <w:r>
        <w:rPr>
          <w:b/>
          <w:bCs/>
          <w:spacing w:val="-5"/>
          <w:sz w:val="24"/>
          <w:szCs w:val="24"/>
        </w:rPr>
        <w:t>绿地与开敞空间规划</w:t>
      </w:r>
    </w:p>
    <w:p w14:paraId="0B00413D">
      <w:pPr>
        <w:pStyle w:val="2"/>
        <w:spacing w:before="131" w:line="227" w:lineRule="auto"/>
        <w:ind w:left="9"/>
      </w:pPr>
      <w:r>
        <w:rPr>
          <w:b/>
          <w:bCs/>
          <w:spacing w:val="1"/>
        </w:rPr>
        <w:t>第13条</w:t>
      </w:r>
      <w:r>
        <w:rPr>
          <w:spacing w:val="42"/>
        </w:rPr>
        <w:t xml:space="preserve"> </w:t>
      </w:r>
      <w:r>
        <w:rPr>
          <w:b/>
          <w:bCs/>
          <w:spacing w:val="1"/>
        </w:rPr>
        <w:t>山水空间格局</w:t>
      </w:r>
    </w:p>
    <w:p w14:paraId="34E17CA1">
      <w:pPr>
        <w:pStyle w:val="2"/>
        <w:spacing w:before="126" w:line="350" w:lineRule="auto"/>
        <w:ind w:left="2" w:right="1034" w:firstLine="418"/>
      </w:pPr>
      <w:r>
        <w:rPr>
          <w:spacing w:val="9"/>
        </w:rPr>
        <w:t>形成“绿珠点缀”县城绿地网络结构，形成“山-城-原”的上水</w:t>
      </w:r>
      <w:r>
        <w:rPr>
          <w:spacing w:val="6"/>
        </w:rPr>
        <w:t>相融格局，保护“城市中的自然”，</w:t>
      </w:r>
      <w:r>
        <w:rPr>
          <w:spacing w:val="-31"/>
        </w:rPr>
        <w:t xml:space="preserve"> </w:t>
      </w:r>
      <w:r>
        <w:rPr>
          <w:spacing w:val="6"/>
        </w:rPr>
        <w:t>塑造“自然中的城市”。</w:t>
      </w:r>
    </w:p>
    <w:p w14:paraId="7D06EB02">
      <w:pPr>
        <w:pStyle w:val="2"/>
        <w:spacing w:line="227" w:lineRule="auto"/>
        <w:ind w:left="9"/>
      </w:pPr>
      <w:r>
        <w:rPr>
          <w:b/>
          <w:bCs/>
          <w:spacing w:val="3"/>
        </w:rPr>
        <w:t>第14条</w:t>
      </w:r>
      <w:r>
        <w:rPr>
          <w:spacing w:val="22"/>
        </w:rPr>
        <w:t xml:space="preserve"> </w:t>
      </w:r>
      <w:r>
        <w:rPr>
          <w:b/>
          <w:bCs/>
          <w:spacing w:val="3"/>
        </w:rPr>
        <w:t>绿地系统规划</w:t>
      </w:r>
    </w:p>
    <w:p w14:paraId="465E9949">
      <w:pPr>
        <w:pStyle w:val="2"/>
        <w:spacing w:before="126" w:line="298" w:lineRule="auto"/>
        <w:ind w:left="1" w:right="952" w:firstLine="418"/>
      </w:pPr>
      <w:r>
        <w:rPr>
          <w:spacing w:val="7"/>
        </w:rPr>
        <w:t>规划绿地与开敞空间用地61.06公顷，占规划范围的15.08%，人均面积26.55平方米；</w:t>
      </w:r>
      <w:r>
        <w:rPr>
          <w:spacing w:val="-49"/>
        </w:rPr>
        <w:t xml:space="preserve"> </w:t>
      </w:r>
      <w:r>
        <w:rPr>
          <w:spacing w:val="7"/>
        </w:rPr>
        <w:t>其中，规划公园绿地面积46.8</w:t>
      </w:r>
      <w:r>
        <w:rPr>
          <w:spacing w:val="6"/>
        </w:rPr>
        <w:t>7公顷，人均公园绿地20.38平方米；防护绿地面积9.77公顷；</w:t>
      </w:r>
      <w:r>
        <w:rPr>
          <w:spacing w:val="-51"/>
        </w:rPr>
        <w:t xml:space="preserve"> </w:t>
      </w:r>
      <w:r>
        <w:rPr>
          <w:spacing w:val="6"/>
        </w:rPr>
        <w:t>广场用地面积</w:t>
      </w:r>
      <w:r>
        <w:rPr>
          <w:spacing w:val="5"/>
        </w:rPr>
        <w:t>4.42公顷。</w:t>
      </w:r>
    </w:p>
    <w:p w14:paraId="1EFB594F">
      <w:pPr>
        <w:spacing w:line="298" w:lineRule="auto"/>
        <w:sectPr>
          <w:type w:val="continuous"/>
          <w:pgSz w:w="14400" w:h="10800"/>
          <w:pgMar w:top="400" w:right="0" w:bottom="0" w:left="0" w:header="0" w:footer="0" w:gutter="0"/>
          <w:cols w:equalWidth="0" w:num="2">
            <w:col w:w="7258" w:space="100"/>
            <w:col w:w="7043"/>
          </w:cols>
        </w:sectPr>
      </w:pPr>
    </w:p>
    <w:p w14:paraId="76CFDAC4">
      <w:pPr>
        <w:spacing w:before="1"/>
      </w:pPr>
    </w:p>
    <w:p w14:paraId="153E4062">
      <w:pPr>
        <w:spacing w:before="1"/>
      </w:pPr>
    </w:p>
    <w:p w14:paraId="54F54047">
      <w:pPr>
        <w:spacing w:before="1"/>
      </w:pPr>
    </w:p>
    <w:p w14:paraId="07B6BA51"/>
    <w:p w14:paraId="3885AB77"/>
    <w:p w14:paraId="1229262E">
      <w:pPr>
        <w:sectPr>
          <w:headerReference r:id="rId7" w:type="default"/>
          <w:pgSz w:w="14400" w:h="10800"/>
          <w:pgMar w:top="400" w:right="0" w:bottom="0" w:left="0" w:header="0" w:footer="0" w:gutter="0"/>
          <w:cols w:equalWidth="0" w:num="1">
            <w:col w:w="14400"/>
          </w:cols>
        </w:sectPr>
      </w:pPr>
    </w:p>
    <w:p w14:paraId="367E84E1">
      <w:pPr>
        <w:pStyle w:val="2"/>
        <w:spacing w:before="65" w:line="218" w:lineRule="auto"/>
        <w:ind w:left="2859"/>
        <w:outlineLvl w:val="0"/>
        <w:rPr>
          <w:sz w:val="24"/>
          <w:szCs w:val="24"/>
        </w:rPr>
      </w:pPr>
      <w:r>
        <w:rPr>
          <w:b/>
          <w:bCs/>
          <w:spacing w:val="-8"/>
          <w:sz w:val="24"/>
          <w:szCs w:val="24"/>
        </w:rPr>
        <w:t>第七章</w:t>
      </w:r>
      <w:r>
        <w:rPr>
          <w:spacing w:val="25"/>
          <w:sz w:val="24"/>
          <w:szCs w:val="24"/>
        </w:rPr>
        <w:t xml:space="preserve"> </w:t>
      </w:r>
      <w:r>
        <w:rPr>
          <w:b/>
          <w:bCs/>
          <w:spacing w:val="-8"/>
          <w:sz w:val="24"/>
          <w:szCs w:val="24"/>
        </w:rPr>
        <w:t>综合防灾规划</w:t>
      </w:r>
    </w:p>
    <w:p w14:paraId="6417141B">
      <w:pPr>
        <w:pStyle w:val="2"/>
        <w:spacing w:before="130" w:line="227" w:lineRule="auto"/>
        <w:ind w:left="915"/>
      </w:pPr>
      <w:r>
        <w:rPr>
          <w:b/>
          <w:bCs/>
          <w:spacing w:val="3"/>
        </w:rPr>
        <w:t>第15条</w:t>
      </w:r>
      <w:r>
        <w:rPr>
          <w:spacing w:val="22"/>
        </w:rPr>
        <w:t xml:space="preserve"> </w:t>
      </w:r>
      <w:r>
        <w:rPr>
          <w:b/>
          <w:bCs/>
          <w:spacing w:val="3"/>
        </w:rPr>
        <w:t>综合防灾体系</w:t>
      </w:r>
    </w:p>
    <w:p w14:paraId="7F6099E6">
      <w:pPr>
        <w:pStyle w:val="2"/>
        <w:spacing w:before="125" w:line="350" w:lineRule="auto"/>
        <w:ind w:left="912" w:right="382" w:firstLine="414"/>
      </w:pPr>
      <w:r>
        <w:rPr>
          <w:spacing w:val="8"/>
        </w:rPr>
        <w:t>构建安全应急救援体系和安全风险监控体系，涉及防洪、抗震、消防、人防、应急避难等，以达到安全生产、生活的重要目标。</w:t>
      </w:r>
    </w:p>
    <w:p w14:paraId="152EF515">
      <w:pPr>
        <w:pStyle w:val="2"/>
        <w:spacing w:before="1" w:line="227" w:lineRule="auto"/>
        <w:ind w:left="916"/>
      </w:pPr>
      <w:r>
        <w:rPr>
          <w:b/>
          <w:bCs/>
          <w:spacing w:val="3"/>
        </w:rPr>
        <w:t>第八章</w:t>
      </w:r>
      <w:r>
        <w:rPr>
          <w:spacing w:val="28"/>
        </w:rPr>
        <w:t xml:space="preserve"> </w:t>
      </w:r>
      <w:r>
        <w:rPr>
          <w:b/>
          <w:bCs/>
          <w:spacing w:val="3"/>
        </w:rPr>
        <w:t>公用设施规划</w:t>
      </w:r>
    </w:p>
    <w:p w14:paraId="3E4A4639">
      <w:pPr>
        <w:pStyle w:val="2"/>
        <w:spacing w:before="126" w:line="350" w:lineRule="auto"/>
        <w:ind w:left="905" w:right="357" w:firstLine="420"/>
        <w:jc w:val="both"/>
      </w:pPr>
      <w:r>
        <w:rPr>
          <w:spacing w:val="8"/>
        </w:rPr>
        <w:t>规划公用设施用地面积15.52公顷，占城镇</w:t>
      </w:r>
      <w:r>
        <w:rPr>
          <w:spacing w:val="7"/>
        </w:rPr>
        <w:t>建设用地的3.83%。其</w:t>
      </w:r>
      <w:r>
        <w:rPr>
          <w:spacing w:val="8"/>
        </w:rPr>
        <w:t>中，供水用地1.94公顷，排水用地2.35公顷</w:t>
      </w:r>
      <w:r>
        <w:rPr>
          <w:spacing w:val="7"/>
        </w:rPr>
        <w:t>，供电用地1.40公顷，供</w:t>
      </w:r>
      <w:r>
        <w:rPr>
          <w:spacing w:val="8"/>
        </w:rPr>
        <w:t>燃气用地0.38公顷，供热用地1.56公顷，通信用地0.64公顷，广播电</w:t>
      </w:r>
      <w:r>
        <w:rPr>
          <w:spacing w:val="7"/>
        </w:rPr>
        <w:t>视设施用地用地2.97公顷，</w:t>
      </w:r>
      <w:r>
        <w:rPr>
          <w:spacing w:val="-55"/>
        </w:rPr>
        <w:t xml:space="preserve"> </w:t>
      </w:r>
      <w:r>
        <w:rPr>
          <w:spacing w:val="7"/>
        </w:rPr>
        <w:t>消防用地0.90公顷，水工设施用地1</w:t>
      </w:r>
      <w:r>
        <w:rPr>
          <w:spacing w:val="6"/>
        </w:rPr>
        <w:t>.33公顷，其他公用设施用地2.05公顷。</w:t>
      </w:r>
    </w:p>
    <w:p w14:paraId="48CFB12C">
      <w:pPr>
        <w:pStyle w:val="2"/>
        <w:spacing w:before="1" w:line="349" w:lineRule="auto"/>
        <w:ind w:left="908" w:right="244" w:firstLine="422"/>
      </w:pPr>
      <w:r>
        <w:rPr>
          <w:spacing w:val="7"/>
        </w:rPr>
        <w:t>完善自来水厂、</w:t>
      </w:r>
      <w:r>
        <w:rPr>
          <w:spacing w:val="-32"/>
        </w:rPr>
        <w:t xml:space="preserve"> </w:t>
      </w:r>
      <w:r>
        <w:rPr>
          <w:spacing w:val="7"/>
        </w:rPr>
        <w:t>110</w:t>
      </w:r>
      <w:r>
        <w:t>kv</w:t>
      </w:r>
      <w:r>
        <w:rPr>
          <w:spacing w:val="7"/>
        </w:rPr>
        <w:t>变电站、污水处理厂、供热厂、液化天然气</w:t>
      </w:r>
      <w:r>
        <w:rPr>
          <w:spacing w:val="8"/>
        </w:rPr>
        <w:t>站、广播电视台、水文监测站等公用设施布局及相关市政管网体系。</w:t>
      </w:r>
    </w:p>
    <w:p w14:paraId="42E3CA8E">
      <w:pPr>
        <w:pStyle w:val="2"/>
        <w:spacing w:before="18" w:line="218" w:lineRule="auto"/>
        <w:ind w:left="2619"/>
        <w:rPr>
          <w:sz w:val="24"/>
          <w:szCs w:val="24"/>
        </w:rPr>
      </w:pPr>
      <w:r>
        <w:rPr>
          <w:b/>
          <w:bCs/>
          <w:spacing w:val="-5"/>
          <w:sz w:val="24"/>
          <w:szCs w:val="24"/>
        </w:rPr>
        <w:t>第八章</w:t>
      </w:r>
      <w:r>
        <w:rPr>
          <w:spacing w:val="-5"/>
          <w:sz w:val="24"/>
          <w:szCs w:val="24"/>
        </w:rPr>
        <w:t xml:space="preserve"> </w:t>
      </w:r>
      <w:r>
        <w:rPr>
          <w:b/>
          <w:bCs/>
          <w:spacing w:val="-5"/>
          <w:sz w:val="24"/>
          <w:szCs w:val="24"/>
        </w:rPr>
        <w:t>土地开发强度规划</w:t>
      </w:r>
    </w:p>
    <w:p w14:paraId="05B49945">
      <w:pPr>
        <w:pStyle w:val="2"/>
        <w:spacing w:before="131" w:line="226" w:lineRule="auto"/>
        <w:ind w:left="915"/>
      </w:pPr>
      <w:r>
        <w:rPr>
          <w:b/>
          <w:bCs/>
          <w:spacing w:val="2"/>
        </w:rPr>
        <w:t>第16条</w:t>
      </w:r>
      <w:r>
        <w:rPr>
          <w:spacing w:val="25"/>
        </w:rPr>
        <w:t xml:space="preserve"> </w:t>
      </w:r>
      <w:r>
        <w:rPr>
          <w:b/>
          <w:bCs/>
          <w:spacing w:val="2"/>
        </w:rPr>
        <w:t>容积率控制</w:t>
      </w:r>
    </w:p>
    <w:p w14:paraId="6A7608F4">
      <w:pPr>
        <w:pStyle w:val="2"/>
        <w:spacing w:before="127" w:line="350" w:lineRule="auto"/>
        <w:ind w:left="909" w:right="264" w:firstLine="421"/>
        <w:jc w:val="both"/>
      </w:pPr>
      <w:r>
        <w:rPr>
          <w:spacing w:val="8"/>
        </w:rPr>
        <w:t>细化《若尔盖县国土空间总体规划（2020-2035 年）》划</w:t>
      </w:r>
      <w:r>
        <w:rPr>
          <w:spacing w:val="7"/>
        </w:rPr>
        <w:t>定的五</w:t>
      </w:r>
      <w:r>
        <w:rPr>
          <w:spacing w:val="9"/>
        </w:rPr>
        <w:t>级强度分区。划定容积率上限为不宜高于3.0。依据现行《阿坝州国土</w:t>
      </w:r>
      <w:r>
        <w:rPr>
          <w:spacing w:val="6"/>
        </w:rPr>
        <w:t>空间规划管理技术规定》</w:t>
      </w:r>
      <w:r>
        <w:rPr>
          <w:spacing w:val="-44"/>
        </w:rPr>
        <w:t xml:space="preserve"> </w:t>
      </w:r>
      <w:r>
        <w:rPr>
          <w:spacing w:val="6"/>
        </w:rPr>
        <w:t>，规划划定以下几类容积率控制标准：</w:t>
      </w:r>
    </w:p>
    <w:p w14:paraId="7AC0FD25">
      <w:pPr>
        <w:pStyle w:val="2"/>
        <w:spacing w:before="2" w:line="349" w:lineRule="auto"/>
        <w:ind w:left="912" w:right="261" w:firstLine="414"/>
      </w:pPr>
      <w:r>
        <w:rPr>
          <w:spacing w:val="8"/>
        </w:rPr>
        <w:t>新建城镇住宅用地容积率上限控制在3.0；原则上住宅用地容积率</w:t>
      </w:r>
      <w:r>
        <w:rPr>
          <w:spacing w:val="4"/>
        </w:rPr>
        <w:t>不小于1.0，</w:t>
      </w:r>
      <w:r>
        <w:rPr>
          <w:spacing w:val="-49"/>
        </w:rPr>
        <w:t xml:space="preserve"> </w:t>
      </w:r>
      <w:r>
        <w:rPr>
          <w:spacing w:val="4"/>
        </w:rPr>
        <w:t>国家、省、市有相关规定的，</w:t>
      </w:r>
      <w:r>
        <w:rPr>
          <w:spacing w:val="-50"/>
        </w:rPr>
        <w:t xml:space="preserve"> </w:t>
      </w:r>
      <w:r>
        <w:rPr>
          <w:spacing w:val="4"/>
        </w:rPr>
        <w:t>从其</w:t>
      </w:r>
      <w:r>
        <w:rPr>
          <w:spacing w:val="3"/>
        </w:rPr>
        <w:t>规定。</w:t>
      </w:r>
    </w:p>
    <w:p w14:paraId="551B1A9B">
      <w:pPr>
        <w:pStyle w:val="2"/>
        <w:spacing w:before="1" w:line="193" w:lineRule="auto"/>
        <w:ind w:left="1326"/>
      </w:pPr>
      <w:r>
        <w:rPr>
          <w:spacing w:val="8"/>
        </w:rPr>
        <w:t>新建公共管理与公共服务用地容积率上限控制在2.5；</w:t>
      </w:r>
    </w:p>
    <w:p w14:paraId="2DC65C8E">
      <w:pPr>
        <w:spacing w:line="14" w:lineRule="auto"/>
        <w:rPr>
          <w:rFonts w:ascii="FreeSerif"/>
          <w:sz w:val="2"/>
        </w:rPr>
      </w:pPr>
      <w:r>
        <w:rPr>
          <w:rFonts w:ascii="FreeSerif" w:hAnsi="FreeSerif" w:eastAsia="FreeSerif" w:cs="FreeSerif"/>
          <w:sz w:val="2"/>
          <w:szCs w:val="2"/>
        </w:rPr>
        <w:br w:type="column"/>
      </w:r>
    </w:p>
    <w:p w14:paraId="379D75DC">
      <w:pPr>
        <w:pStyle w:val="2"/>
        <w:spacing w:before="46" w:line="224" w:lineRule="auto"/>
        <w:ind w:left="420"/>
      </w:pPr>
      <w:r>
        <w:rPr>
          <w:spacing w:val="8"/>
        </w:rPr>
        <w:t>新建社区服务设施用地容积率上限控制在2.0；</w:t>
      </w:r>
    </w:p>
    <w:p w14:paraId="2AF2AC6F">
      <w:pPr>
        <w:pStyle w:val="2"/>
        <w:spacing w:before="129" w:line="224" w:lineRule="auto"/>
        <w:ind w:left="420"/>
      </w:pPr>
      <w:r>
        <w:rPr>
          <w:spacing w:val="8"/>
        </w:rPr>
        <w:t>新建商业服务业用地容积率上限控制在3.0；</w:t>
      </w:r>
    </w:p>
    <w:p w14:paraId="62730709">
      <w:pPr>
        <w:pStyle w:val="2"/>
        <w:spacing w:before="129" w:line="224" w:lineRule="auto"/>
        <w:ind w:left="420"/>
      </w:pPr>
      <w:r>
        <w:rPr>
          <w:spacing w:val="7"/>
        </w:rPr>
        <w:t>新建工矿用地、仓储用地容积率控制在1.0-2.5；</w:t>
      </w:r>
    </w:p>
    <w:p w14:paraId="0C3380E7">
      <w:pPr>
        <w:pStyle w:val="2"/>
        <w:spacing w:before="129" w:line="226" w:lineRule="auto"/>
        <w:ind w:left="422"/>
      </w:pPr>
      <w:r>
        <w:rPr>
          <w:spacing w:val="7"/>
        </w:rPr>
        <w:t>未明确容积率的用地按相关规范要求执行。</w:t>
      </w:r>
    </w:p>
    <w:p w14:paraId="46AFFB3D">
      <w:pPr>
        <w:pStyle w:val="2"/>
        <w:spacing w:before="127" w:line="226" w:lineRule="auto"/>
        <w:ind w:left="446"/>
      </w:pPr>
      <w:r>
        <w:rPr>
          <w:spacing w:val="6"/>
        </w:rPr>
        <w:t>已出让地块建筑按照政府批件要求执行。</w:t>
      </w:r>
    </w:p>
    <w:p w14:paraId="1946E26B">
      <w:pPr>
        <w:pStyle w:val="2"/>
        <w:spacing w:before="128" w:line="226" w:lineRule="auto"/>
        <w:ind w:left="9"/>
      </w:pPr>
      <w:r>
        <w:rPr>
          <w:b/>
          <w:bCs/>
          <w:spacing w:val="4"/>
        </w:rPr>
        <w:t>第17条</w:t>
      </w:r>
      <w:r>
        <w:rPr>
          <w:spacing w:val="4"/>
        </w:rPr>
        <w:t xml:space="preserve"> </w:t>
      </w:r>
      <w:r>
        <w:rPr>
          <w:b/>
          <w:bCs/>
          <w:spacing w:val="4"/>
        </w:rPr>
        <w:t>建筑高度控制</w:t>
      </w:r>
    </w:p>
    <w:p w14:paraId="4F29ECB6">
      <w:pPr>
        <w:pStyle w:val="2"/>
        <w:spacing w:before="126" w:line="350" w:lineRule="auto"/>
        <w:ind w:left="1" w:right="969" w:firstLine="423"/>
        <w:jc w:val="both"/>
      </w:pPr>
      <w:r>
        <w:rPr>
          <w:spacing w:val="9"/>
        </w:rPr>
        <w:t>结合城市设计引导，控制廊道、突出节点、开阔视野，统筹建筑高度控制。控制指标中的建筑高度皆为上限。需控制新城山水景观廊道、草原春熙路廊道和达扎寺-热曲河廊道；突出东侧入口门</w:t>
      </w:r>
      <w:r>
        <w:rPr>
          <w:spacing w:val="8"/>
        </w:rPr>
        <w:t>户、新城</w:t>
      </w:r>
      <w:r>
        <w:rPr>
          <w:spacing w:val="7"/>
        </w:rPr>
        <w:t>商业中心、环喀哈尔乔湿地空间等节点。</w:t>
      </w:r>
    </w:p>
    <w:p w14:paraId="54B37E91">
      <w:pPr>
        <w:pStyle w:val="2"/>
        <w:spacing w:before="1" w:line="350" w:lineRule="auto"/>
        <w:ind w:right="1036" w:firstLine="422"/>
        <w:jc w:val="both"/>
      </w:pPr>
      <w:r>
        <w:rPr>
          <w:spacing w:val="9"/>
        </w:rPr>
        <w:t>如因优化城市空间需要，确需对建筑高度进行调整的，经合理合</w:t>
      </w:r>
      <w:r>
        <w:rPr>
          <w:spacing w:val="6"/>
        </w:rPr>
        <w:t>规论证，</w:t>
      </w:r>
      <w:r>
        <w:rPr>
          <w:spacing w:val="-42"/>
        </w:rPr>
        <w:t xml:space="preserve"> </w:t>
      </w:r>
      <w:r>
        <w:rPr>
          <w:spacing w:val="6"/>
        </w:rPr>
        <w:t>建筑高度原则上可局部适当调整，</w:t>
      </w:r>
      <w:r>
        <w:rPr>
          <w:spacing w:val="-44"/>
        </w:rPr>
        <w:t xml:space="preserve"> </w:t>
      </w:r>
      <w:r>
        <w:rPr>
          <w:spacing w:val="6"/>
        </w:rPr>
        <w:t>允许调整高度的幅度和其</w:t>
      </w:r>
      <w:r>
        <w:rPr>
          <w:spacing w:val="9"/>
        </w:rPr>
        <w:t>他详细要求，按照现行《阿坝州国土空间规划管</w:t>
      </w:r>
      <w:r>
        <w:rPr>
          <w:spacing w:val="8"/>
        </w:rPr>
        <w:t>理技术规定》执行。</w:t>
      </w:r>
    </w:p>
    <w:p w14:paraId="5655ED52">
      <w:pPr>
        <w:pStyle w:val="2"/>
        <w:spacing w:line="226" w:lineRule="auto"/>
        <w:ind w:left="420"/>
      </w:pPr>
      <w:r>
        <w:rPr>
          <w:spacing w:val="8"/>
        </w:rPr>
        <w:t>规划划定以下几类建筑高度控制标准：</w:t>
      </w:r>
    </w:p>
    <w:p w14:paraId="22EB221C">
      <w:pPr>
        <w:pStyle w:val="2"/>
        <w:spacing w:before="127" w:line="224" w:lineRule="auto"/>
        <w:ind w:left="420"/>
      </w:pPr>
      <w:r>
        <w:rPr>
          <w:spacing w:val="8"/>
        </w:rPr>
        <w:t>新建城镇住宅用地建筑高度控制在33米以下；</w:t>
      </w:r>
    </w:p>
    <w:p w14:paraId="4D3CBF10">
      <w:pPr>
        <w:pStyle w:val="2"/>
        <w:spacing w:before="130" w:line="224" w:lineRule="auto"/>
        <w:ind w:left="420"/>
      </w:pPr>
      <w:r>
        <w:rPr>
          <w:spacing w:val="7"/>
        </w:rPr>
        <w:t>新建商业服务业用地建筑高度控制在40米以下。</w:t>
      </w:r>
    </w:p>
    <w:p w14:paraId="61B1FA99">
      <w:pPr>
        <w:pStyle w:val="2"/>
        <w:spacing w:before="129" w:line="350" w:lineRule="auto"/>
        <w:ind w:right="1034" w:firstLine="422"/>
      </w:pPr>
      <w:r>
        <w:rPr>
          <w:spacing w:val="9"/>
        </w:rPr>
        <w:t>其他各类配套设施(公用设施用地和交通运输用地等)按相关规范</w:t>
      </w:r>
      <w:r>
        <w:rPr>
          <w:spacing w:val="-3"/>
        </w:rPr>
        <w:t>执行。</w:t>
      </w:r>
    </w:p>
    <w:p w14:paraId="5064E6F7">
      <w:pPr>
        <w:pStyle w:val="2"/>
        <w:spacing w:before="1" w:line="225" w:lineRule="auto"/>
        <w:ind w:left="422"/>
      </w:pPr>
      <w:r>
        <w:rPr>
          <w:spacing w:val="8"/>
        </w:rPr>
        <w:t>未明确建筑高度的用地按相关规范要求执行；</w:t>
      </w:r>
    </w:p>
    <w:p w14:paraId="55ACC759">
      <w:pPr>
        <w:pStyle w:val="2"/>
        <w:spacing w:before="127" w:line="226" w:lineRule="auto"/>
        <w:ind w:left="446"/>
      </w:pPr>
      <w:r>
        <w:rPr>
          <w:spacing w:val="6"/>
        </w:rPr>
        <w:t>已出让地块建筑按照政府批件要求执行。</w:t>
      </w:r>
    </w:p>
    <w:p w14:paraId="72D72BFE">
      <w:pPr>
        <w:spacing w:line="226" w:lineRule="auto"/>
        <w:sectPr>
          <w:type w:val="continuous"/>
          <w:pgSz w:w="14400" w:h="10800"/>
          <w:pgMar w:top="400" w:right="0" w:bottom="0" w:left="0" w:header="0" w:footer="0" w:gutter="0"/>
          <w:cols w:equalWidth="0" w:num="2">
            <w:col w:w="7258" w:space="100"/>
            <w:col w:w="7043"/>
          </w:cols>
        </w:sectPr>
      </w:pPr>
    </w:p>
    <w:p w14:paraId="59DF8941">
      <w:pPr>
        <w:spacing w:line="22367" w:lineRule="exact"/>
      </w:pPr>
      <w:r>
        <w:rPr>
          <w:position w:val="-447"/>
        </w:rPr>
        <w:drawing>
          <wp:inline distT="0" distB="0" distL="0" distR="0">
            <wp:extent cx="20116800" cy="1420304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2" cy="1420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FAE48">
      <w:pPr>
        <w:spacing w:line="22367" w:lineRule="exact"/>
        <w:sectPr>
          <w:headerReference r:id="rId8" w:type="default"/>
          <w:footerReference r:id="rId9" w:type="default"/>
          <w:pgSz w:w="31681" w:h="22381"/>
          <w:pgMar w:top="1" w:right="0" w:bottom="1" w:left="0" w:header="0" w:footer="0" w:gutter="0"/>
          <w:cols w:space="720" w:num="1"/>
        </w:sectPr>
      </w:pPr>
    </w:p>
    <w:p w14:paraId="44C07F64">
      <w:pPr>
        <w:spacing w:line="22367" w:lineRule="exact"/>
      </w:pPr>
      <w:r>
        <w:rPr>
          <w:position w:val="-447"/>
        </w:rPr>
        <w:drawing>
          <wp:inline distT="0" distB="0" distL="0" distR="0">
            <wp:extent cx="20116800" cy="1420304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2" cy="1420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9D53C">
      <w:pPr>
        <w:spacing w:line="22367" w:lineRule="exact"/>
        <w:sectPr>
          <w:pgSz w:w="31681" w:h="22381"/>
          <w:pgMar w:top="1" w:right="0" w:bottom="1" w:left="0" w:header="0" w:footer="0" w:gutter="0"/>
          <w:cols w:space="720" w:num="1"/>
        </w:sectPr>
      </w:pPr>
      <w:bookmarkStart w:id="0" w:name="_GoBack"/>
      <w:bookmarkEnd w:id="0"/>
    </w:p>
    <w:p w14:paraId="1360D2E1">
      <w:pPr>
        <w:spacing w:line="22367" w:lineRule="exact"/>
      </w:pPr>
      <w:r>
        <w:rPr>
          <w:position w:val="-447"/>
        </w:rPr>
        <w:drawing>
          <wp:inline distT="0" distB="0" distL="0" distR="0">
            <wp:extent cx="20116800" cy="1420304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2" cy="1420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33F37">
      <w:pPr>
        <w:spacing w:line="22367" w:lineRule="exact"/>
        <w:sectPr>
          <w:pgSz w:w="31681" w:h="22381"/>
          <w:pgMar w:top="1" w:right="0" w:bottom="1" w:left="0" w:header="0" w:footer="0" w:gutter="0"/>
          <w:cols w:space="720" w:num="1"/>
        </w:sectPr>
      </w:pPr>
    </w:p>
    <w:p w14:paraId="73B7C9D4">
      <w:pPr>
        <w:spacing w:line="22367" w:lineRule="exact"/>
      </w:pPr>
      <w:r>
        <w:rPr>
          <w:position w:val="-447"/>
        </w:rPr>
        <w:drawing>
          <wp:inline distT="0" distB="0" distL="0" distR="0">
            <wp:extent cx="20116800" cy="1420304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2" cy="1420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E6EDE">
      <w:pPr>
        <w:spacing w:line="22367" w:lineRule="exact"/>
        <w:sectPr>
          <w:pgSz w:w="31681" w:h="22381"/>
          <w:pgMar w:top="1" w:right="0" w:bottom="1" w:left="0" w:header="0" w:footer="0" w:gutter="0"/>
          <w:cols w:space="720" w:num="1"/>
        </w:sectPr>
      </w:pPr>
    </w:p>
    <w:p w14:paraId="3286AFF8">
      <w:pPr>
        <w:spacing w:line="22367" w:lineRule="exact"/>
      </w:pPr>
      <w:r>
        <w:rPr>
          <w:position w:val="-447"/>
        </w:rPr>
        <w:drawing>
          <wp:inline distT="0" distB="0" distL="0" distR="0">
            <wp:extent cx="20116800" cy="1420304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2" cy="1420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E1AA7">
      <w:pPr>
        <w:spacing w:line="22367" w:lineRule="exact"/>
        <w:sectPr>
          <w:pgSz w:w="31681" w:h="22381"/>
          <w:pgMar w:top="1" w:right="0" w:bottom="1" w:left="0" w:header="0" w:footer="0" w:gutter="0"/>
          <w:cols w:space="720" w:num="1"/>
        </w:sectPr>
      </w:pPr>
    </w:p>
    <w:p w14:paraId="5F6FEC79">
      <w:pPr>
        <w:spacing w:line="22367" w:lineRule="exact"/>
      </w:pPr>
      <w:r>
        <w:rPr>
          <w:position w:val="-447"/>
        </w:rPr>
        <w:drawing>
          <wp:inline distT="0" distB="0" distL="0" distR="0">
            <wp:extent cx="20116800" cy="1420304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2" cy="1420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FC260">
      <w:pPr>
        <w:spacing w:line="22367" w:lineRule="exact"/>
        <w:sectPr>
          <w:pgSz w:w="31681" w:h="22381"/>
          <w:pgMar w:top="1" w:right="0" w:bottom="1" w:left="0" w:header="0" w:footer="0" w:gutter="0"/>
          <w:cols w:space="720" w:num="1"/>
        </w:sectPr>
      </w:pPr>
    </w:p>
    <w:p w14:paraId="6EEABEB2">
      <w:pPr>
        <w:spacing w:line="22367" w:lineRule="exact"/>
      </w:pPr>
      <w:r>
        <w:rPr>
          <w:position w:val="-447"/>
        </w:rPr>
        <w:drawing>
          <wp:inline distT="0" distB="0" distL="0" distR="0">
            <wp:extent cx="20116800" cy="1420304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2" cy="1420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DF636">
      <w:pPr>
        <w:spacing w:line="22367" w:lineRule="exact"/>
        <w:sectPr>
          <w:pgSz w:w="31681" w:h="22381"/>
          <w:pgMar w:top="1" w:right="0" w:bottom="1" w:left="0" w:header="0" w:footer="0" w:gutter="0"/>
          <w:cols w:space="720" w:num="1"/>
        </w:sectPr>
      </w:pPr>
    </w:p>
    <w:p w14:paraId="0736D72B">
      <w:pPr>
        <w:spacing w:line="22367" w:lineRule="exact"/>
      </w:pPr>
      <w:r>
        <w:rPr>
          <w:position w:val="-447"/>
        </w:rPr>
        <w:drawing>
          <wp:inline distT="0" distB="0" distL="0" distR="0">
            <wp:extent cx="20116800" cy="1420304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2" cy="1420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22987">
      <w:pPr>
        <w:spacing w:line="22367" w:lineRule="exact"/>
        <w:sectPr>
          <w:pgSz w:w="31681" w:h="22381"/>
          <w:pgMar w:top="1" w:right="0" w:bottom="1" w:left="0" w:header="0" w:footer="0" w:gutter="0"/>
          <w:cols w:space="720" w:num="1"/>
        </w:sectPr>
      </w:pPr>
    </w:p>
    <w:p w14:paraId="5122080D">
      <w:pPr>
        <w:spacing w:line="22367" w:lineRule="exact"/>
      </w:pPr>
      <w:r>
        <w:rPr>
          <w:position w:val="-447"/>
        </w:rPr>
        <w:drawing>
          <wp:inline distT="0" distB="0" distL="0" distR="0">
            <wp:extent cx="20116800" cy="14203045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2" cy="1420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7C395">
      <w:pPr>
        <w:spacing w:line="22367" w:lineRule="exact"/>
        <w:sectPr>
          <w:pgSz w:w="31681" w:h="22381"/>
          <w:pgMar w:top="1" w:right="0" w:bottom="1" w:left="0" w:header="0" w:footer="0" w:gutter="0"/>
          <w:cols w:space="720" w:num="1"/>
        </w:sectPr>
      </w:pPr>
    </w:p>
    <w:p w14:paraId="40B9275C">
      <w:pPr>
        <w:spacing w:line="22367" w:lineRule="exact"/>
      </w:pPr>
      <w:r>
        <w:rPr>
          <w:position w:val="-447"/>
        </w:rPr>
        <w:drawing>
          <wp:inline distT="0" distB="0" distL="0" distR="0">
            <wp:extent cx="20116800" cy="14203045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2" cy="1420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9FDE7">
      <w:pPr>
        <w:spacing w:line="22367" w:lineRule="exact"/>
        <w:sectPr>
          <w:pgSz w:w="31681" w:h="22381"/>
          <w:pgMar w:top="1" w:right="0" w:bottom="1" w:left="0" w:header="0" w:footer="0" w:gutter="0"/>
          <w:cols w:space="720" w:num="1"/>
        </w:sectPr>
      </w:pPr>
    </w:p>
    <w:p w14:paraId="5DD28843">
      <w:pPr>
        <w:spacing w:line="22367" w:lineRule="exact"/>
      </w:pPr>
      <w:r>
        <w:rPr>
          <w:position w:val="-447"/>
        </w:rPr>
        <w:drawing>
          <wp:inline distT="0" distB="0" distL="0" distR="0">
            <wp:extent cx="20116800" cy="14203045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2" cy="1420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4360E">
      <w:pPr>
        <w:spacing w:line="22367" w:lineRule="exact"/>
        <w:sectPr>
          <w:pgSz w:w="31681" w:h="22381"/>
          <w:pgMar w:top="1" w:right="0" w:bottom="1" w:left="0" w:header="0" w:footer="0" w:gutter="0"/>
          <w:cols w:space="720" w:num="1"/>
        </w:sectPr>
      </w:pPr>
    </w:p>
    <w:p w14:paraId="65B67DF7">
      <w:pPr>
        <w:spacing w:line="22367" w:lineRule="exact"/>
      </w:pPr>
      <w:r>
        <w:rPr>
          <w:position w:val="-447"/>
        </w:rPr>
        <w:drawing>
          <wp:inline distT="0" distB="0" distL="0" distR="0">
            <wp:extent cx="20116800" cy="14203045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2" cy="1420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31681" w:h="22381"/>
      <w:pgMar w:top="1" w:right="0" w:bottom="1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reeSerif">
    <w:panose1 w:val="02020603050405020304"/>
    <w:charset w:val="86"/>
    <w:family w:val="auto"/>
    <w:pitch w:val="default"/>
    <w:sig w:usb0="E59FAFFF" w:usb1="C200FDFF" w:usb2="43501B29" w:usb3="04000043" w:csb0="600101FF" w:csb1="FFFF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EE4F37">
    <w:pPr>
      <w:spacing w:line="14" w:lineRule="auto"/>
      <w:rPr>
        <w:rFonts w:ascii="FreeSerif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982EA3">
    <w:pPr>
      <w:spacing w:line="14" w:lineRule="auto"/>
      <w:rPr>
        <w:rFonts w:ascii="FreeSerif"/>
        <w:sz w:val="2"/>
      </w:rPr>
    </w:pPr>
    <w:r>
      <w:pict>
        <v:shape id="WordPictureWatermark2" o:spid="_x0000_s2049" o:spt="75" type="#_x0000_t75" style="position:absolute;left:0pt;margin-left:0pt;margin-top:0pt;height:540pt;width:720pt;mso-position-horizontal-relative:page;mso-position-vertical-relative:page;z-index:-25165721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8000"/>
              <wp:effectExtent l="0" t="0" r="0" b="0"/>
              <wp:wrapNone/>
              <wp:docPr id="2" name="Rec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0" cy="68580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84705"/>
                        </a:srgbClr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 2" o:spid="_x0000_s1026" o:spt="1" style="position:absolute;left:0pt;margin-left:0pt;margin-top:0pt;height:540pt;width:720pt;mso-position-horizontal-relative:page;mso-position-vertical-relative:page;z-index:-251656192;mso-width-relative:page;mso-height-relative:page;" fillcolor="#FFFFFF" filled="t" stroked="f" coordsize="21600,21600" o:allowincell="f" o:gfxdata="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2qeyddMAAAAHAQAADwAAAAAAAAABACAAAAAiAAAAZHJzL2Rvd25yZXYueG1sUEsBAhQA&#10;FAAAAAgAh07iQDpmdmkwAgAAhAQAAA4AAAAAAAAAAQAgAAAAIgEAAGRycy9lMm9Eb2MueG1sUEsF&#10;BgAAAAAGAAYAWQEAAMQFAAAAAA==&#10;">
              <v:fill on="t" opacity="55512f" focussize="0,0"/>
              <v:stroke on="f" weight="0pt"/>
              <v:imagedata o:title=""/>
              <o:lock v:ext="edit" aspectratio="f"/>
              <v:textbox inset="0mm,0mm,0mm,0mm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A181EB">
    <w:pPr>
      <w:spacing w:line="14" w:lineRule="auto"/>
      <w:rPr>
        <w:rFonts w:ascii="FreeSerif"/>
        <w:sz w:val="2"/>
      </w:rPr>
    </w:pPr>
    <w:r>
      <w:pict>
        <v:shape id="WordPictureWatermark6" o:spid="_x0000_s2050" o:spt="75" type="#_x0000_t75" style="position:absolute;left:0pt;margin-left:0pt;margin-top:0pt;height:540pt;width:720pt;mso-position-horizontal-relative:page;mso-position-vertical-relative:page;z-index:251661312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rect id="_x0000_s2051" o:spid="_x0000_s2051" o:spt="1" style="position:absolute;left:0pt;margin-left:0pt;margin-top:0pt;height:540pt;width:720pt;mso-position-horizontal-relative:page;mso-position-vertical-relative:page;z-index:251662336;mso-width-relative:page;mso-height-relative:page;" fillcolor="#FFFFFF" filled="t" stroked="f" coordsize="21600,21600" o:allowincell="f">
          <v:path/>
          <v:fill on="t" opacity="55513f" focussize="0,0"/>
          <v:stroke on="f"/>
          <v:imagedata o:title=""/>
          <o:lock v:ext="edit"/>
        </v:r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BE3928">
    <w:pPr>
      <w:spacing w:line="14" w:lineRule="auto"/>
      <w:rPr>
        <w:rFonts w:ascii="FreeSerif"/>
        <w:sz w:val="2"/>
      </w:rPr>
    </w:pPr>
    <w:r>
      <w:pict>
        <v:shape id="WordPictureWatermark10" o:spid="_x0000_s2052" o:spt="75" type="#_x0000_t75" style="position:absolute;left:0pt;margin-left:0pt;margin-top:0pt;height:540pt;width:720pt;mso-position-horizontal-relative:page;mso-position-vertical-relative:page;z-index:251663360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  <w:r>
      <w:pict>
        <v:rect id="_x0000_s2053" o:spid="_x0000_s2053" o:spt="1" style="position:absolute;left:0pt;margin-left:0pt;margin-top:0pt;height:540pt;width:720pt;mso-position-horizontal-relative:page;mso-position-vertical-relative:page;z-index:251664384;mso-width-relative:page;mso-height-relative:page;" fillcolor="#FFFFFF" filled="t" stroked="f" coordsize="21600,21600" o:allowincell="f">
          <v:path/>
          <v:fill on="t" opacity="55513f" focussize="0,0"/>
          <v:stroke on="f"/>
          <v:imagedata o:title=""/>
          <o:lock v:ext="edit"/>
        </v:rect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1D1039">
    <w:pPr>
      <w:spacing w:line="14" w:lineRule="auto"/>
      <w:rPr>
        <w:rFonts w:ascii="FreeSerif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E1DEF5D1"/>
    <w:rsid w:val="FFFB36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FreeSerif" w:hAnsi="FreeSerif" w:eastAsia="FreeSerif" w:cs="FreeSerif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FreeSerif" w:hAnsi="FreeSerif" w:eastAsia="FreeSerif" w:cs="FreeSerif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" w:hAnsi="FangSong" w:eastAsia="FangSong" w:cs="FangSong"/>
      <w:sz w:val="19"/>
      <w:szCs w:val="1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1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4" Type="http://schemas.openxmlformats.org/officeDocument/2006/relationships/fontTable" Target="fontTable.xml"/><Relationship Id="rId23" Type="http://schemas.openxmlformats.org/officeDocument/2006/relationships/customXml" Target="../customXml/item1.xml"/><Relationship Id="rId22" Type="http://schemas.openxmlformats.org/officeDocument/2006/relationships/image" Target="media/image13.jpeg"/><Relationship Id="rId21" Type="http://schemas.openxmlformats.org/officeDocument/2006/relationships/image" Target="media/image12.jpeg"/><Relationship Id="rId20" Type="http://schemas.openxmlformats.org/officeDocument/2006/relationships/image" Target="media/image11.jpeg"/><Relationship Id="rId2" Type="http://schemas.openxmlformats.org/officeDocument/2006/relationships/settings" Target="settings.xml"/><Relationship Id="rId19" Type="http://schemas.openxmlformats.org/officeDocument/2006/relationships/image" Target="media/image10.jpeg"/><Relationship Id="rId18" Type="http://schemas.openxmlformats.org/officeDocument/2006/relationships/image" Target="media/image9.jpeg"/><Relationship Id="rId17" Type="http://schemas.openxmlformats.org/officeDocument/2006/relationships/image" Target="media/image8.jpeg"/><Relationship Id="rId16" Type="http://schemas.openxmlformats.org/officeDocument/2006/relationships/image" Target="media/image7.jpeg"/><Relationship Id="rId15" Type="http://schemas.openxmlformats.org/officeDocument/2006/relationships/image" Target="media/image6.jpeg"/><Relationship Id="rId14" Type="http://schemas.openxmlformats.org/officeDocument/2006/relationships/image" Target="media/image5.jpeg"/><Relationship Id="rId13" Type="http://schemas.openxmlformats.org/officeDocument/2006/relationships/image" Target="media/image4.jpeg"/><Relationship Id="rId12" Type="http://schemas.openxmlformats.org/officeDocument/2006/relationships/image" Target="media/image3.jpeg"/><Relationship Id="rId11" Type="http://schemas.openxmlformats.org/officeDocument/2006/relationships/image" Target="media/image2.jpe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1026" textRotate="1"/>
    <customShpInfo spid="_x0000_s2050"/>
    <customShpInfo spid="_x0000_s2051"/>
    <customShpInfo spid="_x0000_s2052"/>
    <customShpInfo spid="_x0000_s205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15</Pages>
  <TotalTime>0</TotalTime>
  <ScaleCrop>false</ScaleCrop>
  <LinksUpToDate>false</LinksUpToDate>
  <Application>WPS Office_12.1.2.23578_F1E327BC-269C-435d-A152-05C5408002CA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2026-06-18T01:40:00Z</dcterms:created>
  <dc:creator>思杰 黄</dc:creator>
  <cp:lastModifiedBy>幼稚的青年</cp:lastModifiedBy>
  <dcterms:modified xsi:type="dcterms:W3CDTF">2026-06-18T10:06:50Z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2026-06-18T10:05:53Z</vt:filetime>
  </property>
  <property fmtid="{D5CDD505-2E9C-101B-9397-08002B2CF9AE}" pid="4" name="KSOProductBuildVer">
    <vt:lpwstr>2052-12.1.2.23578</vt:lpwstr>
  </property>
  <property fmtid="{D5CDD505-2E9C-101B-9397-08002B2CF9AE}" pid="5" name="ICV">
    <vt:lpwstr>28FECDD1B78CE0AABA52336A7DFA9C38_43</vt:lpwstr>
  </property>
</Properties>
</file>