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3B7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黑体" w:cs="Times New Roman"/>
          <w:b w:val="0"/>
          <w:bCs/>
          <w:color w:val="auto"/>
          <w:kern w:val="0"/>
          <w:sz w:val="52"/>
          <w:szCs w:val="52"/>
          <w:highlight w:val="none"/>
        </w:rPr>
      </w:pPr>
    </w:p>
    <w:p w14:paraId="7F54FA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al="0"/>
          <w:color w:val="auto"/>
          <w:kern w:val="0"/>
          <w:sz w:val="52"/>
          <w:szCs w:val="52"/>
          <w:highlight w:val="none"/>
        </w:rPr>
      </w:pPr>
      <w:r>
        <w:rPr>
          <w:rFonts w:hint="default" w:ascii="Times New Roman" w:hAnsi="Times New Roman" w:eastAsia="仿宋" w:cs="Times New Roman"/>
          <w:b/>
          <w:bCs w:val="0"/>
          <w:color w:val="auto"/>
          <w:kern w:val="0"/>
          <w:sz w:val="52"/>
          <w:szCs w:val="52"/>
          <w:highlight w:val="none"/>
        </w:rPr>
        <w:t>四川</w:t>
      </w:r>
      <w:r>
        <w:rPr>
          <w:rFonts w:hint="default" w:ascii="Times New Roman" w:hAnsi="Times New Roman" w:eastAsia="仿宋" w:cs="Times New Roman"/>
          <w:b/>
          <w:bCs w:val="0"/>
          <w:color w:val="auto"/>
          <w:kern w:val="0"/>
          <w:sz w:val="52"/>
          <w:szCs w:val="52"/>
          <w:highlight w:val="none"/>
          <w:lang w:val="en-US" w:eastAsia="zh-CN"/>
        </w:rPr>
        <w:t>若尔盖湿地</w:t>
      </w:r>
      <w:r>
        <w:rPr>
          <w:rFonts w:hint="default" w:ascii="Times New Roman" w:hAnsi="Times New Roman" w:eastAsia="仿宋" w:cs="Times New Roman"/>
          <w:b/>
          <w:bCs w:val="0"/>
          <w:color w:val="auto"/>
          <w:kern w:val="0"/>
          <w:sz w:val="52"/>
          <w:szCs w:val="52"/>
          <w:highlight w:val="none"/>
        </w:rPr>
        <w:t>国家级自然保护区</w:t>
      </w:r>
    </w:p>
    <w:p w14:paraId="4DBAEC82">
      <w:pPr>
        <w:keepNext w:val="0"/>
        <w:keepLines w:val="0"/>
        <w:pageBreakBefore w:val="0"/>
        <w:widowControl w:val="0"/>
        <w:kinsoku/>
        <w:wordWrap/>
        <w:overflowPunct/>
        <w:topLinePunct w:val="0"/>
        <w:autoSpaceDE/>
        <w:autoSpaceDN/>
        <w:bidi w:val="0"/>
        <w:adjustRightInd/>
        <w:snapToGrid/>
        <w:spacing w:line="240" w:lineRule="auto"/>
        <w:ind w:firstLine="1928"/>
        <w:jc w:val="center"/>
        <w:textAlignment w:val="auto"/>
        <w:rPr>
          <w:rFonts w:hint="default" w:ascii="Times New Roman" w:hAnsi="Times New Roman" w:eastAsia="仿宋" w:cs="Times New Roman"/>
          <w:b/>
          <w:bCs w:val="0"/>
          <w:color w:val="auto"/>
          <w:kern w:val="0"/>
          <w:sz w:val="20"/>
          <w:szCs w:val="20"/>
          <w:highlight w:val="none"/>
        </w:rPr>
      </w:pPr>
    </w:p>
    <w:p w14:paraId="578516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al="0"/>
          <w:color w:val="auto"/>
          <w:kern w:val="0"/>
          <w:sz w:val="72"/>
          <w:szCs w:val="72"/>
          <w:highlight w:val="none"/>
        </w:rPr>
      </w:pPr>
      <w:r>
        <w:rPr>
          <w:rFonts w:hint="default" w:ascii="Times New Roman" w:hAnsi="Times New Roman" w:eastAsia="仿宋" w:cs="Times New Roman"/>
          <w:b/>
          <w:bCs w:val="0"/>
          <w:color w:val="auto"/>
          <w:kern w:val="0"/>
          <w:sz w:val="72"/>
          <w:szCs w:val="72"/>
          <w:highlight w:val="none"/>
        </w:rPr>
        <w:t>总</w:t>
      </w:r>
      <w:r>
        <w:rPr>
          <w:rFonts w:hint="default" w:ascii="Times New Roman" w:hAnsi="Times New Roman" w:cs="Times New Roman"/>
          <w:b/>
          <w:bCs w:val="0"/>
          <w:color w:val="auto"/>
          <w:kern w:val="0"/>
          <w:sz w:val="72"/>
          <w:szCs w:val="72"/>
          <w:highlight w:val="none"/>
          <w:lang w:eastAsia="zh-CN"/>
        </w:rPr>
        <w:t xml:space="preserve"> </w:t>
      </w:r>
      <w:r>
        <w:rPr>
          <w:rFonts w:hint="default" w:ascii="Times New Roman" w:hAnsi="Times New Roman" w:eastAsia="仿宋" w:cs="Times New Roman"/>
          <w:b/>
          <w:bCs w:val="0"/>
          <w:color w:val="auto"/>
          <w:kern w:val="0"/>
          <w:sz w:val="72"/>
          <w:szCs w:val="72"/>
          <w:highlight w:val="none"/>
        </w:rPr>
        <w:t>体</w:t>
      </w:r>
      <w:r>
        <w:rPr>
          <w:rFonts w:hint="default" w:ascii="Times New Roman" w:hAnsi="Times New Roman" w:cs="Times New Roman"/>
          <w:b/>
          <w:bCs w:val="0"/>
          <w:color w:val="auto"/>
          <w:kern w:val="0"/>
          <w:sz w:val="72"/>
          <w:szCs w:val="72"/>
          <w:highlight w:val="none"/>
          <w:lang w:eastAsia="zh-CN"/>
        </w:rPr>
        <w:t xml:space="preserve"> </w:t>
      </w:r>
      <w:r>
        <w:rPr>
          <w:rFonts w:hint="default" w:ascii="Times New Roman" w:hAnsi="Times New Roman" w:eastAsia="仿宋" w:cs="Times New Roman"/>
          <w:b/>
          <w:bCs w:val="0"/>
          <w:color w:val="auto"/>
          <w:kern w:val="0"/>
          <w:sz w:val="72"/>
          <w:szCs w:val="72"/>
          <w:highlight w:val="none"/>
        </w:rPr>
        <w:t>规</w:t>
      </w:r>
      <w:r>
        <w:rPr>
          <w:rFonts w:hint="default" w:ascii="Times New Roman" w:hAnsi="Times New Roman" w:cs="Times New Roman"/>
          <w:b/>
          <w:bCs w:val="0"/>
          <w:color w:val="auto"/>
          <w:kern w:val="0"/>
          <w:sz w:val="72"/>
          <w:szCs w:val="72"/>
          <w:highlight w:val="none"/>
          <w:lang w:eastAsia="zh-CN"/>
        </w:rPr>
        <w:t xml:space="preserve"> </w:t>
      </w:r>
      <w:r>
        <w:rPr>
          <w:rFonts w:hint="default" w:ascii="Times New Roman" w:hAnsi="Times New Roman" w:eastAsia="仿宋" w:cs="Times New Roman"/>
          <w:b/>
          <w:bCs w:val="0"/>
          <w:color w:val="auto"/>
          <w:kern w:val="0"/>
          <w:sz w:val="72"/>
          <w:szCs w:val="72"/>
          <w:highlight w:val="none"/>
        </w:rPr>
        <w:t>划</w:t>
      </w:r>
    </w:p>
    <w:p w14:paraId="0A27790E">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center"/>
        <w:textAlignment w:val="auto"/>
        <w:rPr>
          <w:rFonts w:hint="default" w:ascii="Times New Roman" w:hAnsi="Times New Roman" w:eastAsia="仿宋" w:cs="Times New Roman"/>
          <w:b/>
          <w:bCs w:val="0"/>
          <w:color w:val="auto"/>
          <w:kern w:val="0"/>
          <w:sz w:val="44"/>
          <w:szCs w:val="44"/>
          <w:highlight w:val="none"/>
        </w:rPr>
      </w:pPr>
      <w:r>
        <w:rPr>
          <w:rFonts w:hint="default" w:ascii="Times New Roman" w:hAnsi="Times New Roman" w:eastAsia="仿宋" w:cs="Times New Roman"/>
          <w:b/>
          <w:bCs w:val="0"/>
          <w:color w:val="auto"/>
          <w:kern w:val="0"/>
          <w:sz w:val="44"/>
          <w:szCs w:val="44"/>
          <w:highlight w:val="none"/>
        </w:rPr>
        <w:t>（20</w:t>
      </w:r>
      <w:r>
        <w:rPr>
          <w:rFonts w:hint="default" w:ascii="Times New Roman" w:hAnsi="Times New Roman" w:eastAsia="仿宋" w:cs="Times New Roman"/>
          <w:b/>
          <w:bCs w:val="0"/>
          <w:color w:val="auto"/>
          <w:kern w:val="0"/>
          <w:sz w:val="44"/>
          <w:szCs w:val="44"/>
          <w:highlight w:val="none"/>
          <w:lang w:val="en-US" w:eastAsia="zh-CN"/>
        </w:rPr>
        <w:t xml:space="preserve">26 </w:t>
      </w:r>
      <w:r>
        <w:rPr>
          <w:rFonts w:hint="default" w:ascii="Times New Roman" w:hAnsi="Times New Roman" w:eastAsia="仿宋" w:cs="Times New Roman"/>
          <w:b/>
          <w:bCs w:val="0"/>
          <w:color w:val="auto"/>
          <w:kern w:val="0"/>
          <w:sz w:val="44"/>
          <w:szCs w:val="44"/>
          <w:highlight w:val="none"/>
        </w:rPr>
        <w:t>-</w:t>
      </w:r>
      <w:r>
        <w:rPr>
          <w:rFonts w:hint="default" w:ascii="Times New Roman" w:hAnsi="Times New Roman" w:eastAsia="仿宋" w:cs="Times New Roman"/>
          <w:b/>
          <w:bCs w:val="0"/>
          <w:color w:val="auto"/>
          <w:kern w:val="0"/>
          <w:sz w:val="44"/>
          <w:szCs w:val="44"/>
          <w:highlight w:val="none"/>
          <w:lang w:val="en-US" w:eastAsia="zh-CN"/>
        </w:rPr>
        <w:t xml:space="preserve"> </w:t>
      </w:r>
      <w:r>
        <w:rPr>
          <w:rFonts w:hint="default" w:ascii="Times New Roman" w:hAnsi="Times New Roman" w:eastAsia="仿宋" w:cs="Times New Roman"/>
          <w:b/>
          <w:bCs w:val="0"/>
          <w:color w:val="auto"/>
          <w:kern w:val="0"/>
          <w:sz w:val="44"/>
          <w:szCs w:val="44"/>
          <w:highlight w:val="none"/>
        </w:rPr>
        <w:t>20</w:t>
      </w:r>
      <w:r>
        <w:rPr>
          <w:rFonts w:hint="default" w:ascii="Times New Roman" w:hAnsi="Times New Roman" w:eastAsia="仿宋" w:cs="Times New Roman"/>
          <w:b/>
          <w:bCs w:val="0"/>
          <w:color w:val="auto"/>
          <w:kern w:val="0"/>
          <w:sz w:val="44"/>
          <w:szCs w:val="44"/>
          <w:highlight w:val="none"/>
          <w:lang w:val="en-US" w:eastAsia="zh-CN"/>
        </w:rPr>
        <w:t>35</w:t>
      </w:r>
      <w:r>
        <w:rPr>
          <w:rFonts w:hint="default" w:ascii="Times New Roman" w:hAnsi="Times New Roman" w:eastAsia="仿宋" w:cs="Times New Roman"/>
          <w:b/>
          <w:bCs w:val="0"/>
          <w:color w:val="auto"/>
          <w:kern w:val="0"/>
          <w:sz w:val="44"/>
          <w:szCs w:val="44"/>
          <w:highlight w:val="none"/>
        </w:rPr>
        <w:t>年）</w:t>
      </w:r>
    </w:p>
    <w:p w14:paraId="7CC7C157">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both"/>
        <w:textAlignment w:val="auto"/>
        <w:rPr>
          <w:rFonts w:hint="default" w:ascii="Times New Roman" w:hAnsi="Times New Roman" w:eastAsia="仿宋" w:cs="Times New Roman"/>
          <w:b/>
          <w:color w:val="auto"/>
          <w:kern w:val="0"/>
          <w:sz w:val="52"/>
          <w:szCs w:val="52"/>
          <w:highlight w:val="none"/>
          <w:lang w:eastAsia="zh-CN"/>
        </w:rPr>
      </w:pPr>
    </w:p>
    <w:p w14:paraId="324283A9">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center"/>
        <w:textAlignment w:val="auto"/>
        <w:rPr>
          <w:rFonts w:hint="default" w:ascii="Times New Roman" w:hAnsi="Times New Roman" w:eastAsia="仿宋" w:cs="Times New Roman"/>
          <w:b/>
          <w:color w:val="auto"/>
          <w:kern w:val="0"/>
          <w:sz w:val="52"/>
          <w:szCs w:val="52"/>
          <w:highlight w:val="none"/>
          <w:lang w:eastAsia="zh-CN"/>
        </w:rPr>
      </w:pPr>
    </w:p>
    <w:p w14:paraId="6272CB86">
      <w:pPr>
        <w:pStyle w:val="9"/>
        <w:keepNext w:val="0"/>
        <w:keepLines w:val="0"/>
        <w:pageBreakBefore w:val="0"/>
        <w:widowControl w:val="0"/>
        <w:tabs>
          <w:tab w:val="left" w:pos="2990"/>
        </w:tabs>
        <w:kinsoku/>
        <w:wordWrap/>
        <w:overflowPunct/>
        <w:topLinePunct w:val="0"/>
        <w:autoSpaceDE/>
        <w:autoSpaceDN/>
        <w:bidi w:val="0"/>
        <w:adjustRightInd/>
        <w:snapToGrid/>
        <w:spacing w:beforeLines="100" w:line="240" w:lineRule="auto"/>
        <w:ind w:firstLine="0" w:firstLineChars="0"/>
        <w:jc w:val="center"/>
        <w:textAlignment w:val="auto"/>
        <w:rPr>
          <w:rFonts w:hint="default" w:ascii="Times New Roman" w:hAnsi="Times New Roman" w:eastAsia="仿宋" w:cs="Times New Roman"/>
          <w:b/>
          <w:color w:val="auto"/>
          <w:kern w:val="0"/>
          <w:sz w:val="52"/>
          <w:szCs w:val="52"/>
          <w:highlight w:val="none"/>
          <w:lang w:eastAsia="zh-CN"/>
        </w:rPr>
      </w:pPr>
      <w:r>
        <w:rPr>
          <w:rFonts w:hint="default" w:ascii="Times New Roman" w:hAnsi="Times New Roman" w:cs="Times New Roman"/>
          <w:b/>
          <w:color w:val="auto"/>
          <w:kern w:val="0"/>
          <w:sz w:val="52"/>
          <w:szCs w:val="52"/>
          <w:highlight w:val="none"/>
          <w:lang w:val="en-US" w:eastAsia="zh-CN"/>
        </w:rPr>
        <w:t>（</w:t>
      </w:r>
      <w:r>
        <w:rPr>
          <w:rFonts w:hint="eastAsia" w:ascii="Times New Roman" w:hAnsi="Times New Roman" w:cs="Times New Roman"/>
          <w:b/>
          <w:color w:val="auto"/>
          <w:kern w:val="0"/>
          <w:sz w:val="52"/>
          <w:szCs w:val="52"/>
          <w:highlight w:val="none"/>
          <w:lang w:val="en-US" w:eastAsia="zh-CN"/>
        </w:rPr>
        <w:t>公示</w:t>
      </w:r>
      <w:r>
        <w:rPr>
          <w:rFonts w:hint="default" w:ascii="Times New Roman" w:hAnsi="Times New Roman" w:cs="Times New Roman"/>
          <w:b/>
          <w:color w:val="auto"/>
          <w:kern w:val="0"/>
          <w:sz w:val="52"/>
          <w:szCs w:val="52"/>
          <w:highlight w:val="none"/>
          <w:lang w:val="en-US" w:eastAsia="zh-CN"/>
        </w:rPr>
        <w:t>稿）</w:t>
      </w:r>
    </w:p>
    <w:p w14:paraId="69B64071">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both"/>
        <w:textAlignment w:val="auto"/>
        <w:rPr>
          <w:rFonts w:hint="default" w:ascii="Times New Roman" w:hAnsi="Times New Roman" w:eastAsia="仿宋" w:cs="Times New Roman"/>
          <w:b/>
          <w:color w:val="auto"/>
          <w:kern w:val="0"/>
          <w:sz w:val="52"/>
          <w:szCs w:val="52"/>
          <w:highlight w:val="none"/>
          <w:lang w:eastAsia="zh-CN"/>
        </w:rPr>
      </w:pPr>
    </w:p>
    <w:p w14:paraId="39134FB3">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both"/>
        <w:textAlignment w:val="auto"/>
        <w:rPr>
          <w:rFonts w:hint="default" w:ascii="Times New Roman" w:hAnsi="Times New Roman" w:eastAsia="仿宋" w:cs="Times New Roman"/>
          <w:b/>
          <w:color w:val="auto"/>
          <w:kern w:val="0"/>
          <w:sz w:val="52"/>
          <w:szCs w:val="52"/>
          <w:highlight w:val="none"/>
          <w:lang w:eastAsia="zh-CN"/>
        </w:rPr>
      </w:pPr>
    </w:p>
    <w:p w14:paraId="14194A38">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center"/>
        <w:textAlignment w:val="auto"/>
        <w:rPr>
          <w:rFonts w:hint="default" w:ascii="Times New Roman" w:hAnsi="Times New Roman" w:eastAsia="仿宋" w:cs="Times New Roman"/>
          <w:b/>
          <w:color w:val="auto"/>
          <w:kern w:val="0"/>
          <w:sz w:val="52"/>
          <w:szCs w:val="52"/>
          <w:highlight w:val="none"/>
          <w:lang w:eastAsia="zh-CN"/>
        </w:rPr>
      </w:pPr>
    </w:p>
    <w:p w14:paraId="59C08E91">
      <w:pPr>
        <w:pStyle w:val="9"/>
        <w:keepNext w:val="0"/>
        <w:keepLines w:val="0"/>
        <w:pageBreakBefore w:val="0"/>
        <w:widowControl w:val="0"/>
        <w:kinsoku/>
        <w:wordWrap/>
        <w:overflowPunct/>
        <w:topLinePunct w:val="0"/>
        <w:autoSpaceDE/>
        <w:autoSpaceDN/>
        <w:bidi w:val="0"/>
        <w:adjustRightInd/>
        <w:snapToGrid/>
        <w:spacing w:beforeLines="100" w:line="240" w:lineRule="auto"/>
        <w:ind w:firstLine="0" w:firstLineChars="0"/>
        <w:jc w:val="center"/>
        <w:textAlignment w:val="auto"/>
        <w:rPr>
          <w:rFonts w:hint="default" w:ascii="Times New Roman" w:hAnsi="Times New Roman" w:eastAsia="仿宋" w:cs="Times New Roman"/>
          <w:b/>
          <w:color w:val="auto"/>
          <w:kern w:val="0"/>
          <w:sz w:val="52"/>
          <w:szCs w:val="52"/>
          <w:highlight w:val="none"/>
          <w:lang w:eastAsia="zh-CN"/>
        </w:rPr>
      </w:pPr>
    </w:p>
    <w:p w14:paraId="3FA09816">
      <w:pPr>
        <w:keepNext w:val="0"/>
        <w:keepLines w:val="0"/>
        <w:pageBreakBefore w:val="0"/>
        <w:widowControl w:val="0"/>
        <w:kinsoku/>
        <w:wordWrap/>
        <w:overflowPunct/>
        <w:topLinePunct w:val="0"/>
        <w:autoSpaceDE/>
        <w:autoSpaceDN/>
        <w:bidi w:val="0"/>
        <w:adjustRightInd/>
        <w:snapToGrid/>
        <w:spacing w:before="157" w:beforeLines="50" w:afterLines="50" w:line="240" w:lineRule="auto"/>
        <w:ind w:left="0" w:leftChars="0" w:firstLine="0" w:firstLineChars="0"/>
        <w:jc w:val="center"/>
        <w:textAlignment w:val="auto"/>
        <w:rPr>
          <w:rFonts w:hint="default" w:ascii="Times New Roman" w:hAnsi="Times New Roman" w:eastAsia="黑体" w:cs="Times New Roman"/>
          <w:b w:val="0"/>
          <w:bCs/>
          <w:color w:val="auto"/>
          <w:kern w:val="0"/>
          <w:sz w:val="32"/>
          <w:szCs w:val="32"/>
          <w:highlight w:val="none"/>
          <w:lang w:val="en-US" w:eastAsia="zh-CN"/>
        </w:rPr>
      </w:pPr>
    </w:p>
    <w:p w14:paraId="5B6ECA43">
      <w:pPr>
        <w:keepNext w:val="0"/>
        <w:keepLines w:val="0"/>
        <w:pageBreakBefore w:val="0"/>
        <w:widowControl w:val="0"/>
        <w:kinsoku/>
        <w:wordWrap/>
        <w:overflowPunct/>
        <w:topLinePunct w:val="0"/>
        <w:autoSpaceDE/>
        <w:autoSpaceDN/>
        <w:bidi w:val="0"/>
        <w:adjustRightInd/>
        <w:snapToGrid/>
        <w:spacing w:before="157" w:beforeLines="50" w:afterLines="50" w:line="240" w:lineRule="auto"/>
        <w:ind w:left="0" w:leftChars="0" w:firstLine="0" w:firstLineChars="0"/>
        <w:jc w:val="center"/>
        <w:textAlignment w:val="auto"/>
        <w:rPr>
          <w:rFonts w:hint="default" w:ascii="Times New Roman" w:hAnsi="Times New Roman" w:eastAsia="黑体" w:cs="Times New Roman"/>
          <w:b w:val="0"/>
          <w:bCs/>
          <w:color w:val="auto"/>
          <w:kern w:val="0"/>
          <w:sz w:val="32"/>
          <w:szCs w:val="32"/>
          <w:highlight w:val="none"/>
          <w:lang w:val="en-US" w:eastAsia="zh-CN"/>
        </w:rPr>
      </w:pPr>
      <w:r>
        <w:rPr>
          <w:rFonts w:hint="default" w:ascii="Times New Roman" w:hAnsi="Times New Roman" w:eastAsia="黑体" w:cs="Times New Roman"/>
          <w:b w:val="0"/>
          <w:bCs/>
          <w:color w:val="auto"/>
          <w:kern w:val="0"/>
          <w:sz w:val="32"/>
          <w:szCs w:val="32"/>
          <w:highlight w:val="none"/>
          <w:lang w:val="en-US" w:eastAsia="zh-CN"/>
        </w:rPr>
        <w:t>四川若尔盖湿地国家级自然保护区管理局</w:t>
      </w:r>
    </w:p>
    <w:p w14:paraId="56F4D6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eastAsia="黑体"/>
          <w:sz w:val="30"/>
          <w:szCs w:val="30"/>
        </w:rPr>
        <w:sectPr>
          <w:headerReference r:id="rId5" w:type="default"/>
          <w:footerReference r:id="rId6" w:type="default"/>
          <w:pgSz w:w="11906" w:h="16838"/>
          <w:pgMar w:top="1440" w:right="1463" w:bottom="1440" w:left="1576" w:header="851" w:footer="992" w:gutter="0"/>
          <w:pgBorders>
            <w:top w:val="none" w:sz="0" w:space="0"/>
            <w:left w:val="none" w:sz="0" w:space="0"/>
            <w:bottom w:val="none" w:sz="0" w:space="0"/>
            <w:right w:val="none" w:sz="0" w:space="0"/>
          </w:pgBorders>
          <w:pgNumType w:fmt="decimal" w:start="1"/>
          <w:cols w:space="0" w:num="1"/>
          <w:docGrid w:type="lines" w:linePitch="312" w:charSpace="0"/>
        </w:sectPr>
      </w:pPr>
      <w:r>
        <w:rPr>
          <w:rFonts w:hint="default" w:ascii="Times New Roman" w:hAnsi="Times New Roman" w:eastAsia="黑体" w:cs="Times New Roman"/>
          <w:b w:val="0"/>
          <w:bCs/>
          <w:color w:val="auto"/>
          <w:kern w:val="0"/>
          <w:sz w:val="32"/>
          <w:szCs w:val="32"/>
          <w:highlight w:val="none"/>
        </w:rPr>
        <w:t>二</w:t>
      </w:r>
      <w:r>
        <w:rPr>
          <w:rFonts w:hint="default" w:ascii="Times New Roman" w:hAnsi="Times New Roman" w:eastAsia="黑体" w:cs="Times New Roman"/>
          <w:b w:val="0"/>
          <w:bCs/>
          <w:color w:val="auto"/>
          <w:kern w:val="0"/>
          <w:sz w:val="32"/>
          <w:szCs w:val="32"/>
          <w:highlight w:val="none"/>
          <w:lang w:val="en-US" w:eastAsia="zh-CN"/>
        </w:rPr>
        <w:t>零二六</w:t>
      </w:r>
      <w:r>
        <w:rPr>
          <w:rFonts w:hint="default" w:ascii="Times New Roman" w:hAnsi="Times New Roman" w:eastAsia="黑体" w:cs="Times New Roman"/>
          <w:b w:val="0"/>
          <w:bCs/>
          <w:color w:val="auto"/>
          <w:kern w:val="0"/>
          <w:sz w:val="32"/>
          <w:szCs w:val="32"/>
          <w:highlight w:val="none"/>
        </w:rPr>
        <w:t>年</w:t>
      </w:r>
      <w:r>
        <w:rPr>
          <w:rFonts w:hint="default" w:ascii="Times New Roman" w:hAnsi="Times New Roman" w:eastAsia="黑体" w:cs="Times New Roman"/>
          <w:b w:val="0"/>
          <w:bCs/>
          <w:color w:val="auto"/>
          <w:kern w:val="0"/>
          <w:sz w:val="32"/>
          <w:szCs w:val="32"/>
          <w:highlight w:val="none"/>
          <w:lang w:val="en-US" w:eastAsia="zh-CN"/>
        </w:rPr>
        <w:t>八月</w:t>
      </w:r>
    </w:p>
    <w:p w14:paraId="1C1420FF">
      <w:pPr>
        <w:pStyle w:val="9"/>
        <w:ind w:firstLine="0" w:firstLineChars="0"/>
        <w:jc w:val="center"/>
        <w:rPr>
          <w:rFonts w:hint="default" w:ascii="Times New Roman" w:hAnsi="Times New Roman" w:eastAsia="黑体" w:cs="Times New Roman"/>
          <w:b/>
          <w:bCs/>
          <w:color w:val="auto"/>
          <w:sz w:val="36"/>
          <w:szCs w:val="36"/>
          <w:highlight w:val="none"/>
        </w:rPr>
      </w:pPr>
      <w:r>
        <w:rPr>
          <w:rFonts w:hint="default" w:ascii="Times New Roman" w:hAnsi="Times New Roman" w:eastAsia="黑体" w:cs="Times New Roman"/>
          <w:b/>
          <w:bCs/>
          <w:color w:val="auto"/>
          <w:sz w:val="36"/>
          <w:szCs w:val="36"/>
          <w:highlight w:val="none"/>
        </w:rPr>
        <w:t>目</w:t>
      </w:r>
      <w:r>
        <w:rPr>
          <w:rFonts w:hint="default" w:ascii="Times New Roman" w:hAnsi="Times New Roman" w:eastAsia="黑体" w:cs="Times New Roman"/>
          <w:b/>
          <w:bCs/>
          <w:color w:val="auto"/>
          <w:sz w:val="36"/>
          <w:szCs w:val="36"/>
          <w:highlight w:val="none"/>
          <w:lang w:eastAsia="zh-CN"/>
        </w:rPr>
        <w:t xml:space="preserve"> </w:t>
      </w:r>
      <w:r>
        <w:rPr>
          <w:rFonts w:hint="default" w:ascii="Times New Roman" w:hAnsi="Times New Roman" w:eastAsia="黑体" w:cs="Times New Roman"/>
          <w:b/>
          <w:bCs/>
          <w:color w:val="auto"/>
          <w:sz w:val="36"/>
          <w:szCs w:val="36"/>
          <w:highlight w:val="none"/>
        </w:rPr>
        <w:t>录</w:t>
      </w:r>
    </w:p>
    <w:sdt>
      <w:sdtPr>
        <w:rPr>
          <w:rFonts w:hint="default" w:ascii="Times New Roman" w:hAnsi="Times New Roman" w:eastAsia="宋体" w:cs="Times New Roman"/>
          <w:color w:val="auto"/>
          <w:kern w:val="2"/>
          <w:sz w:val="21"/>
          <w:szCs w:val="24"/>
          <w:highlight w:val="none"/>
          <w:lang w:val="en-US" w:eastAsia="zh-CN" w:bidi="ar-SA"/>
        </w:rPr>
        <w:id w:val="147456897"/>
        <w15:color w:val="DBDBDB"/>
        <w:docPartObj>
          <w:docPartGallery w:val="Table of Contents"/>
          <w:docPartUnique/>
        </w:docPartObj>
      </w:sdtPr>
      <w:sdtEndPr>
        <w:rPr>
          <w:rFonts w:hint="default" w:ascii="Times New Roman" w:hAnsi="Times New Roman" w:eastAsia="仿宋" w:cs="Times New Roman"/>
          <w:bCs/>
          <w:color w:val="auto"/>
          <w:kern w:val="2"/>
          <w:sz w:val="28"/>
          <w:szCs w:val="24"/>
          <w:highlight w:val="none"/>
          <w:lang w:val="en-US" w:eastAsia="zh-CN" w:bidi="ar-SA"/>
        </w:rPr>
      </w:sdtEndPr>
      <w:sdtContent>
        <w:p w14:paraId="03F43D8C">
          <w:pPr>
            <w:spacing w:before="0" w:beforeLines="0" w:after="0" w:afterLines="0" w:line="240" w:lineRule="auto"/>
            <w:ind w:left="0" w:leftChars="0" w:right="0" w:rightChars="0" w:firstLine="0" w:firstLineChars="0"/>
            <w:jc w:val="center"/>
            <w:rPr>
              <w:rFonts w:hint="default" w:ascii="Times New Roman" w:hAnsi="Times New Roman" w:cs="Times New Roman"/>
              <w:color w:val="auto"/>
              <w:highlight w:val="none"/>
            </w:rPr>
          </w:pPr>
        </w:p>
        <w:p w14:paraId="7050EC93">
          <w:pPr>
            <w:pStyle w:val="18"/>
            <w:tabs>
              <w:tab w:val="right" w:leader="dot" w:pos="8867"/>
            </w:tabs>
          </w:pPr>
          <w:r>
            <w:rPr>
              <w:rFonts w:hint="default" w:ascii="Times New Roman" w:hAnsi="Times New Roman" w:eastAsia="仿宋" w:cs="Times New Roman"/>
              <w:bCs/>
              <w:color w:val="auto"/>
              <w:kern w:val="2"/>
              <w:sz w:val="28"/>
              <w:szCs w:val="24"/>
              <w:highlight w:val="none"/>
              <w:lang w:val="en-US" w:eastAsia="zh-CN" w:bidi="ar-SA"/>
            </w:rPr>
            <w:fldChar w:fldCharType="begin"/>
          </w:r>
          <w:r>
            <w:rPr>
              <w:rFonts w:hint="default" w:ascii="Times New Roman" w:hAnsi="Times New Roman" w:eastAsia="仿宋" w:cs="Times New Roman"/>
              <w:bCs/>
              <w:color w:val="auto"/>
              <w:kern w:val="2"/>
              <w:sz w:val="28"/>
              <w:szCs w:val="24"/>
              <w:highlight w:val="none"/>
              <w:lang w:val="en-US" w:eastAsia="zh-CN" w:bidi="ar-SA"/>
            </w:rPr>
            <w:instrText xml:space="preserve">TOC \o "1-2" \h \u </w:instrText>
          </w:r>
          <w:r>
            <w:rPr>
              <w:rFonts w:hint="default" w:ascii="Times New Roman" w:hAnsi="Times New Roman" w:eastAsia="仿宋" w:cs="Times New Roman"/>
              <w:bCs/>
              <w:color w:val="auto"/>
              <w:kern w:val="2"/>
              <w:sz w:val="28"/>
              <w:szCs w:val="24"/>
              <w:highlight w:val="none"/>
              <w:lang w:val="en-US" w:eastAsia="zh-CN" w:bidi="ar-SA"/>
            </w:rPr>
            <w:fldChar w:fldCharType="separate"/>
          </w: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_Toc27558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bCs/>
              <w:szCs w:val="52"/>
            </w:rPr>
            <w:t xml:space="preserve">1. </w:t>
          </w:r>
          <w:r>
            <w:rPr>
              <w:rFonts w:hint="default" w:ascii="Times New Roman" w:hAnsi="Times New Roman" w:cs="Times New Roman"/>
              <w:bCs/>
              <w:szCs w:val="52"/>
              <w:highlight w:val="none"/>
            </w:rPr>
            <w:t>总 论</w:t>
          </w:r>
          <w:r>
            <w:tab/>
          </w:r>
          <w:r>
            <w:fldChar w:fldCharType="begin"/>
          </w:r>
          <w:r>
            <w:instrText xml:space="preserve"> PAGEREF _Toc27558 \h </w:instrText>
          </w:r>
          <w:r>
            <w:fldChar w:fldCharType="separate"/>
          </w:r>
          <w:r>
            <w:t>1</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11D6739D">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_Toc8332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highlight w:val="none"/>
            </w:rPr>
            <w:t>1.1保护区概况</w:t>
          </w:r>
          <w:r>
            <w:tab/>
          </w:r>
          <w:r>
            <w:fldChar w:fldCharType="begin"/>
          </w:r>
          <w:r>
            <w:instrText xml:space="preserve"> PAGEREF _Toc8332 \h </w:instrText>
          </w:r>
          <w:r>
            <w:fldChar w:fldCharType="separate"/>
          </w:r>
          <w:r>
            <w:t>1</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89EE4F3">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_Toc28765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highlight w:val="none"/>
            </w:rPr>
            <w:t>1.</w:t>
          </w:r>
          <w:r>
            <w:rPr>
              <w:rFonts w:hint="eastAsia" w:ascii="Times New Roman" w:hAnsi="Times New Roman" w:cs="Times New Roman"/>
              <w:highlight w:val="none"/>
              <w:lang w:val="en-US" w:eastAsia="zh-CN"/>
            </w:rPr>
            <w:t>2</w:t>
          </w:r>
          <w:r>
            <w:rPr>
              <w:rFonts w:hint="default" w:ascii="Times New Roman" w:hAnsi="Times New Roman" w:cs="Times New Roman"/>
              <w:highlight w:val="none"/>
            </w:rPr>
            <w:t>规划主要内容</w:t>
          </w:r>
          <w:r>
            <w:tab/>
          </w:r>
          <w:r>
            <w:fldChar w:fldCharType="begin"/>
          </w:r>
          <w:r>
            <w:instrText xml:space="preserve"> PAGEREF _Toc28765 \h </w:instrText>
          </w:r>
          <w:r>
            <w:fldChar w:fldCharType="separate"/>
          </w:r>
          <w:r>
            <w:t>2</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76E1094">
          <w:pPr>
            <w:pStyle w:val="18"/>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_Toc27090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lang w:val="en-US" w:eastAsia="zh-CN"/>
            </w:rPr>
            <w:t xml:space="preserve">2. </w:t>
          </w:r>
          <w:r>
            <w:rPr>
              <w:rFonts w:hint="default" w:ascii="Times New Roman" w:hAnsi="Times New Roman" w:cs="Times New Roman"/>
              <w:highlight w:val="none"/>
            </w:rPr>
            <w:t>保护区基本</w:t>
          </w:r>
          <w:r>
            <w:rPr>
              <w:rFonts w:hint="default" w:ascii="Times New Roman" w:hAnsi="Times New Roman" w:cs="Times New Roman"/>
              <w:highlight w:val="none"/>
              <w:lang w:val="en-US" w:eastAsia="zh-CN"/>
            </w:rPr>
            <w:t>情况</w:t>
          </w:r>
          <w:r>
            <w:tab/>
          </w:r>
          <w:r>
            <w:fldChar w:fldCharType="begin"/>
          </w:r>
          <w:r>
            <w:instrText xml:space="preserve"> PAGEREF _Toc27090 \h </w:instrText>
          </w:r>
          <w:r>
            <w:fldChar w:fldCharType="separate"/>
          </w:r>
          <w:r>
            <w:t>6</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31A4E7A7">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_Toc25961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highlight w:val="none"/>
            </w:rPr>
            <w:t>2.1位置与范围</w:t>
          </w:r>
          <w:r>
            <w:tab/>
          </w:r>
          <w:r>
            <w:fldChar w:fldCharType="begin"/>
          </w:r>
          <w:r>
            <w:instrText xml:space="preserve"> PAGEREF _Toc25961 \h </w:instrText>
          </w:r>
          <w:r>
            <w:fldChar w:fldCharType="separate"/>
          </w:r>
          <w:r>
            <w:t>6</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02C8AEE4">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_Toc4787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highlight w:val="none"/>
            </w:rPr>
            <w:t>2.</w:t>
          </w:r>
          <w:r>
            <w:rPr>
              <w:rFonts w:hint="eastAsia" w:ascii="Times New Roman" w:hAnsi="Times New Roman" w:cs="Times New Roman"/>
              <w:highlight w:val="none"/>
              <w:lang w:val="en-US" w:eastAsia="zh-CN"/>
            </w:rPr>
            <w:t>2</w:t>
          </w:r>
          <w:r>
            <w:rPr>
              <w:rFonts w:hint="default" w:ascii="Times New Roman" w:hAnsi="Times New Roman" w:cs="Times New Roman"/>
              <w:highlight w:val="none"/>
              <w:lang w:val="en-US" w:eastAsia="zh-CN"/>
            </w:rPr>
            <w:t>社区现状</w:t>
          </w:r>
          <w:r>
            <w:tab/>
          </w:r>
          <w:r>
            <w:fldChar w:fldCharType="begin"/>
          </w:r>
          <w:r>
            <w:instrText xml:space="preserve"> PAGEREF _Toc4787 \h </w:instrText>
          </w:r>
          <w:r>
            <w:fldChar w:fldCharType="separate"/>
          </w:r>
          <w:r>
            <w:t>7</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0D196435">
          <w:pPr>
            <w:pStyle w:val="18"/>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_Toc25299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lang w:eastAsia="zh-CN"/>
            </w:rPr>
            <w:t xml:space="preserve">3. </w:t>
          </w:r>
          <w:r>
            <w:rPr>
              <w:rFonts w:hint="eastAsia" w:ascii="Times New Roman" w:hAnsi="Times New Roman" w:cs="Times New Roman"/>
              <w:highlight w:val="none"/>
              <w:lang w:val="en-US" w:eastAsia="zh-CN"/>
            </w:rPr>
            <w:t>规划</w:t>
          </w:r>
          <w:r>
            <w:rPr>
              <w:rFonts w:hint="default" w:ascii="Times New Roman" w:hAnsi="Times New Roman" w:cs="Times New Roman"/>
              <w:highlight w:val="none"/>
              <w:lang w:eastAsia="zh-CN"/>
            </w:rPr>
            <w:t>原则、目标及</w:t>
          </w:r>
          <w:r>
            <w:rPr>
              <w:rFonts w:hint="default" w:ascii="Times New Roman" w:hAnsi="Times New Roman" w:cs="Times New Roman"/>
              <w:highlight w:val="none"/>
              <w:lang w:val="en-US" w:eastAsia="zh-CN"/>
            </w:rPr>
            <w:t>总体布局</w:t>
          </w:r>
          <w:r>
            <w:tab/>
          </w:r>
          <w:r>
            <w:fldChar w:fldCharType="begin"/>
          </w:r>
          <w:r>
            <w:instrText xml:space="preserve"> PAGEREF _Toc25299 \h </w:instrText>
          </w:r>
          <w:r>
            <w:fldChar w:fldCharType="separate"/>
          </w:r>
          <w:r>
            <w:t>8</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16884450">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_Toc486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3.1</w:t>
          </w:r>
          <w:r>
            <w:rPr>
              <w:rFonts w:hint="default" w:ascii="Times New Roman" w:hAnsi="Times New Roman" w:cs="Times New Roman"/>
              <w:highlight w:val="none"/>
              <w:lang w:val="en-US" w:eastAsia="zh-CN"/>
            </w:rPr>
            <w:t>规划</w:t>
          </w:r>
          <w:r>
            <w:rPr>
              <w:rFonts w:hint="default" w:ascii="Times New Roman" w:hAnsi="Times New Roman" w:cs="Times New Roman"/>
              <w:highlight w:val="none"/>
            </w:rPr>
            <w:t>原则</w:t>
          </w:r>
          <w:r>
            <w:tab/>
          </w:r>
          <w:r>
            <w:fldChar w:fldCharType="begin"/>
          </w:r>
          <w:r>
            <w:instrText xml:space="preserve"> PAGEREF _Toc486 \h </w:instrText>
          </w:r>
          <w:r>
            <w:fldChar w:fldCharType="separate"/>
          </w:r>
          <w:r>
            <w:t>8</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592BA425">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_Toc28678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3.2</w:t>
          </w:r>
          <w:r>
            <w:rPr>
              <w:rFonts w:hint="default" w:ascii="Times New Roman" w:hAnsi="Times New Roman" w:cs="Times New Roman"/>
              <w:highlight w:val="none"/>
            </w:rPr>
            <w:t>规划期限</w:t>
          </w:r>
          <w:r>
            <w:tab/>
          </w:r>
          <w:r>
            <w:fldChar w:fldCharType="begin"/>
          </w:r>
          <w:r>
            <w:instrText xml:space="preserve"> PAGEREF _Toc28678 \h </w:instrText>
          </w:r>
          <w:r>
            <w:fldChar w:fldCharType="separate"/>
          </w:r>
          <w:r>
            <w:t>9</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E501432">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_Toc5774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3.3</w:t>
          </w:r>
          <w:r>
            <w:rPr>
              <w:rFonts w:hint="default" w:ascii="Times New Roman" w:hAnsi="Times New Roman" w:cs="Times New Roman"/>
              <w:highlight w:val="none"/>
              <w:lang w:val="en-US" w:eastAsia="zh-CN"/>
            </w:rPr>
            <w:t xml:space="preserve"> 规划目标</w:t>
          </w:r>
          <w:r>
            <w:tab/>
          </w:r>
          <w:r>
            <w:fldChar w:fldCharType="begin"/>
          </w:r>
          <w:r>
            <w:instrText xml:space="preserve"> PAGEREF _Toc5774 \h </w:instrText>
          </w:r>
          <w:r>
            <w:fldChar w:fldCharType="separate"/>
          </w:r>
          <w:r>
            <w:t>9</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67DA237C">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_Toc5999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3</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4</w:t>
          </w:r>
          <w:r>
            <w:rPr>
              <w:rFonts w:hint="default" w:ascii="Times New Roman" w:hAnsi="Times New Roman" w:cs="Times New Roman"/>
              <w:highlight w:val="none"/>
              <w:lang w:val="en-US" w:eastAsia="zh-CN"/>
            </w:rPr>
            <w:t>管控分区</w:t>
          </w:r>
          <w:r>
            <w:tab/>
          </w:r>
          <w:r>
            <w:fldChar w:fldCharType="begin"/>
          </w:r>
          <w:r>
            <w:instrText xml:space="preserve"> PAGEREF _Toc5999 \h </w:instrText>
          </w:r>
          <w:r>
            <w:fldChar w:fldCharType="separate"/>
          </w:r>
          <w:r>
            <w:t>12</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753DFE69">
          <w:pPr>
            <w:pStyle w:val="18"/>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_Toc8660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rPr>
            <w:t xml:space="preserve">4. </w:t>
          </w:r>
          <w:r>
            <w:rPr>
              <w:rFonts w:hint="default" w:ascii="Times New Roman" w:hAnsi="Times New Roman" w:cs="Times New Roman"/>
              <w:highlight w:val="none"/>
            </w:rPr>
            <w:t>主要规划内容</w:t>
          </w:r>
          <w:r>
            <w:tab/>
          </w:r>
          <w:r>
            <w:fldChar w:fldCharType="begin"/>
          </w:r>
          <w:r>
            <w:instrText xml:space="preserve"> PAGEREF _Toc8660 \h </w:instrText>
          </w:r>
          <w:r>
            <w:fldChar w:fldCharType="separate"/>
          </w:r>
          <w:r>
            <w:t>16</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3919BC95">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_Toc23610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rPr>
            <w:t>.1保护管理规划</w:t>
          </w:r>
          <w:r>
            <w:tab/>
          </w:r>
          <w:r>
            <w:fldChar w:fldCharType="begin"/>
          </w:r>
          <w:r>
            <w:instrText xml:space="preserve"> PAGEREF _Toc23610 \h </w:instrText>
          </w:r>
          <w:r>
            <w:fldChar w:fldCharType="separate"/>
          </w:r>
          <w:r>
            <w:t>16</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73A53F02">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_Toc24116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rPr>
            <w:t>.2科研</w:t>
          </w:r>
          <w:r>
            <w:rPr>
              <w:rFonts w:hint="default" w:ascii="Times New Roman" w:hAnsi="Times New Roman" w:cs="Times New Roman"/>
              <w:highlight w:val="none"/>
              <w:lang w:val="en-US" w:eastAsia="zh-CN"/>
            </w:rPr>
            <w:t>和</w:t>
          </w:r>
          <w:r>
            <w:rPr>
              <w:rFonts w:hint="default" w:ascii="Times New Roman" w:hAnsi="Times New Roman" w:cs="Times New Roman"/>
              <w:highlight w:val="none"/>
            </w:rPr>
            <w:t>监测规划</w:t>
          </w:r>
          <w:r>
            <w:tab/>
          </w:r>
          <w:r>
            <w:fldChar w:fldCharType="begin"/>
          </w:r>
          <w:r>
            <w:instrText xml:space="preserve"> PAGEREF _Toc24116 \h </w:instrText>
          </w:r>
          <w:r>
            <w:fldChar w:fldCharType="separate"/>
          </w:r>
          <w:r>
            <w:t>27</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00CB4ACC">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_Toc19186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lang w:val="en-US" w:eastAsia="zh-CN"/>
            </w:rPr>
            <w:t>.3生态修复规划</w:t>
          </w:r>
          <w:r>
            <w:tab/>
          </w:r>
          <w:r>
            <w:fldChar w:fldCharType="begin"/>
          </w:r>
          <w:r>
            <w:instrText xml:space="preserve"> PAGEREF _Toc19186 \h </w:instrText>
          </w:r>
          <w:r>
            <w:fldChar w:fldCharType="separate"/>
          </w:r>
          <w:r>
            <w:t>42</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7F2A4D8A">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_Toc23074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rPr>
            <w:t>.</w:t>
          </w:r>
          <w:r>
            <w:rPr>
              <w:rFonts w:hint="default" w:ascii="Times New Roman" w:hAnsi="Times New Roman" w:cs="Times New Roman"/>
              <w:highlight w:val="none"/>
              <w:lang w:val="en-US" w:eastAsia="zh-CN"/>
            </w:rPr>
            <w:t>4公共服务规划和资源科学保护与合理利用</w:t>
          </w:r>
          <w:r>
            <w:tab/>
          </w:r>
          <w:r>
            <w:fldChar w:fldCharType="begin"/>
          </w:r>
          <w:r>
            <w:instrText xml:space="preserve"> PAGEREF _Toc23074 \h </w:instrText>
          </w:r>
          <w:r>
            <w:fldChar w:fldCharType="separate"/>
          </w:r>
          <w:r>
            <w:t>44</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5A1D4BD">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_Toc25604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lang w:val="en-US" w:eastAsia="zh-CN"/>
            </w:rPr>
            <w:t>.5防灾减灾和应急保障规划</w:t>
          </w:r>
          <w:r>
            <w:tab/>
          </w:r>
          <w:r>
            <w:fldChar w:fldCharType="begin"/>
          </w:r>
          <w:r>
            <w:instrText xml:space="preserve"> PAGEREF _Toc25604 \h </w:instrText>
          </w:r>
          <w:r>
            <w:fldChar w:fldCharType="separate"/>
          </w:r>
          <w:r>
            <w:t>54</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41E8D276">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_Toc14586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rPr>
            <w:t>.</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基础设施规划</w:t>
          </w:r>
          <w:r>
            <w:tab/>
          </w:r>
          <w:r>
            <w:fldChar w:fldCharType="begin"/>
          </w:r>
          <w:r>
            <w:instrText xml:space="preserve"> PAGEREF _Toc14586 \h </w:instrText>
          </w:r>
          <w:r>
            <w:fldChar w:fldCharType="separate"/>
          </w:r>
          <w:r>
            <w:t>60</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C831F1F">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_Toc22390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4</w:t>
          </w:r>
          <w:r>
            <w:rPr>
              <w:rFonts w:hint="default" w:ascii="Times New Roman" w:hAnsi="Times New Roman" w:cs="Times New Roman"/>
              <w:highlight w:val="none"/>
              <w:lang w:val="en-US" w:eastAsia="zh-CN"/>
            </w:rPr>
            <w:t>.7 原有居民生产活动安排</w:t>
          </w:r>
          <w:r>
            <w:tab/>
          </w:r>
          <w:r>
            <w:fldChar w:fldCharType="begin"/>
          </w:r>
          <w:r>
            <w:instrText xml:space="preserve"> PAGEREF _Toc22390 \h </w:instrText>
          </w:r>
          <w:r>
            <w:fldChar w:fldCharType="separate"/>
          </w:r>
          <w:r>
            <w:t>61</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43999EFE">
          <w:pPr>
            <w:pStyle w:val="18"/>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_Toc1113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rPr>
            <w:t xml:space="preserve">5. </w:t>
          </w:r>
          <w:r>
            <w:rPr>
              <w:rFonts w:hint="default" w:ascii="Times New Roman" w:hAnsi="Times New Roman" w:cs="Times New Roman"/>
              <w:highlight w:val="none"/>
            </w:rPr>
            <w:t>重点建设工程</w:t>
          </w:r>
          <w:r>
            <w:tab/>
          </w:r>
          <w:r>
            <w:fldChar w:fldCharType="begin"/>
          </w:r>
          <w:r>
            <w:instrText xml:space="preserve"> PAGEREF _Toc1113 \h </w:instrText>
          </w:r>
          <w:r>
            <w:fldChar w:fldCharType="separate"/>
          </w:r>
          <w:r>
            <w:t>63</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0070DACC">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_Toc858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rPr>
            <w:t>.1保护</w:t>
          </w:r>
          <w:r>
            <w:rPr>
              <w:rFonts w:hint="default" w:ascii="Times New Roman" w:hAnsi="Times New Roman" w:cs="Times New Roman"/>
              <w:highlight w:val="none"/>
              <w:lang w:val="en-US" w:eastAsia="zh-CN"/>
            </w:rPr>
            <w:t>管理工程</w:t>
          </w:r>
          <w:r>
            <w:tab/>
          </w:r>
          <w:r>
            <w:fldChar w:fldCharType="begin"/>
          </w:r>
          <w:r>
            <w:instrText xml:space="preserve"> PAGEREF _Toc858 \h </w:instrText>
          </w:r>
          <w:r>
            <w:fldChar w:fldCharType="separate"/>
          </w:r>
          <w:r>
            <w:t>63</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C19AF7B">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_Toc22862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rPr>
            <w:t>.2科研</w:t>
          </w:r>
          <w:r>
            <w:rPr>
              <w:rFonts w:hint="default" w:ascii="Times New Roman" w:hAnsi="Times New Roman" w:cs="Times New Roman"/>
              <w:highlight w:val="none"/>
              <w:lang w:val="en-US" w:eastAsia="zh-CN"/>
            </w:rPr>
            <w:t>和</w:t>
          </w:r>
          <w:r>
            <w:rPr>
              <w:rFonts w:hint="default" w:ascii="Times New Roman" w:hAnsi="Times New Roman" w:cs="Times New Roman"/>
              <w:highlight w:val="none"/>
            </w:rPr>
            <w:t>监测工程</w:t>
          </w:r>
          <w:r>
            <w:tab/>
          </w:r>
          <w:r>
            <w:fldChar w:fldCharType="begin"/>
          </w:r>
          <w:r>
            <w:instrText xml:space="preserve"> PAGEREF _Toc22862 \h </w:instrText>
          </w:r>
          <w:r>
            <w:fldChar w:fldCharType="separate"/>
          </w:r>
          <w:r>
            <w:t>65</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53A24B5A">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_Toc29370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.3 生态修复工程</w:t>
          </w:r>
          <w:r>
            <w:tab/>
          </w:r>
          <w:r>
            <w:fldChar w:fldCharType="begin"/>
          </w:r>
          <w:r>
            <w:instrText xml:space="preserve"> PAGEREF _Toc29370 \h </w:instrText>
          </w:r>
          <w:r>
            <w:fldChar w:fldCharType="separate"/>
          </w:r>
          <w:r>
            <w:t>67</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4801815F">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_Toc22536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rPr>
            <w:t>.</w:t>
          </w:r>
          <w:r>
            <w:rPr>
              <w:rFonts w:hint="default" w:ascii="Times New Roman" w:hAnsi="Times New Roman" w:cs="Times New Roman"/>
              <w:highlight w:val="none"/>
              <w:lang w:val="en-US" w:eastAsia="zh-CN"/>
            </w:rPr>
            <w:t>4公共服务</w:t>
          </w:r>
          <w:r>
            <w:rPr>
              <w:rFonts w:hint="default" w:ascii="Times New Roman" w:hAnsi="Times New Roman" w:cs="Times New Roman"/>
              <w:highlight w:val="none"/>
            </w:rPr>
            <w:t>工程</w:t>
          </w:r>
          <w:r>
            <w:tab/>
          </w:r>
          <w:r>
            <w:fldChar w:fldCharType="begin"/>
          </w:r>
          <w:r>
            <w:instrText xml:space="preserve"> PAGEREF _Toc22536 \h </w:instrText>
          </w:r>
          <w:r>
            <w:fldChar w:fldCharType="separate"/>
          </w:r>
          <w:r>
            <w:t>68</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40D7C522">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_Toc18714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.5防灾减灾工程</w:t>
          </w:r>
          <w:r>
            <w:tab/>
          </w:r>
          <w:r>
            <w:fldChar w:fldCharType="begin"/>
          </w:r>
          <w:r>
            <w:instrText xml:space="preserve"> PAGEREF _Toc18714 \h </w:instrText>
          </w:r>
          <w:r>
            <w:fldChar w:fldCharType="separate"/>
          </w:r>
          <w:r>
            <w:t>69</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046E6729">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_Toc12771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.6基础设施工程</w:t>
          </w:r>
          <w:r>
            <w:tab/>
          </w:r>
          <w:r>
            <w:fldChar w:fldCharType="begin"/>
          </w:r>
          <w:r>
            <w:instrText xml:space="preserve"> PAGEREF _Toc12771 \h </w:instrText>
          </w:r>
          <w:r>
            <w:fldChar w:fldCharType="separate"/>
          </w:r>
          <w:r>
            <w:t>69</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5B18773A">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_Toc9915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.7原有居民生产生活活动保障工程</w:t>
          </w:r>
          <w:r>
            <w:tab/>
          </w:r>
          <w:r>
            <w:fldChar w:fldCharType="begin"/>
          </w:r>
          <w:r>
            <w:instrText xml:space="preserve"> PAGEREF _Toc9915 \h </w:instrText>
          </w:r>
          <w:r>
            <w:fldChar w:fldCharType="separate"/>
          </w:r>
          <w:r>
            <w:t>70</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5ED5E2DE">
          <w:pPr>
            <w:pStyle w:val="18"/>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_Toc20747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cs="Times New Roman"/>
            </w:rPr>
            <w:t xml:space="preserve">6. </w:t>
          </w:r>
          <w:r>
            <w:rPr>
              <w:rFonts w:hint="default" w:ascii="Times New Roman" w:hAnsi="Times New Roman" w:cs="Times New Roman"/>
              <w:highlight w:val="none"/>
            </w:rPr>
            <w:t>投资估算</w:t>
          </w:r>
          <w:r>
            <w:tab/>
          </w:r>
          <w:r>
            <w:fldChar w:fldCharType="begin"/>
          </w:r>
          <w:r>
            <w:instrText xml:space="preserve"> PAGEREF _Toc20747 \h </w:instrText>
          </w:r>
          <w:r>
            <w:fldChar w:fldCharType="separate"/>
          </w:r>
          <w:r>
            <w:t>71</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1C55FA10">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_Toc13379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6</w:t>
          </w:r>
          <w:r>
            <w:rPr>
              <w:rFonts w:hint="default" w:ascii="Times New Roman" w:hAnsi="Times New Roman" w:cs="Times New Roman"/>
              <w:highlight w:val="none"/>
            </w:rPr>
            <w:t>.1投资估算</w:t>
          </w:r>
          <w:r>
            <w:tab/>
          </w:r>
          <w:r>
            <w:fldChar w:fldCharType="begin"/>
          </w:r>
          <w:r>
            <w:instrText xml:space="preserve"> PAGEREF _Toc13379 \h </w:instrText>
          </w:r>
          <w:r>
            <w:fldChar w:fldCharType="separate"/>
          </w:r>
          <w:r>
            <w:t>71</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33648307">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_Toc11791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6</w:t>
          </w:r>
          <w:r>
            <w:rPr>
              <w:rFonts w:hint="default" w:ascii="Times New Roman" w:hAnsi="Times New Roman" w:cs="Times New Roman"/>
              <w:highlight w:val="none"/>
            </w:rPr>
            <w:t>.2投资安排</w:t>
          </w:r>
          <w:r>
            <w:tab/>
          </w:r>
          <w:r>
            <w:fldChar w:fldCharType="begin"/>
          </w:r>
          <w:r>
            <w:instrText xml:space="preserve"> PAGEREF _Toc11791 \h </w:instrText>
          </w:r>
          <w:r>
            <w:fldChar w:fldCharType="separate"/>
          </w:r>
          <w:r>
            <w:t>71</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11174186">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_Toc14468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6</w:t>
          </w:r>
          <w:r>
            <w:rPr>
              <w:rFonts w:hint="default" w:ascii="Times New Roman" w:hAnsi="Times New Roman" w:cs="Times New Roman"/>
              <w:highlight w:val="none"/>
            </w:rPr>
            <w:t>.</w:t>
          </w:r>
          <w:r>
            <w:rPr>
              <w:rFonts w:hint="default" w:ascii="Times New Roman" w:hAnsi="Times New Roman" w:cs="Times New Roman"/>
              <w:highlight w:val="none"/>
              <w:lang w:val="en-US" w:eastAsia="zh-CN"/>
            </w:rPr>
            <w:t>3资金来源</w:t>
          </w:r>
          <w:r>
            <w:tab/>
          </w:r>
          <w:r>
            <w:fldChar w:fldCharType="begin"/>
          </w:r>
          <w:r>
            <w:instrText xml:space="preserve"> PAGEREF _Toc14468 \h </w:instrText>
          </w:r>
          <w:r>
            <w:fldChar w:fldCharType="separate"/>
          </w:r>
          <w:r>
            <w:t>72</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48AA1455">
          <w:pPr>
            <w:pStyle w:val="18"/>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_Toc19213 </w:instrText>
          </w:r>
          <w:r>
            <w:rPr>
              <w:rFonts w:hint="default" w:ascii="Times New Roman" w:hAnsi="Times New Roman" w:eastAsia="仿宋" w:cs="Times New Roman"/>
              <w:bCs/>
              <w:kern w:val="2"/>
              <w:szCs w:val="24"/>
              <w:highlight w:val="none"/>
              <w:lang w:val="en-US" w:eastAsia="zh-CN" w:bidi="ar-SA"/>
            </w:rPr>
            <w:fldChar w:fldCharType="separate"/>
          </w:r>
          <w:r>
            <w:rPr>
              <w:rFonts w:hint="default" w:ascii="Times New Roman" w:hAnsi="Times New Roman" w:eastAsia="黑体" w:cs="Times New Roman"/>
              <w:lang w:val="en-US" w:eastAsia="zh-CN"/>
            </w:rPr>
            <w:t xml:space="preserve">7. </w:t>
          </w:r>
          <w:r>
            <w:rPr>
              <w:rFonts w:hint="default" w:ascii="Times New Roman" w:hAnsi="Times New Roman" w:cs="Times New Roman"/>
              <w:highlight w:val="none"/>
              <w:lang w:val="en-US" w:eastAsia="zh-CN"/>
            </w:rPr>
            <w:t>效益评价</w:t>
          </w:r>
          <w:r>
            <w:tab/>
          </w:r>
          <w:r>
            <w:fldChar w:fldCharType="begin"/>
          </w:r>
          <w:r>
            <w:instrText xml:space="preserve"> PAGEREF _Toc19213 \h </w:instrText>
          </w:r>
          <w:r>
            <w:fldChar w:fldCharType="separate"/>
          </w:r>
          <w:r>
            <w:t>73</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2DF319FE">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_Toc29029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7</w:t>
          </w:r>
          <w:r>
            <w:rPr>
              <w:rFonts w:hint="default" w:ascii="Times New Roman" w:hAnsi="Times New Roman" w:cs="Times New Roman"/>
              <w:highlight w:val="none"/>
              <w:lang w:val="en-US" w:eastAsia="zh-CN"/>
            </w:rPr>
            <w:t>.1生态效益</w:t>
          </w:r>
          <w:r>
            <w:tab/>
          </w:r>
          <w:r>
            <w:fldChar w:fldCharType="begin"/>
          </w:r>
          <w:r>
            <w:instrText xml:space="preserve"> PAGEREF _Toc29029 \h </w:instrText>
          </w:r>
          <w:r>
            <w:fldChar w:fldCharType="separate"/>
          </w:r>
          <w:r>
            <w:t>73</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05B42B29">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_Toc18801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7</w:t>
          </w:r>
          <w:r>
            <w:rPr>
              <w:rFonts w:hint="default" w:ascii="Times New Roman" w:hAnsi="Times New Roman" w:cs="Times New Roman"/>
              <w:highlight w:val="none"/>
              <w:lang w:val="en-US" w:eastAsia="zh-CN"/>
            </w:rPr>
            <w:t>.2 社会效益​</w:t>
          </w:r>
          <w:r>
            <w:tab/>
          </w:r>
          <w:r>
            <w:fldChar w:fldCharType="begin"/>
          </w:r>
          <w:r>
            <w:instrText xml:space="preserve"> PAGEREF _Toc18801 \h </w:instrText>
          </w:r>
          <w:r>
            <w:fldChar w:fldCharType="separate"/>
          </w:r>
          <w:r>
            <w:t>74</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44B6A1A5">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_Toc28998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7</w:t>
          </w:r>
          <w:r>
            <w:rPr>
              <w:rFonts w:hint="default" w:ascii="Times New Roman" w:hAnsi="Times New Roman" w:cs="Times New Roman"/>
              <w:highlight w:val="none"/>
              <w:lang w:val="en-US" w:eastAsia="zh-CN"/>
            </w:rPr>
            <w:t>.3 经济效益</w:t>
          </w:r>
          <w:r>
            <w:tab/>
          </w:r>
          <w:r>
            <w:fldChar w:fldCharType="begin"/>
          </w:r>
          <w:r>
            <w:instrText xml:space="preserve"> PAGEREF _Toc28998 \h </w:instrText>
          </w:r>
          <w:r>
            <w:fldChar w:fldCharType="separate"/>
          </w:r>
          <w:r>
            <w:t>74</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158FAFB5">
          <w:pPr>
            <w:pStyle w:val="20"/>
            <w:tabs>
              <w:tab w:val="right" w:leader="dot" w:pos="8867"/>
            </w:tabs>
          </w:pPr>
          <w:r>
            <w:rPr>
              <w:rFonts w:hint="default" w:ascii="Times New Roman" w:hAnsi="Times New Roman" w:eastAsia="仿宋" w:cs="Times New Roman"/>
              <w:bCs/>
              <w:color w:val="auto"/>
              <w:kern w:val="2"/>
              <w:szCs w:val="24"/>
              <w:highlight w:val="none"/>
              <w:lang w:val="en-US" w:eastAsia="zh-CN" w:bidi="ar-SA"/>
            </w:rPr>
            <w:fldChar w:fldCharType="begin"/>
          </w:r>
          <w:r>
            <w:rPr>
              <w:rFonts w:hint="default" w:ascii="Times New Roman" w:hAnsi="Times New Roman" w:eastAsia="仿宋" w:cs="Times New Roman"/>
              <w:bCs/>
              <w:kern w:val="2"/>
              <w:szCs w:val="24"/>
              <w:highlight w:val="none"/>
              <w:lang w:val="en-US" w:eastAsia="zh-CN" w:bidi="ar-SA"/>
            </w:rPr>
            <w:instrText xml:space="preserve"> HYPERLINK \l _Toc30284 </w:instrText>
          </w:r>
          <w:r>
            <w:rPr>
              <w:rFonts w:hint="default" w:ascii="Times New Roman" w:hAnsi="Times New Roman" w:eastAsia="仿宋" w:cs="Times New Roman"/>
              <w:bCs/>
              <w:kern w:val="2"/>
              <w:szCs w:val="24"/>
              <w:highlight w:val="none"/>
              <w:lang w:val="en-US" w:eastAsia="zh-CN" w:bidi="ar-SA"/>
            </w:rPr>
            <w:fldChar w:fldCharType="separate"/>
          </w:r>
          <w:r>
            <w:rPr>
              <w:rFonts w:hint="eastAsia" w:ascii="Times New Roman" w:hAnsi="Times New Roman" w:cs="Times New Roman"/>
              <w:highlight w:val="none"/>
              <w:lang w:val="en-US" w:eastAsia="zh-CN"/>
            </w:rPr>
            <w:t>7</w:t>
          </w:r>
          <w:r>
            <w:rPr>
              <w:rFonts w:hint="default" w:ascii="Times New Roman" w:hAnsi="Times New Roman" w:cs="Times New Roman"/>
              <w:highlight w:val="none"/>
              <w:lang w:val="en-US" w:eastAsia="zh-CN"/>
            </w:rPr>
            <w:t>.4 总体评价</w:t>
          </w:r>
          <w:r>
            <w:tab/>
          </w:r>
          <w:r>
            <w:fldChar w:fldCharType="begin"/>
          </w:r>
          <w:r>
            <w:instrText xml:space="preserve"> PAGEREF _Toc30284 \h </w:instrText>
          </w:r>
          <w:r>
            <w:fldChar w:fldCharType="separate"/>
          </w:r>
          <w:r>
            <w:t>75</w:t>
          </w:r>
          <w:r>
            <w:fldChar w:fldCharType="end"/>
          </w:r>
          <w:r>
            <w:rPr>
              <w:rFonts w:hint="default" w:ascii="Times New Roman" w:hAnsi="Times New Roman" w:eastAsia="仿宋" w:cs="Times New Roman"/>
              <w:bCs/>
              <w:color w:val="auto"/>
              <w:kern w:val="2"/>
              <w:szCs w:val="24"/>
              <w:highlight w:val="none"/>
              <w:lang w:val="en-US" w:eastAsia="zh-CN" w:bidi="ar-SA"/>
            </w:rPr>
            <w:fldChar w:fldCharType="end"/>
          </w:r>
        </w:p>
        <w:p w14:paraId="1C2C325E">
          <w:pPr>
            <w:pStyle w:val="9"/>
            <w:ind w:firstLine="0" w:firstLineChars="0"/>
            <w:rPr>
              <w:rFonts w:hint="default" w:ascii="Times New Roman" w:hAnsi="Times New Roman" w:eastAsia="仿宋" w:cs="Times New Roman"/>
              <w:bCs/>
              <w:color w:val="auto"/>
              <w:kern w:val="2"/>
              <w:sz w:val="28"/>
              <w:szCs w:val="24"/>
              <w:highlight w:val="none"/>
              <w:lang w:val="en-US" w:eastAsia="zh-CN" w:bidi="ar-SA"/>
            </w:rPr>
          </w:pPr>
          <w:r>
            <w:rPr>
              <w:rFonts w:hint="default" w:ascii="Times New Roman" w:hAnsi="Times New Roman" w:eastAsia="仿宋" w:cs="Times New Roman"/>
              <w:bCs/>
              <w:color w:val="auto"/>
              <w:kern w:val="2"/>
              <w:szCs w:val="24"/>
              <w:highlight w:val="none"/>
              <w:lang w:val="en-US" w:eastAsia="zh-CN" w:bidi="ar-SA"/>
            </w:rPr>
            <w:fldChar w:fldCharType="end"/>
          </w:r>
        </w:p>
      </w:sdtContent>
    </w:sdt>
    <w:p w14:paraId="1BB8B86C">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附图：</w:t>
      </w:r>
    </w:p>
    <w:p w14:paraId="47199456">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附图1.</w:t>
      </w:r>
      <w:r>
        <w:rPr>
          <w:rFonts w:hint="default" w:ascii="Times New Roman" w:hAnsi="Times New Roman" w:cs="Times New Roman"/>
          <w:color w:val="auto"/>
          <w:highlight w:val="none"/>
          <w:lang w:eastAsia="zh-CN"/>
        </w:rPr>
        <w:t>四川若尔盖湿地国家级自然保护区</w:t>
      </w:r>
      <w:r>
        <w:rPr>
          <w:rFonts w:hint="default" w:ascii="Times New Roman" w:hAnsi="Times New Roman" w:cs="Times New Roman"/>
          <w:color w:val="auto"/>
          <w:highlight w:val="none"/>
        </w:rPr>
        <w:t>位置示意图</w:t>
      </w:r>
    </w:p>
    <w:p w14:paraId="64A692D2">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附图</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四川若尔盖湿地国家级自然保护区</w:t>
      </w:r>
      <w:r>
        <w:rPr>
          <w:rFonts w:hint="default" w:ascii="Times New Roman" w:hAnsi="Times New Roman" w:cs="Times New Roman"/>
          <w:color w:val="auto"/>
          <w:highlight w:val="none"/>
        </w:rPr>
        <w:t>功能区划图</w:t>
      </w:r>
    </w:p>
    <w:p w14:paraId="1F384278">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附图</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四川若尔盖湿地国家级自然保护区</w:t>
      </w:r>
      <w:r>
        <w:rPr>
          <w:rFonts w:hint="default" w:ascii="Times New Roman" w:hAnsi="Times New Roman" w:cs="Times New Roman"/>
          <w:color w:val="auto"/>
          <w:highlight w:val="none"/>
        </w:rPr>
        <w:t>总体规划建设总体布局图</w:t>
      </w:r>
    </w:p>
    <w:p w14:paraId="056E74EB">
      <w:pPr>
        <w:pStyle w:val="2"/>
        <w:numPr>
          <w:ilvl w:val="0"/>
          <w:numId w:val="1"/>
        </w:numPr>
        <w:spacing w:after="156"/>
        <w:rPr>
          <w:rFonts w:hint="default" w:ascii="Times New Roman" w:hAnsi="Times New Roman" w:cs="Times New Roman"/>
          <w:color w:val="auto"/>
          <w:highlight w:val="none"/>
        </w:rPr>
        <w:sectPr>
          <w:footerReference r:id="rId7" w:type="default"/>
          <w:pgSz w:w="11906" w:h="16838"/>
          <w:pgMar w:top="1440" w:right="1463" w:bottom="1440" w:left="1576" w:header="851" w:footer="992" w:gutter="0"/>
          <w:pgBorders>
            <w:top w:val="none" w:sz="0" w:space="0"/>
            <w:left w:val="none" w:sz="0" w:space="0"/>
            <w:bottom w:val="none" w:sz="0" w:space="0"/>
            <w:right w:val="none" w:sz="0" w:space="0"/>
          </w:pgBorders>
          <w:pgNumType w:fmt="upperRoman" w:start="1"/>
          <w:cols w:space="0" w:num="1"/>
          <w:docGrid w:type="lines" w:linePitch="312" w:charSpace="0"/>
        </w:sectPr>
      </w:pPr>
    </w:p>
    <w:p w14:paraId="66D2A6D0">
      <w:pPr>
        <w:pStyle w:val="2"/>
        <w:numPr>
          <w:ilvl w:val="0"/>
          <w:numId w:val="2"/>
        </w:numPr>
        <w:spacing w:after="156"/>
        <w:ind w:left="0" w:leftChars="0" w:firstLine="0" w:firstLineChars="0"/>
        <w:rPr>
          <w:rFonts w:hint="default" w:ascii="Times New Roman" w:hAnsi="Times New Roman" w:cs="Times New Roman"/>
          <w:b w:val="0"/>
          <w:bCs/>
          <w:color w:val="auto"/>
          <w:sz w:val="44"/>
          <w:szCs w:val="52"/>
          <w:highlight w:val="none"/>
        </w:rPr>
      </w:pPr>
      <w:bookmarkStart w:id="0" w:name="_Toc3217"/>
      <w:bookmarkStart w:id="1" w:name="_Toc27558"/>
      <w:r>
        <w:rPr>
          <w:rFonts w:hint="default" w:ascii="Times New Roman" w:hAnsi="Times New Roman" w:cs="Times New Roman"/>
          <w:b w:val="0"/>
          <w:bCs/>
          <w:color w:val="auto"/>
          <w:sz w:val="44"/>
          <w:szCs w:val="52"/>
          <w:highlight w:val="none"/>
        </w:rPr>
        <w:t>总 论</w:t>
      </w:r>
      <w:bookmarkEnd w:id="0"/>
      <w:bookmarkEnd w:id="1"/>
    </w:p>
    <w:p w14:paraId="34E2A8FD">
      <w:pPr>
        <w:pStyle w:val="3"/>
        <w:rPr>
          <w:rFonts w:hint="default" w:ascii="Times New Roman" w:hAnsi="Times New Roman" w:cs="Times New Roman"/>
          <w:color w:val="auto"/>
          <w:highlight w:val="none"/>
        </w:rPr>
      </w:pPr>
      <w:bookmarkStart w:id="2" w:name="_Toc32494"/>
      <w:bookmarkStart w:id="3" w:name="_Toc8332"/>
      <w:r>
        <w:rPr>
          <w:rFonts w:hint="default" w:ascii="Times New Roman" w:hAnsi="Times New Roman" w:cs="Times New Roman"/>
          <w:color w:val="auto"/>
          <w:highlight w:val="none"/>
        </w:rPr>
        <w:t>1.1保护区概况</w:t>
      </w:r>
      <w:bookmarkEnd w:id="2"/>
      <w:bookmarkEnd w:id="3"/>
    </w:p>
    <w:p w14:paraId="58A133E4">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若尔盖自然保护区</w:t>
      </w:r>
      <w:r>
        <w:rPr>
          <w:rFonts w:hint="default" w:ascii="Times New Roman" w:hAnsi="Times New Roman" w:cs="Times New Roman"/>
          <w:color w:val="auto"/>
          <w:highlight w:val="none"/>
        </w:rPr>
        <w:t>地处四川省阿坝藏族羌族自治州若尔盖县境内，保护区地理位置东经 102°28′36″-102°58′11″和北纬 33°25′54″-34°00′02″，东西宽 97 公里，南北长 90 公里。四川省自然保护地整合优化成果</w:t>
      </w:r>
      <w:r>
        <w:rPr>
          <w:rFonts w:hint="eastAsia" w:ascii="Times New Roman" w:hAnsi="Times New Roman" w:cs="Times New Roman"/>
          <w:color w:val="auto"/>
          <w:highlight w:val="none"/>
          <w:lang w:val="en-US" w:eastAsia="zh-CN"/>
        </w:rPr>
        <w:t>将</w:t>
      </w:r>
      <w:r>
        <w:rPr>
          <w:rFonts w:hint="default" w:ascii="Times New Roman" w:hAnsi="Times New Roman" w:cs="Times New Roman"/>
          <w:color w:val="auto"/>
          <w:highlight w:val="none"/>
        </w:rPr>
        <w:t>原四川喀哈尔乔湿地自然保护区和原四川若尔盖国家湿地公园全部纳入四川若尔盖湿地国家级自然保护区范围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保护区面积由原来的166570.6公顷扩大至396526.38公顷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其中核心保护区</w:t>
      </w:r>
      <w:r>
        <w:rPr>
          <w:rFonts w:hint="default" w:ascii="Times New Roman" w:hAnsi="Times New Roman" w:cs="Times New Roman"/>
          <w:color w:val="auto"/>
          <w:highlight w:val="none"/>
          <w:lang w:val="en-US" w:eastAsia="zh-CN"/>
        </w:rPr>
        <w:t>261404.64</w:t>
      </w:r>
      <w:r>
        <w:rPr>
          <w:rFonts w:hint="default" w:ascii="Times New Roman" w:hAnsi="Times New Roman" w:cs="Times New Roman"/>
          <w:color w:val="auto"/>
          <w:highlight w:val="none"/>
        </w:rPr>
        <w:t>公顷，一般控制区</w:t>
      </w:r>
      <w:r>
        <w:rPr>
          <w:rFonts w:hint="default" w:ascii="Times New Roman" w:hAnsi="Times New Roman" w:cs="Times New Roman"/>
          <w:color w:val="auto"/>
          <w:highlight w:val="none"/>
          <w:lang w:val="en-US" w:eastAsia="zh-CN"/>
        </w:rPr>
        <w:t>132421.74</w:t>
      </w:r>
      <w:r>
        <w:rPr>
          <w:rFonts w:hint="default" w:ascii="Times New Roman" w:hAnsi="Times New Roman" w:cs="Times New Roman"/>
          <w:color w:val="auto"/>
          <w:highlight w:val="none"/>
        </w:rPr>
        <w:t>公顷。</w:t>
      </w:r>
    </w:p>
    <w:p w14:paraId="5316A81F">
      <w:pPr>
        <w:pStyle w:val="14"/>
        <w:jc w:val="center"/>
        <w:rPr>
          <w:rFonts w:hint="eastAsia" w:eastAsia="仿宋"/>
          <w:lang w:eastAsia="zh-CN"/>
        </w:rPr>
      </w:pPr>
      <w:r>
        <w:rPr>
          <w:rFonts w:hint="eastAsia" w:eastAsia="仿宋"/>
          <w:lang w:eastAsia="zh-CN"/>
        </w:rPr>
        <w:drawing>
          <wp:inline distT="0" distB="0" distL="114300" distR="114300">
            <wp:extent cx="2936875" cy="4152900"/>
            <wp:effectExtent l="0" t="0" r="15875" b="0"/>
            <wp:docPr id="3" name="图片 3" descr="附图1位置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图1位置示意图"/>
                    <pic:cNvPicPr>
                      <a:picLocks noChangeAspect="1"/>
                    </pic:cNvPicPr>
                  </pic:nvPicPr>
                  <pic:blipFill>
                    <a:blip r:embed="rId11"/>
                    <a:stretch>
                      <a:fillRect/>
                    </a:stretch>
                  </pic:blipFill>
                  <pic:spPr>
                    <a:xfrm>
                      <a:off x="0" y="0"/>
                      <a:ext cx="2936875" cy="4152900"/>
                    </a:xfrm>
                    <a:prstGeom prst="rect">
                      <a:avLst/>
                    </a:prstGeom>
                  </pic:spPr>
                </pic:pic>
              </a:graphicData>
            </a:graphic>
          </wp:inline>
        </w:drawing>
      </w:r>
    </w:p>
    <w:p w14:paraId="157C3A63">
      <w:pPr>
        <w:widowControl/>
        <w:spacing w:line="240" w:lineRule="auto"/>
        <w:ind w:firstLine="0" w:firstLineChars="0"/>
        <w:jc w:val="center"/>
        <w:rPr>
          <w:rFonts w:hint="eastAsia" w:eastAsia="仿宋"/>
          <w:lang w:eastAsia="zh-CN"/>
        </w:rPr>
      </w:pPr>
      <w:r>
        <w:rPr>
          <w:rFonts w:hint="default" w:ascii="Times New Roman" w:hAnsi="Times New Roman" w:cs="Times New Roman"/>
          <w:b/>
          <w:bCs/>
          <w:sz w:val="28"/>
          <w:szCs w:val="28"/>
          <w:highlight w:val="none"/>
          <w:lang w:val="en-US" w:eastAsia="zh-CN"/>
        </w:rPr>
        <w:t>图</w:t>
      </w:r>
      <w:r>
        <w:rPr>
          <w:rFonts w:hint="eastAsia" w:ascii="Times New Roman" w:hAnsi="Times New Roman" w:cs="Times New Roman"/>
          <w:b/>
          <w:bCs/>
          <w:sz w:val="28"/>
          <w:szCs w:val="28"/>
          <w:highlight w:val="none"/>
          <w:lang w:val="en-US" w:eastAsia="zh-CN"/>
        </w:rPr>
        <w:t>1</w:t>
      </w:r>
      <w:r>
        <w:rPr>
          <w:rFonts w:hint="default" w:ascii="Times New Roman" w:hAnsi="Times New Roman" w:cs="Times New Roman"/>
          <w:b/>
          <w:bCs/>
          <w:sz w:val="28"/>
          <w:szCs w:val="28"/>
          <w:highlight w:val="none"/>
          <w:lang w:val="en-US" w:eastAsia="zh-CN"/>
        </w:rPr>
        <w:t>-1-1</w:t>
      </w:r>
      <w:r>
        <w:rPr>
          <w:rFonts w:hint="default" w:ascii="Times New Roman" w:hAnsi="Times New Roman" w:eastAsia="仿宋" w:cs="Times New Roman"/>
          <w:b/>
          <w:bCs/>
          <w:sz w:val="28"/>
          <w:szCs w:val="28"/>
          <w:highlight w:val="none"/>
        </w:rPr>
        <w:t xml:space="preserve"> </w:t>
      </w:r>
      <w:r>
        <w:rPr>
          <w:rFonts w:hint="default" w:ascii="Times New Roman" w:hAnsi="Times New Roman" w:cs="Times New Roman"/>
          <w:b/>
          <w:bCs/>
          <w:sz w:val="28"/>
          <w:szCs w:val="28"/>
          <w:highlight w:val="none"/>
          <w:lang w:val="en-US" w:eastAsia="zh-CN"/>
        </w:rPr>
        <w:t>保护区</w:t>
      </w:r>
      <w:r>
        <w:rPr>
          <w:rFonts w:hint="eastAsia" w:ascii="Times New Roman" w:hAnsi="Times New Roman" w:cs="Times New Roman"/>
          <w:b/>
          <w:bCs/>
          <w:sz w:val="28"/>
          <w:szCs w:val="28"/>
          <w:highlight w:val="none"/>
          <w:lang w:val="en-US" w:eastAsia="zh-CN"/>
        </w:rPr>
        <w:t>位置</w:t>
      </w:r>
      <w:r>
        <w:rPr>
          <w:rFonts w:hint="default" w:ascii="Times New Roman" w:hAnsi="Times New Roman" w:cs="Times New Roman"/>
          <w:b/>
          <w:bCs/>
          <w:sz w:val="28"/>
          <w:szCs w:val="28"/>
          <w:highlight w:val="none"/>
          <w:lang w:val="en-US" w:eastAsia="zh-CN"/>
        </w:rPr>
        <w:t>图</w:t>
      </w:r>
    </w:p>
    <w:p w14:paraId="2DB74CDC">
      <w:pPr>
        <w:pStyle w:val="4"/>
        <w:rPr>
          <w:rFonts w:hint="default" w:ascii="Times New Roman" w:hAnsi="Times New Roman" w:cs="Times New Roman"/>
          <w:color w:val="auto"/>
          <w:highlight w:val="none"/>
        </w:rPr>
      </w:pPr>
      <w:bookmarkStart w:id="4" w:name="_Toc32715"/>
      <w:r>
        <w:rPr>
          <w:rFonts w:hint="default" w:ascii="Times New Roman" w:hAnsi="Times New Roman" w:cs="Times New Roman"/>
          <w:color w:val="auto"/>
          <w:highlight w:val="none"/>
          <w:lang w:val="en-US" w:eastAsia="zh-CN"/>
        </w:rPr>
        <w:t>1.1.1</w:t>
      </w:r>
      <w:r>
        <w:rPr>
          <w:rFonts w:hint="default" w:ascii="Times New Roman" w:hAnsi="Times New Roman" w:cs="Times New Roman"/>
          <w:color w:val="auto"/>
          <w:highlight w:val="none"/>
        </w:rPr>
        <w:t>保护区性质</w:t>
      </w:r>
    </w:p>
    <w:p w14:paraId="5D0BC741">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四川若尔盖湿地国家级自然保护区</w:t>
      </w:r>
      <w:r>
        <w:rPr>
          <w:rFonts w:hint="default" w:ascii="Times New Roman" w:hAnsi="Times New Roman" w:cs="Times New Roman"/>
          <w:color w:val="auto"/>
          <w:highlight w:val="none"/>
        </w:rPr>
        <w:t>是国务院批准依法划定予以特殊保护和管理的区域，是以保护高寒沼泽湿地生态系统和黑颈鹤</w:t>
      </w:r>
      <w:r>
        <w:rPr>
          <w:rFonts w:hint="default" w:ascii="Times New Roman" w:hAnsi="Times New Roman" w:cs="Times New Roman"/>
          <w:color w:val="auto"/>
          <w:highlight w:val="none"/>
          <w:lang w:eastAsia="zh-CN"/>
        </w:rPr>
        <w:t>（</w:t>
      </w:r>
      <w:r>
        <w:rPr>
          <w:rFonts w:hint="default" w:ascii="Times New Roman" w:hAnsi="Times New Roman" w:cs="Times New Roman"/>
          <w:i/>
          <w:iCs/>
          <w:color w:val="auto"/>
          <w:highlight w:val="none"/>
        </w:rPr>
        <w:t>Grus nigricollis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等珍稀濒危野生动植物，是集自然保护、科研监测、宣传教育、生态旅游于一</w:t>
      </w:r>
      <w:r>
        <w:rPr>
          <w:rFonts w:hint="default" w:ascii="Times New Roman" w:hAnsi="Times New Roman" w:cs="Times New Roman"/>
          <w:color w:val="auto"/>
          <w:highlight w:val="none"/>
          <w:lang w:eastAsia="zh-CN"/>
        </w:rPr>
        <w:t>体的</w:t>
      </w:r>
      <w:r>
        <w:rPr>
          <w:rFonts w:hint="default" w:ascii="Times New Roman" w:hAnsi="Times New Roman" w:cs="Times New Roman"/>
          <w:color w:val="auto"/>
          <w:highlight w:val="none"/>
        </w:rPr>
        <w:t>综合性湿地生态系统类型的自然保护区，若尔盖保护区管理局是财政全额拨款的事业单位。</w:t>
      </w:r>
    </w:p>
    <w:p w14:paraId="7D10C1D0">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1.1.2</w:t>
      </w:r>
      <w:r>
        <w:rPr>
          <w:rFonts w:hint="default" w:ascii="Times New Roman" w:hAnsi="Times New Roman" w:cs="Times New Roman"/>
          <w:color w:val="auto"/>
          <w:highlight w:val="none"/>
        </w:rPr>
        <w:t xml:space="preserve"> 保护区类型</w:t>
      </w:r>
    </w:p>
    <w:p w14:paraId="6EF3CA3F">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根据《自然保护区类型与级别划分原则》（GB/T 14529-93），</w:t>
      </w:r>
      <w:r>
        <w:rPr>
          <w:rFonts w:hint="default" w:ascii="Times New Roman" w:hAnsi="Times New Roman" w:cs="Times New Roman"/>
          <w:color w:val="auto"/>
          <w:highlight w:val="none"/>
          <w:lang w:eastAsia="zh-CN"/>
        </w:rPr>
        <w:t>四川若尔盖湿地国家级自然保护区</w:t>
      </w:r>
      <w:r>
        <w:rPr>
          <w:rFonts w:hint="default" w:ascii="Times New Roman" w:hAnsi="Times New Roman" w:cs="Times New Roman"/>
          <w:color w:val="auto"/>
          <w:highlight w:val="none"/>
        </w:rPr>
        <w:t>属于自然生态系统类-内陆湿地和水域生态系统类型自然保护区。</w:t>
      </w:r>
    </w:p>
    <w:p w14:paraId="1DA4593C">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1.1.3</w:t>
      </w:r>
      <w:r>
        <w:rPr>
          <w:rFonts w:hint="default" w:ascii="Times New Roman" w:hAnsi="Times New Roman" w:cs="Times New Roman"/>
          <w:color w:val="auto"/>
          <w:highlight w:val="none"/>
        </w:rPr>
        <w:t>主要保护对象</w:t>
      </w:r>
    </w:p>
    <w:p w14:paraId="6EEDF058">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 xml:space="preserve">若尔盖保护区是以高寒沼泽湿地生态系统和黑颈鹤等珍稀濒危野生动植物为主要保护对象的国家级自然保护区，具体如下： </w:t>
      </w:r>
    </w:p>
    <w:p w14:paraId="27137FD0">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（1）高寒沼泽湿地生态系统：含泥炭资源，是黄河上游水源涵养的关键载体，需保护其原真性、完整性及正常演替，维护湿地水文过程稳定。</w:t>
      </w:r>
    </w:p>
    <w:p w14:paraId="589924DF">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）珍稀濒危野生动物：重点保护国家Ⅰ、Ⅱ级保护物种，核心为黑颈鹤等珍稀濒危水鸟，同时包括黑鹳（</w:t>
      </w:r>
      <w:r>
        <w:rPr>
          <w:rFonts w:hint="default" w:ascii="Times New Roman" w:hAnsi="Times New Roman" w:cs="Times New Roman"/>
          <w:i/>
          <w:iCs/>
          <w:color w:val="auto"/>
          <w:highlight w:val="none"/>
          <w:lang w:eastAsia="zh-CN"/>
        </w:rPr>
        <w:t>Ciconia nigra</w:t>
      </w:r>
      <w:r>
        <w:rPr>
          <w:rFonts w:hint="default" w:ascii="Times New Roman" w:hAnsi="Times New Roman" w:cs="Times New Roman"/>
          <w:color w:val="auto"/>
          <w:highlight w:val="none"/>
          <w:lang w:eastAsia="zh-CN"/>
        </w:rPr>
        <w:t>）、斑尾榛鸡（</w:t>
      </w:r>
      <w:r>
        <w:rPr>
          <w:rFonts w:hint="default" w:ascii="Times New Roman" w:hAnsi="Times New Roman" w:cs="Times New Roman"/>
          <w:i/>
          <w:iCs/>
          <w:color w:val="auto"/>
          <w:highlight w:val="none"/>
          <w:lang w:eastAsia="zh-CN"/>
        </w:rPr>
        <w:t>Tetrastes sewerzowi</w:t>
      </w:r>
      <w:r>
        <w:rPr>
          <w:rFonts w:hint="default" w:ascii="Times New Roman" w:hAnsi="Times New Roman" w:cs="Times New Roman"/>
          <w:color w:val="auto"/>
          <w:highlight w:val="none"/>
          <w:lang w:eastAsia="zh-CN"/>
        </w:rPr>
        <w:t>）、金雕（</w:t>
      </w:r>
      <w:r>
        <w:rPr>
          <w:rFonts w:hint="default" w:ascii="Times New Roman" w:hAnsi="Times New Roman" w:cs="Times New Roman"/>
          <w:i/>
          <w:iCs/>
          <w:color w:val="auto"/>
          <w:highlight w:val="none"/>
          <w:lang w:eastAsia="zh-CN"/>
        </w:rPr>
        <w:t>Aquila chrysaetos</w:t>
      </w:r>
      <w:r>
        <w:rPr>
          <w:rFonts w:hint="default" w:ascii="Times New Roman" w:hAnsi="Times New Roman" w:cs="Times New Roman"/>
          <w:color w:val="auto"/>
          <w:highlight w:val="none"/>
          <w:lang w:eastAsia="zh-CN"/>
        </w:rPr>
        <w:t>）、玉带海雕（</w:t>
      </w:r>
      <w:r>
        <w:rPr>
          <w:rFonts w:hint="default" w:ascii="Times New Roman" w:hAnsi="Times New Roman" w:cs="Times New Roman"/>
          <w:i/>
          <w:iCs/>
          <w:color w:val="auto"/>
          <w:highlight w:val="none"/>
          <w:lang w:eastAsia="zh-CN"/>
        </w:rPr>
        <w:t>Haliaeetus leucoryphus</w:t>
      </w:r>
      <w:r>
        <w:rPr>
          <w:rFonts w:hint="default" w:ascii="Times New Roman" w:hAnsi="Times New Roman" w:cs="Times New Roman"/>
          <w:color w:val="auto"/>
          <w:highlight w:val="none"/>
          <w:lang w:eastAsia="zh-CN"/>
        </w:rPr>
        <w:t>）、白尾海雕（</w:t>
      </w:r>
      <w:r>
        <w:rPr>
          <w:rFonts w:hint="default" w:ascii="Times New Roman" w:hAnsi="Times New Roman" w:cs="Times New Roman"/>
          <w:i/>
          <w:iCs/>
          <w:color w:val="auto"/>
          <w:highlight w:val="none"/>
          <w:lang w:eastAsia="zh-CN"/>
        </w:rPr>
        <w:t>Haliaeetus albicilla</w:t>
      </w:r>
      <w:r>
        <w:rPr>
          <w:rFonts w:hint="default" w:ascii="Times New Roman" w:hAnsi="Times New Roman" w:cs="Times New Roman"/>
          <w:color w:val="auto"/>
          <w:highlight w:val="none"/>
          <w:lang w:eastAsia="zh-CN"/>
        </w:rPr>
        <w:t>）等，核心是保护其栖息地并推动种群数量稳步增长。</w:t>
      </w:r>
    </w:p>
    <w:p w14:paraId="580FC484">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）高原湿地野生动植物资源：涵盖高原湿地范围内的各类野生动植物，保护其多样性及生存环境，促进生物多样性良性循环。</w:t>
      </w:r>
    </w:p>
    <w:bookmarkEnd w:id="4"/>
    <w:p w14:paraId="20CD8CB2">
      <w:pPr>
        <w:pStyle w:val="3"/>
        <w:rPr>
          <w:rFonts w:hint="default" w:ascii="Times New Roman" w:hAnsi="Times New Roman" w:cs="Times New Roman"/>
          <w:color w:val="auto"/>
          <w:highlight w:val="none"/>
        </w:rPr>
      </w:pPr>
      <w:bookmarkStart w:id="5" w:name="_Toc28765"/>
      <w:bookmarkStart w:id="6" w:name="_Toc23768"/>
      <w:r>
        <w:rPr>
          <w:rFonts w:hint="default" w:ascii="Times New Roman" w:hAnsi="Times New Roman" w:cs="Times New Roman"/>
          <w:color w:val="auto"/>
          <w:highlight w:val="none"/>
        </w:rPr>
        <w:t>1.</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规划主要内容</w:t>
      </w:r>
      <w:bookmarkEnd w:id="5"/>
      <w:bookmarkEnd w:id="6"/>
    </w:p>
    <w:p w14:paraId="2BC293A8">
      <w:pPr>
        <w:ind w:firstLine="560"/>
        <w:jc w:val="left"/>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本次规划在保护区建设和发展布局上对接了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若尔盖</w:t>
      </w:r>
      <w:r>
        <w:rPr>
          <w:rFonts w:hint="default" w:ascii="Times New Roman" w:hAnsi="Times New Roman" w:cs="Times New Roman"/>
          <w:color w:val="auto"/>
          <w:highlight w:val="none"/>
          <w:lang w:eastAsia="zh-CN"/>
        </w:rPr>
        <w:t>县国土空间总体规划（2021-2035年）》，</w:t>
      </w:r>
      <w:r>
        <w:rPr>
          <w:rFonts w:hint="default" w:ascii="Times New Roman" w:hAnsi="Times New Roman" w:cs="Times New Roman"/>
          <w:color w:val="auto"/>
          <w:highlight w:val="none"/>
          <w:lang w:val="en-US" w:eastAsia="zh-CN"/>
        </w:rPr>
        <w:t>实施项目衔接了《四川若尔盖湿地国家级自然保护区总体规划（2017-2026年）》，勘界立标、保护站点设置、防火系统建设等上期未完成的纳入本次规划继续实施。保护设施布局、生态旅游发展等与相关旅游规划等</w:t>
      </w:r>
      <w:r>
        <w:rPr>
          <w:rFonts w:hint="default" w:ascii="Times New Roman" w:hAnsi="Times New Roman" w:cs="Times New Roman"/>
          <w:color w:val="auto"/>
          <w:highlight w:val="none"/>
          <w:lang w:eastAsia="zh-CN"/>
        </w:rPr>
        <w:t>进行了衔接。</w:t>
      </w:r>
      <w:r>
        <w:rPr>
          <w:rFonts w:hint="default" w:ascii="Times New Roman" w:hAnsi="Times New Roman" w:cs="Times New Roman"/>
          <w:color w:val="auto"/>
          <w:highlight w:val="none"/>
          <w:lang w:val="en-US" w:eastAsia="zh-CN"/>
        </w:rPr>
        <w:t>社区建设、</w:t>
      </w:r>
      <w:r>
        <w:rPr>
          <w:rFonts w:hint="default" w:ascii="Times New Roman" w:hAnsi="Times New Roman" w:cs="Times New Roman"/>
          <w:color w:val="auto"/>
          <w:highlight w:val="none"/>
          <w:lang w:eastAsia="zh-CN"/>
        </w:rPr>
        <w:t>基础设施建设、可持续发展等</w:t>
      </w:r>
      <w:r>
        <w:rPr>
          <w:rFonts w:hint="default" w:ascii="Times New Roman" w:hAnsi="Times New Roman" w:cs="Times New Roman"/>
          <w:color w:val="auto"/>
          <w:highlight w:val="none"/>
          <w:lang w:val="en-US" w:eastAsia="zh-CN"/>
        </w:rPr>
        <w:t>参考了</w:t>
      </w:r>
      <w:r>
        <w:rPr>
          <w:rFonts w:hint="default" w:ascii="Times New Roman" w:hAnsi="Times New Roman" w:cs="Times New Roman"/>
          <w:color w:val="auto"/>
          <w:highlight w:val="none"/>
          <w:lang w:eastAsia="zh-CN"/>
        </w:rPr>
        <w:t>《中共中央</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CN"/>
        </w:rPr>
        <w:t>国务院乡村振兴战略规划》《四川省乡村振兴战略</w:t>
      </w:r>
      <w:r>
        <w:rPr>
          <w:rFonts w:hint="default" w:ascii="Times New Roman" w:hAnsi="Times New Roman" w:cs="Times New Roman"/>
          <w:color w:val="auto"/>
          <w:highlight w:val="none"/>
        </w:rPr>
        <w:t>规划》</w:t>
      </w:r>
      <w:r>
        <w:rPr>
          <w:rFonts w:hint="default" w:ascii="Times New Roman" w:hAnsi="Times New Roman" w:cs="Times New Roman"/>
          <w:color w:val="auto"/>
          <w:highlight w:val="none"/>
          <w:lang w:val="en-US" w:eastAsia="zh-CN"/>
        </w:rPr>
        <w:t>《阿坝州乡村振兴战略规划》，以及相关交通、旅游、农牧、水利等的发展规划和方案，协调推进若尔盖保护区保护管理、基础设施建设、公共服务、防灾减灾、原有居民生产生活保障等项目的实施</w:t>
      </w:r>
      <w:r>
        <w:rPr>
          <w:rFonts w:hint="default" w:ascii="Times New Roman" w:hAnsi="Times New Roman" w:cs="Times New Roman"/>
          <w:color w:val="auto"/>
          <w:highlight w:val="none"/>
          <w:lang w:eastAsia="zh-CN"/>
        </w:rPr>
        <w:t>。</w:t>
      </w:r>
    </w:p>
    <w:p w14:paraId="2D0B251A">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规划主体构架</w:t>
      </w:r>
    </w:p>
    <w:p w14:paraId="7C2985F9">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本次规划主体构架为：规划</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大重点工程，实施</w:t>
      </w:r>
      <w:r>
        <w:rPr>
          <w:rFonts w:hint="default" w:ascii="Times New Roman" w:hAnsi="Times New Roman" w:cs="Times New Roman"/>
          <w:color w:val="auto"/>
          <w:highlight w:val="none"/>
          <w:lang w:val="en-US" w:eastAsia="zh-CN"/>
        </w:rPr>
        <w:t>37</w:t>
      </w:r>
      <w:r>
        <w:rPr>
          <w:rFonts w:hint="default" w:ascii="Times New Roman" w:hAnsi="Times New Roman" w:cs="Times New Roman"/>
          <w:color w:val="auto"/>
          <w:highlight w:val="none"/>
          <w:lang w:eastAsia="zh-CN"/>
        </w:rPr>
        <w:t>个</w:t>
      </w:r>
      <w:r>
        <w:rPr>
          <w:rFonts w:hint="default" w:ascii="Times New Roman" w:hAnsi="Times New Roman" w:cs="Times New Roman"/>
          <w:color w:val="auto"/>
          <w:highlight w:val="none"/>
        </w:rPr>
        <w:t>重点建设项目。</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大重点工程分别为保护管理工程、科研</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监测工程、</w:t>
      </w:r>
      <w:r>
        <w:rPr>
          <w:rFonts w:hint="default" w:ascii="Times New Roman" w:hAnsi="Times New Roman" w:cs="Times New Roman"/>
          <w:color w:val="auto"/>
          <w:highlight w:val="none"/>
          <w:lang w:val="en-US" w:eastAsia="zh-CN"/>
        </w:rPr>
        <w:t>生态修复工程、公共服务</w:t>
      </w:r>
      <w:r>
        <w:rPr>
          <w:rFonts w:hint="default" w:ascii="Times New Roman" w:hAnsi="Times New Roman" w:cs="Times New Roman"/>
          <w:color w:val="auto"/>
          <w:highlight w:val="none"/>
          <w:lang w:eastAsia="zh-CN"/>
        </w:rPr>
        <w:t>工程、</w:t>
      </w:r>
      <w:r>
        <w:rPr>
          <w:rFonts w:hint="default" w:ascii="Times New Roman" w:hAnsi="Times New Roman" w:cs="Times New Roman"/>
          <w:color w:val="auto"/>
          <w:highlight w:val="none"/>
          <w:lang w:val="en-US" w:eastAsia="zh-CN"/>
        </w:rPr>
        <w:t>防灾减灾工程、</w:t>
      </w:r>
      <w:r>
        <w:rPr>
          <w:rFonts w:hint="default" w:ascii="Times New Roman" w:hAnsi="Times New Roman" w:cs="Times New Roman"/>
          <w:color w:val="auto"/>
          <w:highlight w:val="none"/>
          <w:lang w:eastAsia="zh-CN"/>
        </w:rPr>
        <w:t>基础设施</w:t>
      </w:r>
      <w:r>
        <w:rPr>
          <w:rFonts w:hint="default" w:ascii="Times New Roman" w:hAnsi="Times New Roman" w:cs="Times New Roman"/>
          <w:color w:val="auto"/>
          <w:highlight w:val="none"/>
        </w:rPr>
        <w:t>工程</w:t>
      </w:r>
      <w:r>
        <w:rPr>
          <w:rFonts w:hint="default" w:ascii="Times New Roman" w:hAnsi="Times New Roman" w:cs="Times New Roman"/>
          <w:color w:val="auto"/>
          <w:highlight w:val="none"/>
          <w:lang w:val="en-US" w:eastAsia="zh-CN"/>
        </w:rPr>
        <w:t>和原有居民生产生活活动保障工程</w:t>
      </w:r>
      <w:r>
        <w:rPr>
          <w:rFonts w:hint="default" w:ascii="Times New Roman" w:hAnsi="Times New Roman" w:cs="Times New Roman"/>
          <w:color w:val="auto"/>
          <w:highlight w:val="none"/>
        </w:rPr>
        <w:t>。重点建设项目包括保护站建设、</w:t>
      </w:r>
      <w:r>
        <w:rPr>
          <w:rFonts w:hint="default" w:ascii="Times New Roman" w:hAnsi="Times New Roman" w:cs="Times New Roman"/>
          <w:color w:val="auto"/>
          <w:highlight w:val="none"/>
          <w:lang w:eastAsia="zh-CN"/>
        </w:rPr>
        <w:t>定界立标、</w:t>
      </w:r>
      <w:r>
        <w:rPr>
          <w:rFonts w:hint="default" w:ascii="Times New Roman" w:hAnsi="Times New Roman" w:cs="Times New Roman"/>
          <w:color w:val="auto"/>
          <w:highlight w:val="none"/>
          <w:lang w:val="en-US" w:eastAsia="zh-CN"/>
        </w:rPr>
        <w:t>生态保护、生态修复、物种保育、防灾减灾</w:t>
      </w:r>
      <w:r>
        <w:rPr>
          <w:rFonts w:hint="default" w:ascii="Times New Roman" w:hAnsi="Times New Roman" w:cs="Times New Roman"/>
          <w:color w:val="auto"/>
          <w:highlight w:val="none"/>
          <w:lang w:eastAsia="zh-CN"/>
        </w:rPr>
        <w:t>、生态监测</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宣教设施建设</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自然教育、生态旅游、</w:t>
      </w:r>
      <w:r>
        <w:rPr>
          <w:rFonts w:hint="default" w:ascii="Times New Roman" w:hAnsi="Times New Roman" w:cs="Times New Roman"/>
          <w:color w:val="auto"/>
          <w:highlight w:val="none"/>
          <w:lang w:eastAsia="zh-CN"/>
        </w:rPr>
        <w:t>社区产业发展</w:t>
      </w:r>
      <w:r>
        <w:rPr>
          <w:rFonts w:hint="default" w:ascii="Times New Roman" w:hAnsi="Times New Roman" w:cs="Times New Roman"/>
          <w:color w:val="auto"/>
          <w:highlight w:val="none"/>
        </w:rPr>
        <w:t>等。</w:t>
      </w:r>
    </w:p>
    <w:p w14:paraId="15F35C80">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.2主要建设内容</w:t>
      </w:r>
    </w:p>
    <w:p w14:paraId="06D28A20">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全文建设内容分为</w:t>
      </w:r>
      <w:r>
        <w:rPr>
          <w:rFonts w:hint="default" w:ascii="Times New Roman" w:hAnsi="Times New Roman" w:cs="Times New Roman"/>
          <w:color w:val="auto"/>
          <w:highlight w:val="none"/>
        </w:rPr>
        <w:t>保护管理工程、科研</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监测工程、</w:t>
      </w:r>
      <w:r>
        <w:rPr>
          <w:rFonts w:hint="default" w:ascii="Times New Roman" w:hAnsi="Times New Roman" w:cs="Times New Roman"/>
          <w:color w:val="auto"/>
          <w:highlight w:val="none"/>
          <w:lang w:val="en-US" w:eastAsia="zh-CN"/>
        </w:rPr>
        <w:t>生态修复工程、公共服务</w:t>
      </w:r>
      <w:r>
        <w:rPr>
          <w:rFonts w:hint="default" w:ascii="Times New Roman" w:hAnsi="Times New Roman" w:cs="Times New Roman"/>
          <w:color w:val="auto"/>
          <w:highlight w:val="none"/>
          <w:lang w:eastAsia="zh-CN"/>
        </w:rPr>
        <w:t>工程、</w:t>
      </w:r>
      <w:r>
        <w:rPr>
          <w:rFonts w:hint="default" w:ascii="Times New Roman" w:hAnsi="Times New Roman" w:cs="Times New Roman"/>
          <w:color w:val="auto"/>
          <w:highlight w:val="none"/>
          <w:lang w:val="en-US" w:eastAsia="zh-CN"/>
        </w:rPr>
        <w:t>防灾减灾工程、</w:t>
      </w:r>
      <w:r>
        <w:rPr>
          <w:rFonts w:hint="default" w:ascii="Times New Roman" w:hAnsi="Times New Roman" w:cs="Times New Roman"/>
          <w:color w:val="auto"/>
          <w:highlight w:val="none"/>
          <w:lang w:eastAsia="zh-CN"/>
        </w:rPr>
        <w:t>基础设施</w:t>
      </w:r>
      <w:r>
        <w:rPr>
          <w:rFonts w:hint="default" w:ascii="Times New Roman" w:hAnsi="Times New Roman" w:cs="Times New Roman"/>
          <w:color w:val="auto"/>
          <w:highlight w:val="none"/>
        </w:rPr>
        <w:t>工程</w:t>
      </w:r>
      <w:r>
        <w:rPr>
          <w:rFonts w:hint="default" w:ascii="Times New Roman" w:hAnsi="Times New Roman" w:cs="Times New Roman"/>
          <w:color w:val="auto"/>
          <w:highlight w:val="none"/>
          <w:lang w:val="en-US" w:eastAsia="zh-CN"/>
        </w:rPr>
        <w:t>和原有居民生产生活活动保障工程7大工程，涵盖新建管护站、勘界立标、巡护体系、湿地草原沙化修复、物种保育、防火防灾、科研平台、监测设备、宣教场馆、生态旅游、社区扶持、基础设施、原有居民生产生活保障等全部核心建设项目。</w:t>
      </w:r>
    </w:p>
    <w:p w14:paraId="1E4B94EC">
      <w:pPr>
        <w:ind w:firstLine="560"/>
        <w:rPr>
          <w:rFonts w:hint="default"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保护管理</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lang w:val="en-US" w:eastAsia="zh-CN"/>
        </w:rPr>
        <w:t>完善“管理局-管理站”二级管护体系，新建班佑、唐克、德纳合保护站，</w:t>
      </w:r>
      <w:r>
        <w:rPr>
          <w:rFonts w:hint="default" w:ascii="Times New Roman" w:hAnsi="Times New Roman" w:cs="Times New Roman"/>
          <w:b w:val="0"/>
          <w:bCs w:val="0"/>
          <w:color w:val="auto"/>
          <w:highlight w:val="none"/>
          <w:lang w:val="en-US" w:eastAsia="zh-CN"/>
        </w:rPr>
        <w:t>完善</w:t>
      </w:r>
      <w:r>
        <w:rPr>
          <w:rFonts w:hint="default" w:ascii="Times New Roman" w:hAnsi="Times New Roman" w:cs="Times New Roman"/>
          <w:color w:val="auto"/>
          <w:highlight w:val="none"/>
          <w:lang w:val="en-US" w:eastAsia="zh-CN"/>
        </w:rPr>
        <w:t>湿地监测指挥中心建设；实施全域勘界立标与标识系统建设；修缮巡护路网，配备无人机、巡护车辆、机器狗与巡护设备，聘用生态管护员常态化网格化巡护。</w:t>
      </w:r>
    </w:p>
    <w:p w14:paraId="072CDF11">
      <w:pPr>
        <w:numPr>
          <w:ilvl w:val="0"/>
          <w:numId w:val="0"/>
        </w:numPr>
        <w:ind w:firstLine="562" w:firstLineChars="20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科研与监测</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lang w:val="en-US" w:eastAsia="zh-CN"/>
        </w:rPr>
        <w:t>布设生物多样性监测塔、气象站、水质水文站、固定样地、鸟类观测台；配备AI红外相机、低功耗智能感知杆、声纹识别系统、物候相机、专业级无人机、功能型无人船、长焦相机、望远镜、电动皮艇等野外设备；升级智慧一体化监测管理平台；开展湿地、生物多样性、泥炭、黑颈鹤迁徙等26项专项调查研究，以及生态环境、土地沙化、国际重要湿地等15项监测</w:t>
      </w:r>
      <w:r>
        <w:rPr>
          <w:rFonts w:hint="default" w:ascii="Times New Roman" w:hAnsi="Times New Roman" w:cs="Times New Roman"/>
          <w:color w:val="auto"/>
          <w:highlight w:val="none"/>
        </w:rPr>
        <w:t>。</w:t>
      </w:r>
    </w:p>
    <w:p w14:paraId="3B762C91">
      <w:pPr>
        <w:ind w:firstLine="56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生态修复：</w:t>
      </w:r>
      <w:r>
        <w:rPr>
          <w:rFonts w:hint="default" w:ascii="Times New Roman" w:hAnsi="Times New Roman" w:cs="Times New Roman"/>
          <w:color w:val="auto"/>
          <w:highlight w:val="none"/>
          <w:lang w:val="en-US" w:eastAsia="zh-CN"/>
        </w:rPr>
        <w:t>重点推进退化沼泽、湖泊、小微湖泊、退化草原、沙化土地生态修复，开展重点物种栖息地、珍稀植物、野生动物通道保育。</w:t>
      </w:r>
    </w:p>
    <w:p w14:paraId="610E7AD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公共服务</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lang w:val="en-US" w:eastAsia="zh-CN"/>
        </w:rPr>
        <w:t>建设若尔盖国家公园宣传教育中心，配套自然教育径、科普长廊、解说标识、宣传画册、研学教室、标本室等；开展生态价值、自然科普教育，组建双语解说与志愿者队伍；升级花湖、黄河第一湾景区基础设施及生态旅游设施设备；建立社区共管与生态补偿机制，统筹保护与民生；规范藏家乐管理、建设入口社区与特色小镇，落实湿地草原生态补偿项目。</w:t>
      </w:r>
    </w:p>
    <w:p w14:paraId="5061A8E3">
      <w:pPr>
        <w:pStyle w:val="9"/>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防灾减灾：</w:t>
      </w:r>
      <w:r>
        <w:rPr>
          <w:rFonts w:hint="default" w:ascii="Times New Roman" w:hAnsi="Times New Roman" w:cs="Times New Roman"/>
          <w:color w:val="auto"/>
          <w:highlight w:val="none"/>
          <w:lang w:val="en-US" w:eastAsia="zh-CN"/>
        </w:rPr>
        <w:t>实施草原防火、灾害治理、疫源疫病防控、外来物种入侵防范和应对，提升应急保障能力等。</w:t>
      </w:r>
    </w:p>
    <w:p w14:paraId="2A661733">
      <w:pPr>
        <w:ind w:firstLine="560"/>
        <w:rPr>
          <w:rFonts w:hint="default" w:ascii="Times New Roman" w:hAnsi="Times New Roman" w:cs="Times New Roman"/>
          <w:color w:val="auto"/>
          <w:highlight w:val="none"/>
        </w:rPr>
      </w:pPr>
      <w:r>
        <w:rPr>
          <w:rFonts w:hint="default" w:ascii="Times New Roman" w:hAnsi="Times New Roman" w:cs="Times New Roman"/>
          <w:b/>
          <w:bCs/>
          <w:color w:val="auto"/>
          <w:highlight w:val="none"/>
          <w:lang w:eastAsia="zh-CN"/>
        </w:rPr>
        <w:t>基础设施建设：</w:t>
      </w:r>
      <w:r>
        <w:rPr>
          <w:rFonts w:hint="default" w:ascii="Times New Roman" w:hAnsi="Times New Roman" w:cs="Times New Roman"/>
          <w:color w:val="auto"/>
          <w:highlight w:val="none"/>
          <w:lang w:val="en-US" w:eastAsia="zh-CN"/>
        </w:rPr>
        <w:t>完善巡护路修缮；完善新建管理站给排水管网、污水处理、垃圾转运设施，输电线路等配套设施；布设5G基站、监控系统、OA办公与视频会议设备；配置消防车、消防器材与环保设施，保障管护、生活、应急与智慧化运行需求</w:t>
      </w:r>
      <w:r>
        <w:rPr>
          <w:rFonts w:hint="default" w:ascii="Times New Roman" w:hAnsi="Times New Roman" w:cs="Times New Roman"/>
          <w:color w:val="auto"/>
          <w:highlight w:val="none"/>
        </w:rPr>
        <w:t>。</w:t>
      </w:r>
    </w:p>
    <w:p w14:paraId="415A1790">
      <w:pPr>
        <w:ind w:firstLine="560"/>
        <w:rPr>
          <w:rFonts w:hint="default" w:ascii="Times New Roman" w:hAnsi="Times New Roman" w:eastAsia="仿宋" w:cs="Times New Roman"/>
          <w:b/>
          <w:bCs/>
          <w:color w:val="auto"/>
          <w:highlight w:val="none"/>
          <w:lang w:val="en-US" w:eastAsia="zh-CN"/>
        </w:rPr>
      </w:pPr>
      <w:r>
        <w:rPr>
          <w:rFonts w:hint="default" w:ascii="Times New Roman" w:hAnsi="Times New Roman" w:cs="Times New Roman"/>
          <w:b/>
          <w:bCs/>
          <w:color w:val="auto"/>
          <w:highlight w:val="none"/>
          <w:lang w:val="en-US" w:eastAsia="zh-CN"/>
        </w:rPr>
        <w:t>原有居民生产生活保障：</w:t>
      </w:r>
      <w:r>
        <w:rPr>
          <w:rFonts w:hint="default" w:ascii="Times New Roman" w:hAnsi="Times New Roman" w:cs="Times New Roman"/>
          <w:color w:val="auto"/>
          <w:highlight w:val="none"/>
          <w:lang w:val="en-US" w:eastAsia="zh-CN"/>
        </w:rPr>
        <w:t>引导传统的无节制自由放牧，向科学模式转变；配套建设暖棚和贮草架；鼓励原有居民积极选聘生态管护员和巡护员岗位；落实生态补偿机制；积极引导居民发展旅游、运输、建筑、民族手工艺等替代产业。</w:t>
      </w:r>
    </w:p>
    <w:p w14:paraId="1F8C00B0">
      <w:pPr>
        <w:pStyle w:val="2"/>
        <w:keepNext w:val="0"/>
        <w:keepLines/>
        <w:pageBreakBefore/>
        <w:widowControl w:val="0"/>
        <w:numPr>
          <w:ilvl w:val="0"/>
          <w:numId w:val="2"/>
        </w:numPr>
        <w:kinsoku/>
        <w:wordWrap/>
        <w:overflowPunct/>
        <w:topLinePunct w:val="0"/>
        <w:autoSpaceDE/>
        <w:autoSpaceDN/>
        <w:bidi w:val="0"/>
        <w:adjustRightInd/>
        <w:snapToGrid/>
        <w:spacing w:after="156"/>
        <w:ind w:left="0" w:leftChars="0" w:firstLine="0" w:firstLineChars="0"/>
        <w:textAlignment w:val="auto"/>
        <w:rPr>
          <w:rFonts w:hint="default" w:ascii="Times New Roman" w:hAnsi="Times New Roman" w:cs="Times New Roman"/>
          <w:color w:val="auto"/>
          <w:highlight w:val="none"/>
          <w:lang w:val="en-US" w:eastAsia="zh-CN"/>
        </w:rPr>
      </w:pPr>
      <w:bookmarkStart w:id="7" w:name="_Toc27090"/>
      <w:bookmarkStart w:id="8" w:name="_Toc13746"/>
      <w:r>
        <w:rPr>
          <w:rFonts w:hint="default" w:ascii="Times New Roman" w:hAnsi="Times New Roman" w:cs="Times New Roman"/>
          <w:color w:val="auto"/>
          <w:highlight w:val="none"/>
        </w:rPr>
        <w:t>保护区基本</w:t>
      </w:r>
      <w:r>
        <w:rPr>
          <w:rFonts w:hint="default" w:ascii="Times New Roman" w:hAnsi="Times New Roman" w:cs="Times New Roman"/>
          <w:color w:val="auto"/>
          <w:highlight w:val="none"/>
          <w:lang w:val="en-US" w:eastAsia="zh-CN"/>
        </w:rPr>
        <w:t>情况</w:t>
      </w:r>
      <w:bookmarkEnd w:id="7"/>
      <w:bookmarkEnd w:id="8"/>
    </w:p>
    <w:p w14:paraId="501E6FD1">
      <w:pPr>
        <w:pStyle w:val="3"/>
        <w:rPr>
          <w:rFonts w:hint="default" w:ascii="Times New Roman" w:hAnsi="Times New Roman" w:cs="Times New Roman"/>
          <w:color w:val="auto"/>
          <w:highlight w:val="none"/>
        </w:rPr>
      </w:pPr>
      <w:bookmarkStart w:id="9" w:name="_Toc25961"/>
      <w:r>
        <w:rPr>
          <w:rFonts w:hint="default" w:ascii="Times New Roman" w:hAnsi="Times New Roman" w:cs="Times New Roman"/>
          <w:color w:val="auto"/>
          <w:highlight w:val="none"/>
        </w:rPr>
        <w:t>2.1位置与范围</w:t>
      </w:r>
      <w:bookmarkEnd w:id="9"/>
    </w:p>
    <w:p w14:paraId="530DB9E8">
      <w:p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四川若尔盖湿地国家级自然保护区位于四川省阿坝州若尔盖县西北部、青藏高原东北边缘、黄河上游川甘交界地带。保护地</w:t>
      </w:r>
      <w:r>
        <w:rPr>
          <w:rFonts w:hint="default" w:ascii="Times New Roman" w:hAnsi="Times New Roman" w:cs="Times New Roman"/>
          <w:color w:val="auto"/>
          <w:highlight w:val="none"/>
        </w:rPr>
        <w:t>整合优化</w:t>
      </w:r>
      <w:r>
        <w:rPr>
          <w:rFonts w:hint="default" w:ascii="Times New Roman" w:hAnsi="Times New Roman" w:cs="Times New Roman"/>
          <w:color w:val="auto"/>
          <w:highlight w:val="none"/>
          <w:lang w:val="en-US" w:eastAsia="zh-CN"/>
        </w:rPr>
        <w:t>将</w:t>
      </w:r>
      <w:r>
        <w:rPr>
          <w:rFonts w:hint="default" w:ascii="Times New Roman" w:hAnsi="Times New Roman" w:cs="Times New Roman"/>
          <w:color w:val="auto"/>
          <w:highlight w:val="none"/>
        </w:rPr>
        <w:t>原四川喀哈尔乔湿地自然保护区和原四川若尔盖国家湿地公园全部纳入四川若尔盖湿地国家级自然保护区范围，保护区面积由原来的166570.6公顷扩大至396526.38公顷，其中核心保护区</w:t>
      </w:r>
      <w:r>
        <w:rPr>
          <w:rFonts w:hint="default" w:ascii="Times New Roman" w:hAnsi="Times New Roman" w:cs="Times New Roman"/>
          <w:color w:val="auto"/>
          <w:highlight w:val="none"/>
          <w:lang w:val="en-US" w:eastAsia="zh-CN"/>
        </w:rPr>
        <w:t>261404.64</w:t>
      </w:r>
      <w:r>
        <w:rPr>
          <w:rFonts w:hint="default" w:ascii="Times New Roman" w:hAnsi="Times New Roman" w:cs="Times New Roman"/>
          <w:color w:val="auto"/>
          <w:highlight w:val="none"/>
        </w:rPr>
        <w:t>公顷，一般控制区</w:t>
      </w:r>
      <w:r>
        <w:rPr>
          <w:rFonts w:hint="default" w:ascii="Times New Roman" w:hAnsi="Times New Roman" w:cs="Times New Roman"/>
          <w:color w:val="auto"/>
          <w:highlight w:val="none"/>
          <w:lang w:val="en-US" w:eastAsia="zh-CN"/>
        </w:rPr>
        <w:t>132421.74</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w:t>
      </w:r>
    </w:p>
    <w:p w14:paraId="1BDA7134">
      <w:pPr>
        <w:pStyle w:val="14"/>
        <w:jc w:val="cente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drawing>
          <wp:inline distT="0" distB="0" distL="114300" distR="114300">
            <wp:extent cx="3248660" cy="4371975"/>
            <wp:effectExtent l="0" t="0" r="8890" b="9525"/>
            <wp:docPr id="6" name="图片 6" descr="整合优化成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整合优化成果"/>
                    <pic:cNvPicPr>
                      <a:picLocks noChangeAspect="1"/>
                    </pic:cNvPicPr>
                  </pic:nvPicPr>
                  <pic:blipFill>
                    <a:blip r:embed="rId12"/>
                    <a:srcRect l="3070" t="8359" r="3209" b="2466"/>
                    <a:stretch>
                      <a:fillRect/>
                    </a:stretch>
                  </pic:blipFill>
                  <pic:spPr>
                    <a:xfrm>
                      <a:off x="0" y="0"/>
                      <a:ext cx="3248660" cy="4371975"/>
                    </a:xfrm>
                    <a:prstGeom prst="rect">
                      <a:avLst/>
                    </a:prstGeom>
                  </pic:spPr>
                </pic:pic>
              </a:graphicData>
            </a:graphic>
          </wp:inline>
        </w:drawing>
      </w:r>
    </w:p>
    <w:p w14:paraId="700B521C">
      <w:pPr>
        <w:widowControl/>
        <w:spacing w:line="240" w:lineRule="auto"/>
        <w:ind w:firstLine="0" w:firstLineChars="0"/>
        <w:jc w:val="center"/>
        <w:rPr>
          <w:rFonts w:hint="default" w:ascii="Times New Roman" w:hAnsi="Times New Roman" w:cs="Times New Roman"/>
          <w:b/>
          <w:bCs/>
          <w:sz w:val="28"/>
          <w:szCs w:val="28"/>
          <w:highlight w:val="none"/>
          <w:lang w:val="en-US" w:eastAsia="zh-CN"/>
        </w:rPr>
      </w:pPr>
      <w:r>
        <w:rPr>
          <w:rFonts w:hint="default" w:ascii="Times New Roman" w:hAnsi="Times New Roman" w:cs="Times New Roman"/>
          <w:b/>
          <w:bCs/>
          <w:sz w:val="28"/>
          <w:szCs w:val="28"/>
          <w:highlight w:val="none"/>
          <w:lang w:val="en-US" w:eastAsia="zh-CN"/>
        </w:rPr>
        <w:t>图2-1-1</w:t>
      </w:r>
      <w:r>
        <w:rPr>
          <w:rFonts w:hint="default" w:ascii="Times New Roman" w:hAnsi="Times New Roman" w:eastAsia="仿宋" w:cs="Times New Roman"/>
          <w:b/>
          <w:bCs/>
          <w:sz w:val="28"/>
          <w:szCs w:val="28"/>
          <w:highlight w:val="none"/>
        </w:rPr>
        <w:t xml:space="preserve"> </w:t>
      </w:r>
      <w:r>
        <w:rPr>
          <w:rFonts w:hint="default" w:ascii="Times New Roman" w:hAnsi="Times New Roman" w:cs="Times New Roman"/>
          <w:b/>
          <w:bCs/>
          <w:sz w:val="28"/>
          <w:szCs w:val="28"/>
          <w:highlight w:val="none"/>
          <w:lang w:val="en-US" w:eastAsia="zh-CN"/>
        </w:rPr>
        <w:t>保护区整合优化情况图</w:t>
      </w:r>
    </w:p>
    <w:p w14:paraId="202B93C9">
      <w:p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整合优化后若尔盖国家级自然保护区坐标为东经102°28′36″-102°58′11″，北纬33°25′54″-34°00′02″，</w:t>
      </w:r>
      <w:r>
        <w:rPr>
          <w:rFonts w:hint="default" w:ascii="Times New Roman" w:hAnsi="Times New Roman" w:cs="Times New Roman"/>
          <w:color w:val="auto"/>
          <w:highlight w:val="none"/>
        </w:rPr>
        <w:t>东西宽 97 公里，南北长 90 公里</w:t>
      </w:r>
      <w:r>
        <w:rPr>
          <w:rFonts w:hint="default" w:ascii="Times New Roman" w:hAnsi="Times New Roman" w:cs="Times New Roman"/>
          <w:color w:val="auto"/>
          <w:highlight w:val="none"/>
          <w:lang w:val="en-US" w:eastAsia="zh-CN"/>
        </w:rPr>
        <w:t>。全域地处若尔盖县境内，涉及达扎寺镇、唐克镇、辖曼镇、红星镇、嫩哇乡、巴西镇、阿西镇、麦溪乡、包座乡等9个乡镇1个白河牧场。保护区以高寒泥炭沼泽湿地为主，为黄河上游重要生态屏障，也是若尔盖国家公园核心组成部分。</w:t>
      </w:r>
    </w:p>
    <w:p w14:paraId="268B784E">
      <w:pPr>
        <w:pStyle w:val="3"/>
        <w:rPr>
          <w:rFonts w:hint="default" w:ascii="Times New Roman" w:hAnsi="Times New Roman" w:eastAsia="黑体" w:cs="Times New Roman"/>
          <w:color w:val="auto"/>
          <w:highlight w:val="none"/>
          <w:lang w:val="en-US" w:eastAsia="zh-CN"/>
        </w:rPr>
      </w:pPr>
      <w:bookmarkStart w:id="10" w:name="_Toc4787"/>
      <w:r>
        <w:rPr>
          <w:rFonts w:hint="default" w:ascii="Times New Roman" w:hAnsi="Times New Roman" w:cs="Times New Roman"/>
          <w:color w:val="auto"/>
          <w:highlight w:val="none"/>
        </w:rPr>
        <w:t>2.</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社区现状</w:t>
      </w:r>
      <w:bookmarkEnd w:id="10"/>
    </w:p>
    <w:p w14:paraId="1FB602BE">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行政区划</w:t>
      </w:r>
    </w:p>
    <w:p w14:paraId="66A9854C">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四川若尔盖湿地国家级自然保护区</w:t>
      </w:r>
      <w:r>
        <w:rPr>
          <w:rFonts w:hint="default" w:ascii="Times New Roman" w:hAnsi="Times New Roman" w:cs="Times New Roman"/>
          <w:color w:val="auto"/>
          <w:highlight w:val="none"/>
        </w:rPr>
        <w:t>行政区域隶属于四川省阿坝藏族羌族自治州若尔盖县，地处该县西北部，涉及达扎寺镇、唐克镇、辖曼镇、红星镇、嫩哇乡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巴西镇、阿西镇、麦溪乡、包座乡</w:t>
      </w:r>
      <w:r>
        <w:rPr>
          <w:rFonts w:hint="default" w:ascii="Times New Roman" w:hAnsi="Times New Roman" w:cs="Times New Roman"/>
          <w:color w:val="auto"/>
          <w:highlight w:val="none"/>
        </w:rPr>
        <w:t>等</w:t>
      </w:r>
      <w:r>
        <w:rPr>
          <w:rFonts w:hint="default" w:ascii="Times New Roman" w:hAnsi="Times New Roman" w:cs="Times New Roman"/>
          <w:color w:val="auto"/>
          <w:highlight w:val="none"/>
          <w:lang w:val="en-US" w:eastAsia="zh-CN"/>
        </w:rPr>
        <w:t>9个</w:t>
      </w:r>
      <w:r>
        <w:rPr>
          <w:rFonts w:hint="default" w:ascii="Times New Roman" w:hAnsi="Times New Roman" w:cs="Times New Roman"/>
          <w:color w:val="auto"/>
          <w:highlight w:val="none"/>
        </w:rPr>
        <w:t>乡镇</w:t>
      </w:r>
      <w:r>
        <w:rPr>
          <w:rFonts w:hint="default" w:ascii="Times New Roman" w:hAnsi="Times New Roman" w:cs="Times New Roman"/>
          <w:color w:val="auto"/>
          <w:highlight w:val="none"/>
          <w:lang w:val="en-US" w:eastAsia="zh-CN"/>
        </w:rPr>
        <w:t>1个白河牧场</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31个行政村，</w:t>
      </w:r>
      <w:r>
        <w:rPr>
          <w:rFonts w:hint="default" w:ascii="Times New Roman" w:hAnsi="Times New Roman" w:cs="Times New Roman"/>
          <w:color w:val="auto"/>
          <w:highlight w:val="none"/>
        </w:rPr>
        <w:t>全域不跨其他县市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见表2-</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p>
    <w:p w14:paraId="3FAA6F1F">
      <w:pPr>
        <w:pStyle w:val="22"/>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eastAsia="仿宋" w:cs="Times New Roman"/>
          <w:b/>
          <w:bCs/>
          <w:color w:val="auto"/>
          <w:sz w:val="28"/>
          <w:szCs w:val="28"/>
          <w:highlight w:val="none"/>
        </w:rPr>
        <w:t>表</w:t>
      </w:r>
      <w:r>
        <w:rPr>
          <w:rFonts w:hint="default" w:ascii="Times New Roman" w:hAnsi="Times New Roman" w:cs="Times New Roman"/>
          <w:b/>
          <w:bCs/>
          <w:color w:val="auto"/>
          <w:sz w:val="28"/>
          <w:szCs w:val="28"/>
          <w:highlight w:val="none"/>
          <w:lang w:val="en-US" w:eastAsia="zh-CN"/>
        </w:rPr>
        <w:t>2-</w:t>
      </w:r>
      <w:r>
        <w:rPr>
          <w:rFonts w:hint="eastAsia" w:ascii="Times New Roman" w:hAnsi="Times New Roman" w:cs="Times New Roman"/>
          <w:b/>
          <w:bCs/>
          <w:color w:val="auto"/>
          <w:sz w:val="28"/>
          <w:szCs w:val="28"/>
          <w:highlight w:val="none"/>
          <w:lang w:val="en-US" w:eastAsia="zh-CN"/>
        </w:rPr>
        <w:t>2</w:t>
      </w:r>
      <w:r>
        <w:rPr>
          <w:rFonts w:hint="default" w:ascii="Times New Roman" w:hAnsi="Times New Roman" w:cs="Times New Roman"/>
          <w:b/>
          <w:bCs/>
          <w:color w:val="auto"/>
          <w:sz w:val="28"/>
          <w:szCs w:val="28"/>
          <w:highlight w:val="none"/>
          <w:lang w:val="en-US" w:eastAsia="zh-CN"/>
        </w:rPr>
        <w:t>-1</w:t>
      </w:r>
      <w:r>
        <w:rPr>
          <w:rFonts w:hint="default" w:ascii="Times New Roman" w:hAnsi="Times New Roman" w:eastAsia="仿宋" w:cs="Times New Roman"/>
          <w:b/>
          <w:bCs/>
          <w:color w:val="auto"/>
          <w:sz w:val="28"/>
          <w:szCs w:val="28"/>
          <w:highlight w:val="none"/>
        </w:rPr>
        <w:t xml:space="preserve"> </w:t>
      </w:r>
      <w:r>
        <w:rPr>
          <w:rFonts w:hint="default" w:ascii="Times New Roman" w:hAnsi="Times New Roman" w:eastAsia="仿宋" w:cs="Times New Roman"/>
          <w:b/>
          <w:bCs/>
          <w:color w:val="auto"/>
          <w:sz w:val="28"/>
          <w:szCs w:val="28"/>
          <w:highlight w:val="none"/>
          <w:lang w:val="en-US" w:eastAsia="zh-CN"/>
        </w:rPr>
        <w:t>保护区涉及的乡镇、行政村统计表</w:t>
      </w:r>
    </w:p>
    <w:tbl>
      <w:tblPr>
        <w:tblStyle w:val="23"/>
        <w:tblW w:w="8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85"/>
        <w:gridCol w:w="5948"/>
      </w:tblGrid>
      <w:tr w14:paraId="3AFB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14093252">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乡（镇、牧场）</w:t>
            </w:r>
          </w:p>
        </w:tc>
        <w:tc>
          <w:tcPr>
            <w:tcW w:w="5948" w:type="dxa"/>
            <w:shd w:val="clear" w:color="auto" w:fill="auto"/>
            <w:noWrap/>
            <w:vAlign w:val="center"/>
          </w:tcPr>
          <w:p w14:paraId="018AD51A">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村</w:t>
            </w:r>
          </w:p>
        </w:tc>
      </w:tr>
      <w:tr w14:paraId="392C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2E861F49">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阿西镇</w:t>
            </w:r>
          </w:p>
        </w:tc>
        <w:tc>
          <w:tcPr>
            <w:tcW w:w="5948" w:type="dxa"/>
            <w:shd w:val="clear" w:color="auto" w:fill="auto"/>
            <w:noWrap/>
            <w:vAlign w:val="center"/>
          </w:tcPr>
          <w:p w14:paraId="62EFA294">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阿西村、罗叉村、上热尔村、下热尔村</w:t>
            </w:r>
          </w:p>
        </w:tc>
      </w:tr>
      <w:tr w14:paraId="5A44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62C2C098">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巴西镇</w:t>
            </w:r>
          </w:p>
        </w:tc>
        <w:tc>
          <w:tcPr>
            <w:tcW w:w="5948" w:type="dxa"/>
            <w:shd w:val="clear" w:color="auto" w:fill="auto"/>
            <w:noWrap/>
            <w:vAlign w:val="center"/>
          </w:tcPr>
          <w:p w14:paraId="2C4B2C3C">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班佑村、多玛村、姜冬村、求吉郎哇村、上巴西村</w:t>
            </w:r>
          </w:p>
        </w:tc>
      </w:tr>
      <w:tr w14:paraId="6051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0F4F7DC7">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包座乡</w:t>
            </w:r>
          </w:p>
        </w:tc>
        <w:tc>
          <w:tcPr>
            <w:tcW w:w="5948" w:type="dxa"/>
            <w:shd w:val="clear" w:color="auto" w:fill="auto"/>
            <w:noWrap/>
            <w:vAlign w:val="center"/>
          </w:tcPr>
          <w:p w14:paraId="1A831533">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达青村</w:t>
            </w:r>
          </w:p>
        </w:tc>
      </w:tr>
      <w:tr w14:paraId="0C92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0752FC85">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达扎寺镇</w:t>
            </w:r>
          </w:p>
        </w:tc>
        <w:tc>
          <w:tcPr>
            <w:tcW w:w="5948" w:type="dxa"/>
            <w:shd w:val="clear" w:color="auto" w:fill="auto"/>
            <w:noWrap/>
            <w:vAlign w:val="center"/>
          </w:tcPr>
          <w:p w14:paraId="7472D2C2">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红光村、岭嘎村、向东村</w:t>
            </w:r>
          </w:p>
        </w:tc>
      </w:tr>
      <w:tr w14:paraId="1D67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49989D0D">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红星镇</w:t>
            </w:r>
          </w:p>
        </w:tc>
        <w:tc>
          <w:tcPr>
            <w:tcW w:w="5948" w:type="dxa"/>
            <w:shd w:val="clear" w:color="auto" w:fill="auto"/>
            <w:noWrap/>
            <w:vAlign w:val="center"/>
          </w:tcPr>
          <w:p w14:paraId="4E698339">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回民村、塔玛村、扎窝村</w:t>
            </w:r>
          </w:p>
        </w:tc>
      </w:tr>
      <w:tr w14:paraId="290B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55E3F714">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麦溪乡</w:t>
            </w:r>
          </w:p>
        </w:tc>
        <w:tc>
          <w:tcPr>
            <w:tcW w:w="5948" w:type="dxa"/>
            <w:shd w:val="clear" w:color="auto" w:fill="auto"/>
            <w:noWrap/>
            <w:vAlign w:val="center"/>
          </w:tcPr>
          <w:p w14:paraId="35BC707E">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黑河村</w:t>
            </w:r>
          </w:p>
        </w:tc>
      </w:tr>
      <w:tr w14:paraId="0A1F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74D635B9">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嫩哇乡</w:t>
            </w:r>
          </w:p>
        </w:tc>
        <w:tc>
          <w:tcPr>
            <w:tcW w:w="5948" w:type="dxa"/>
            <w:shd w:val="clear" w:color="auto" w:fill="auto"/>
            <w:noWrap/>
            <w:vAlign w:val="center"/>
          </w:tcPr>
          <w:p w14:paraId="6FCB1D19">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上村、下村、中村、塔哇村</w:t>
            </w:r>
          </w:p>
        </w:tc>
      </w:tr>
      <w:tr w14:paraId="40DE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186F8130">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唐克镇</w:t>
            </w:r>
          </w:p>
        </w:tc>
        <w:tc>
          <w:tcPr>
            <w:tcW w:w="5948" w:type="dxa"/>
            <w:shd w:val="clear" w:color="auto" w:fill="auto"/>
            <w:noWrap/>
            <w:vAlign w:val="center"/>
          </w:tcPr>
          <w:p w14:paraId="684EB35F">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藏哇村、俄色村、汾甲村、嘎尔玛村、逻花村、索格藏村</w:t>
            </w:r>
          </w:p>
        </w:tc>
      </w:tr>
      <w:tr w14:paraId="241A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085" w:type="dxa"/>
            <w:shd w:val="clear" w:color="auto" w:fill="auto"/>
            <w:noWrap/>
            <w:vAlign w:val="center"/>
          </w:tcPr>
          <w:p w14:paraId="70526B45">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辖曼镇</w:t>
            </w:r>
          </w:p>
        </w:tc>
        <w:tc>
          <w:tcPr>
            <w:tcW w:w="5948" w:type="dxa"/>
            <w:shd w:val="clear" w:color="auto" w:fill="auto"/>
            <w:noWrap/>
            <w:vAlign w:val="center"/>
          </w:tcPr>
          <w:p w14:paraId="095AB11D">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河拉村、卡加村、文戈村、西仓村</w:t>
            </w:r>
          </w:p>
        </w:tc>
      </w:tr>
      <w:tr w14:paraId="7F7D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085" w:type="dxa"/>
            <w:shd w:val="clear" w:color="auto" w:fill="auto"/>
            <w:noWrap/>
            <w:vAlign w:val="center"/>
          </w:tcPr>
          <w:p w14:paraId="0B0C0997">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白河牧场</w:t>
            </w:r>
          </w:p>
        </w:tc>
        <w:tc>
          <w:tcPr>
            <w:tcW w:w="5948" w:type="dxa"/>
            <w:shd w:val="clear" w:color="auto" w:fill="auto"/>
            <w:noWrap/>
            <w:vAlign w:val="center"/>
          </w:tcPr>
          <w:p w14:paraId="6B3EEA03">
            <w:pPr>
              <w:keepNext w:val="0"/>
              <w:keepLines w:val="0"/>
              <w:pageBreakBefore w:val="0"/>
              <w:widowControl/>
              <w:suppressLineNumbers w:val="0"/>
              <w:kinsoku/>
              <w:wordWrap/>
              <w:overflowPunct/>
              <w:topLinePunct w:val="0"/>
              <w:autoSpaceDE/>
              <w:autoSpaceDN/>
              <w:bidi w:val="0"/>
              <w:adjustRightInd/>
              <w:snapToGrid/>
              <w:spacing w:line="260" w:lineRule="atLeast"/>
              <w:ind w:left="0" w:leftChars="0" w:firstLine="0" w:firstLine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w:t>
            </w:r>
          </w:p>
        </w:tc>
      </w:tr>
    </w:tbl>
    <w:p w14:paraId="14A268CA">
      <w:pPr>
        <w:pStyle w:val="4"/>
        <w:rPr>
          <w:rFonts w:hint="default" w:ascii="Times New Roman" w:hAnsi="Times New Roman" w:eastAsia="黑体" w:cs="Times New Roman"/>
          <w:color w:val="auto"/>
          <w:highlight w:val="none"/>
          <w:lang w:val="en-US" w:eastAsia="zh-CN"/>
        </w:rPr>
      </w:pPr>
      <w:r>
        <w:rPr>
          <w:rFonts w:hint="default" w:ascii="Times New Roman" w:hAnsi="Times New Roman" w:cs="Times New Roman"/>
          <w:color w:val="auto"/>
          <w:highlight w:val="none"/>
        </w:rPr>
        <w:t>2.</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人口数量与民族组成</w:t>
      </w:r>
    </w:p>
    <w:p w14:paraId="561AEFB3">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保护区内涉及31个自然村，共涉及32189人，其中核心保护区20156人，一般控制区12033人，</w:t>
      </w:r>
      <w:r>
        <w:rPr>
          <w:rFonts w:hint="default" w:ascii="Times New Roman" w:hAnsi="Times New Roman" w:cs="Times New Roman"/>
          <w:color w:val="auto"/>
          <w:highlight w:val="none"/>
        </w:rPr>
        <w:t>民族组成以藏族为主体，</w:t>
      </w:r>
      <w:r>
        <w:rPr>
          <w:rFonts w:hint="default" w:ascii="Times New Roman" w:hAnsi="Times New Roman" w:cs="Times New Roman"/>
          <w:color w:val="auto"/>
          <w:highlight w:val="none"/>
          <w:lang w:val="en-US" w:eastAsia="zh-CN"/>
        </w:rPr>
        <w:t>占比超过90%，</w:t>
      </w:r>
      <w:r>
        <w:rPr>
          <w:rFonts w:hint="default" w:ascii="Times New Roman" w:hAnsi="Times New Roman" w:cs="Times New Roman"/>
          <w:color w:val="auto"/>
          <w:highlight w:val="none"/>
        </w:rPr>
        <w:t>形成以藏族为主体、多民族共生的格局。</w:t>
      </w:r>
      <w:r>
        <w:rPr>
          <w:rFonts w:hint="default" w:ascii="Times New Roman" w:hAnsi="Times New Roman" w:cs="Times New Roman"/>
          <w:color w:val="auto"/>
          <w:highlight w:val="none"/>
          <w:lang w:val="en-US" w:eastAsia="zh-CN"/>
        </w:rPr>
        <w:t>保护区内原有居民</w:t>
      </w:r>
      <w:r>
        <w:rPr>
          <w:rFonts w:hint="default" w:ascii="Times New Roman" w:hAnsi="Times New Roman" w:cs="Times New Roman"/>
          <w:color w:val="auto"/>
          <w:highlight w:val="none"/>
        </w:rPr>
        <w:t>长期从事畜牧业生产，传承着传统藏族游牧文化。</w:t>
      </w:r>
    </w:p>
    <w:p w14:paraId="70063EB3">
      <w:pPr>
        <w:pStyle w:val="2"/>
        <w:keepNext w:val="0"/>
        <w:keepLines/>
        <w:pageBreakBefore/>
        <w:widowControl w:val="0"/>
        <w:numPr>
          <w:ilvl w:val="0"/>
          <w:numId w:val="2"/>
        </w:numPr>
        <w:kinsoku/>
        <w:wordWrap/>
        <w:overflowPunct/>
        <w:topLinePunct w:val="0"/>
        <w:autoSpaceDE/>
        <w:autoSpaceDN/>
        <w:bidi w:val="0"/>
        <w:adjustRightInd/>
        <w:snapToGrid/>
        <w:spacing w:after="156"/>
        <w:ind w:left="0" w:leftChars="0" w:firstLine="0" w:firstLineChars="0"/>
        <w:textAlignment w:val="auto"/>
        <w:rPr>
          <w:rFonts w:hint="default" w:ascii="Times New Roman" w:hAnsi="Times New Roman" w:cs="Times New Roman"/>
          <w:color w:val="auto"/>
          <w:highlight w:val="none"/>
          <w:lang w:eastAsia="zh-CN"/>
        </w:rPr>
      </w:pPr>
      <w:bookmarkStart w:id="11" w:name="_Toc21023"/>
      <w:bookmarkStart w:id="12" w:name="_Toc25299"/>
      <w:r>
        <w:rPr>
          <w:rFonts w:hint="eastAsia" w:ascii="Times New Roman" w:hAnsi="Times New Roman" w:cs="Times New Roman"/>
          <w:color w:val="auto"/>
          <w:highlight w:val="none"/>
          <w:lang w:val="en-US" w:eastAsia="zh-CN"/>
        </w:rPr>
        <w:t>规划</w:t>
      </w:r>
      <w:r>
        <w:rPr>
          <w:rFonts w:hint="default" w:ascii="Times New Roman" w:hAnsi="Times New Roman" w:cs="Times New Roman"/>
          <w:color w:val="auto"/>
          <w:highlight w:val="none"/>
          <w:lang w:eastAsia="zh-CN"/>
        </w:rPr>
        <w:t>原则、目标及</w:t>
      </w:r>
      <w:r>
        <w:rPr>
          <w:rFonts w:hint="default" w:ascii="Times New Roman" w:hAnsi="Times New Roman" w:cs="Times New Roman"/>
          <w:color w:val="auto"/>
          <w:highlight w:val="none"/>
          <w:lang w:val="en-US" w:eastAsia="zh-CN"/>
        </w:rPr>
        <w:t>总体布局</w:t>
      </w:r>
      <w:bookmarkEnd w:id="11"/>
      <w:bookmarkEnd w:id="12"/>
    </w:p>
    <w:p w14:paraId="5212DD1F">
      <w:pPr>
        <w:pStyle w:val="3"/>
        <w:rPr>
          <w:rFonts w:hint="default" w:ascii="Times New Roman" w:hAnsi="Times New Roman" w:cs="Times New Roman"/>
          <w:color w:val="auto"/>
          <w:highlight w:val="none"/>
        </w:rPr>
      </w:pPr>
      <w:bookmarkStart w:id="13" w:name="_Toc26236"/>
      <w:bookmarkStart w:id="14" w:name="_Toc486"/>
      <w:r>
        <w:rPr>
          <w:rFonts w:hint="eastAsia" w:ascii="Times New Roman" w:hAnsi="Times New Roman" w:cs="Times New Roman"/>
          <w:color w:val="auto"/>
          <w:highlight w:val="none"/>
          <w:lang w:val="en-US" w:eastAsia="zh-CN"/>
        </w:rPr>
        <w:t>3.1</w:t>
      </w:r>
      <w:r>
        <w:rPr>
          <w:rFonts w:hint="default" w:ascii="Times New Roman" w:hAnsi="Times New Roman" w:cs="Times New Roman"/>
          <w:color w:val="auto"/>
          <w:highlight w:val="none"/>
          <w:lang w:val="en-US" w:eastAsia="zh-CN"/>
        </w:rPr>
        <w:t>规划</w:t>
      </w:r>
      <w:r>
        <w:rPr>
          <w:rFonts w:hint="default" w:ascii="Times New Roman" w:hAnsi="Times New Roman" w:cs="Times New Roman"/>
          <w:color w:val="auto"/>
          <w:highlight w:val="none"/>
        </w:rPr>
        <w:t>原则</w:t>
      </w:r>
      <w:bookmarkEnd w:id="13"/>
      <w:bookmarkEnd w:id="14"/>
    </w:p>
    <w:p w14:paraId="527BD3F3">
      <w:pPr>
        <w:numPr>
          <w:ilvl w:val="0"/>
          <w:numId w:val="3"/>
        </w:num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生态优先、践行“两山”理念</w:t>
      </w:r>
    </w:p>
    <w:p w14:paraId="701BA21D">
      <w:pPr>
        <w:numPr>
          <w:ilvl w:val="0"/>
          <w:numId w:val="0"/>
        </w:numPr>
        <w:ind w:firstLine="56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坚持将保护自然环境、自然资源、生物多样性及完整的高寒湿地生态系统作为首要任务，深入践行“绿水青山就是金山银山”理念，实行山水林田湖草沙一体化保护，整体保护、系统修复、综合治理。严格执行新《自然保护区条例》分区管控要求，维护若尔盖湿地生态系统的原始性、完整性与独特性，严禁破坏自然景观与珍稀物种栖息地。一切工程建设与人为活动必须符合相关法律法规及政策，守住生态安全底线，着力筑牢长江黄河上游生态屏障。</w:t>
      </w:r>
    </w:p>
    <w:p w14:paraId="222DC597">
      <w:pPr>
        <w:ind w:firstLine="560"/>
        <w:jc w:val="left"/>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因地制宜、科学施策</w:t>
      </w:r>
    </w:p>
    <w:p w14:paraId="114DD784">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立足若尔盖高原高寒区的特殊地理环境，坚持因地制宜、突出特色，尊重自然生态系统的完整性与连续性，科学合理地进行空间布局与功能分区。规划项目坚持“先急后缓、先易后难”，避免重复建设，确保方案具有科学性、可操作性与落地性，便于实施与长效管理</w:t>
      </w:r>
      <w:r>
        <w:rPr>
          <w:rFonts w:hint="default" w:ascii="Times New Roman" w:hAnsi="Times New Roman" w:cs="Times New Roman"/>
          <w:color w:val="auto"/>
          <w:highlight w:val="none"/>
        </w:rPr>
        <w:t>。</w:t>
      </w:r>
    </w:p>
    <w:p w14:paraId="53C85BB3">
      <w:pPr>
        <w:ind w:firstLine="560"/>
        <w:jc w:val="left"/>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绿色发展、民生改善</w:t>
      </w:r>
    </w:p>
    <w:p w14:paraId="63D31748">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在严格保护的前提下，适度、可持续地开发利用景观与草场资源，坚持生态保护第一、统筹保护和发展，遵循自然规律，与地方经济发展规划有效衔接。坚持以人民为中心的发展思想，推动自然教育、生态旅游等绿色产业，构建政府主导、多方参与、社会共享的机制，实现生态效益、社会效益与经济效益同步提升，促进社区群众增收，实现生态保护、绿色发展、民生改善相统一</w:t>
      </w:r>
      <w:r>
        <w:rPr>
          <w:rFonts w:hint="default" w:ascii="Times New Roman" w:hAnsi="Times New Roman" w:cs="Times New Roman"/>
          <w:color w:val="auto"/>
          <w:highlight w:val="none"/>
        </w:rPr>
        <w:t>。</w:t>
      </w:r>
    </w:p>
    <w:p w14:paraId="6DE55F38">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（4）前瞻引领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高标准建设</w:t>
      </w:r>
    </w:p>
    <w:p w14:paraId="6ECBC9E6">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构兼顾保护区当前实际需求与长远发展空间，充分借鉴国际国内先进的保护、管理与规划经验。坚持高起点、高标准、高要求，积极采用先进科学技术，推动保护管理、科研监测、智慧监管等能力现代化，使规划最大限度适应保护区持续发展的需要。</w:t>
      </w:r>
    </w:p>
    <w:p w14:paraId="3628F43A">
      <w:pPr>
        <w:pStyle w:val="3"/>
        <w:rPr>
          <w:rFonts w:hint="default" w:ascii="Times New Roman" w:hAnsi="Times New Roman" w:cs="Times New Roman"/>
          <w:color w:val="auto"/>
          <w:highlight w:val="none"/>
        </w:rPr>
      </w:pPr>
      <w:bookmarkStart w:id="15" w:name="_Toc28678"/>
      <w:bookmarkStart w:id="16" w:name="_Toc18014"/>
      <w:r>
        <w:rPr>
          <w:rFonts w:hint="eastAsia" w:ascii="Times New Roman" w:hAnsi="Times New Roman" w:cs="Times New Roman"/>
          <w:color w:val="auto"/>
          <w:highlight w:val="none"/>
          <w:lang w:val="en-US" w:eastAsia="zh-CN"/>
        </w:rPr>
        <w:t>3.2</w:t>
      </w:r>
      <w:r>
        <w:rPr>
          <w:rFonts w:hint="default" w:ascii="Times New Roman" w:hAnsi="Times New Roman" w:cs="Times New Roman"/>
          <w:color w:val="auto"/>
          <w:highlight w:val="none"/>
        </w:rPr>
        <w:t>规划期限</w:t>
      </w:r>
      <w:bookmarkEnd w:id="15"/>
      <w:bookmarkEnd w:id="16"/>
    </w:p>
    <w:p w14:paraId="2A8E8AD3">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本次规划考虑</w:t>
      </w:r>
      <w:r>
        <w:rPr>
          <w:rFonts w:hint="default" w:ascii="Times New Roman" w:hAnsi="Times New Roman" w:cs="Times New Roman"/>
          <w:color w:val="auto"/>
          <w:highlight w:val="none"/>
          <w:lang w:eastAsia="zh-CN"/>
        </w:rPr>
        <w:t>四川若尔盖湿地国家级自然保护区建设</w:t>
      </w:r>
      <w:r>
        <w:rPr>
          <w:rFonts w:hint="default" w:ascii="Times New Roman" w:hAnsi="Times New Roman" w:cs="Times New Roman"/>
          <w:color w:val="auto"/>
          <w:highlight w:val="none"/>
        </w:rPr>
        <w:t>实际需求，规划期限为10年，即20</w:t>
      </w:r>
      <w:r>
        <w:rPr>
          <w:rFonts w:hint="default" w:ascii="Times New Roman" w:hAnsi="Times New Roman" w:cs="Times New Roman"/>
          <w:color w:val="auto"/>
          <w:highlight w:val="none"/>
          <w:lang w:val="en-US" w:eastAsia="zh-CN"/>
        </w:rPr>
        <w:t>26</w:t>
      </w:r>
      <w:r>
        <w:rPr>
          <w:rFonts w:hint="default" w:ascii="Times New Roman" w:hAnsi="Times New Roman" w:cs="Times New Roman"/>
          <w:color w:val="auto"/>
          <w:highlight w:val="none"/>
        </w:rPr>
        <w:t>-20</w:t>
      </w:r>
      <w:r>
        <w:rPr>
          <w:rFonts w:hint="default" w:ascii="Times New Roman" w:hAnsi="Times New Roman" w:cs="Times New Roman"/>
          <w:color w:val="auto"/>
          <w:highlight w:val="none"/>
          <w:lang w:val="en-US" w:eastAsia="zh-CN"/>
        </w:rPr>
        <w:t>35</w:t>
      </w:r>
      <w:r>
        <w:rPr>
          <w:rFonts w:hint="default" w:ascii="Times New Roman" w:hAnsi="Times New Roman" w:cs="Times New Roman"/>
          <w:color w:val="auto"/>
          <w:highlight w:val="none"/>
        </w:rPr>
        <w:t>年。规划分两期实施，其中：近期为</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年，即20</w:t>
      </w:r>
      <w:r>
        <w:rPr>
          <w:rFonts w:hint="default" w:ascii="Times New Roman" w:hAnsi="Times New Roman" w:cs="Times New Roman"/>
          <w:color w:val="auto"/>
          <w:highlight w:val="none"/>
          <w:lang w:val="en-US" w:eastAsia="zh-CN"/>
        </w:rPr>
        <w:t>26</w:t>
      </w:r>
      <w:r>
        <w:rPr>
          <w:rFonts w:hint="default" w:ascii="Times New Roman" w:hAnsi="Times New Roman" w:cs="Times New Roman"/>
          <w:color w:val="auto"/>
          <w:highlight w:val="none"/>
        </w:rPr>
        <w:t>年-20</w:t>
      </w:r>
      <w:r>
        <w:rPr>
          <w:rFonts w:hint="default" w:ascii="Times New Roman" w:hAnsi="Times New Roman" w:cs="Times New Roman"/>
          <w:color w:val="auto"/>
          <w:highlight w:val="none"/>
          <w:lang w:val="en-US" w:eastAsia="zh-CN"/>
        </w:rPr>
        <w:t>30</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eastAsia="zh-CN"/>
        </w:rPr>
        <w:t>中长期</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年，即20</w:t>
      </w:r>
      <w:r>
        <w:rPr>
          <w:rFonts w:hint="default" w:ascii="Times New Roman" w:hAnsi="Times New Roman" w:cs="Times New Roman"/>
          <w:color w:val="auto"/>
          <w:highlight w:val="none"/>
          <w:lang w:val="en-US" w:eastAsia="zh-CN"/>
        </w:rPr>
        <w:t>31</w:t>
      </w:r>
      <w:r>
        <w:rPr>
          <w:rFonts w:hint="default" w:ascii="Times New Roman" w:hAnsi="Times New Roman" w:cs="Times New Roman"/>
          <w:color w:val="auto"/>
          <w:highlight w:val="none"/>
        </w:rPr>
        <w:t>年-20</w:t>
      </w:r>
      <w:r>
        <w:rPr>
          <w:rFonts w:hint="default" w:ascii="Times New Roman" w:hAnsi="Times New Roman" w:cs="Times New Roman"/>
          <w:color w:val="auto"/>
          <w:highlight w:val="none"/>
          <w:lang w:val="en-US" w:eastAsia="zh-CN"/>
        </w:rPr>
        <w:t>35</w:t>
      </w:r>
      <w:r>
        <w:rPr>
          <w:rFonts w:hint="default" w:ascii="Times New Roman" w:hAnsi="Times New Roman" w:cs="Times New Roman"/>
          <w:color w:val="auto"/>
          <w:highlight w:val="none"/>
        </w:rPr>
        <w:t>年。</w:t>
      </w:r>
    </w:p>
    <w:p w14:paraId="4EF8E545">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本规划基准年为2025年，相关统计数据以基准年为准。</w:t>
      </w:r>
    </w:p>
    <w:p w14:paraId="2306503D">
      <w:pPr>
        <w:pStyle w:val="3"/>
        <w:rPr>
          <w:rFonts w:hint="default" w:ascii="Times New Roman" w:hAnsi="Times New Roman" w:cs="Times New Roman"/>
          <w:color w:val="auto"/>
          <w:highlight w:val="none"/>
          <w:lang w:val="en-US" w:eastAsia="zh-CN"/>
        </w:rPr>
      </w:pPr>
      <w:bookmarkStart w:id="17" w:name="_Toc404"/>
      <w:bookmarkStart w:id="18" w:name="_Toc5774"/>
      <w:r>
        <w:rPr>
          <w:rFonts w:hint="eastAsia" w:ascii="Times New Roman" w:hAnsi="Times New Roman" w:cs="Times New Roman"/>
          <w:color w:val="auto"/>
          <w:highlight w:val="none"/>
          <w:lang w:val="en-US" w:eastAsia="zh-CN"/>
        </w:rPr>
        <w:t>3.3</w:t>
      </w:r>
      <w:r>
        <w:rPr>
          <w:rFonts w:hint="default" w:ascii="Times New Roman" w:hAnsi="Times New Roman" w:cs="Times New Roman"/>
          <w:color w:val="auto"/>
          <w:highlight w:val="none"/>
          <w:lang w:val="en-US" w:eastAsia="zh-CN"/>
        </w:rPr>
        <w:t xml:space="preserve"> 规划目标</w:t>
      </w:r>
      <w:bookmarkEnd w:id="17"/>
      <w:bookmarkEnd w:id="18"/>
    </w:p>
    <w:p w14:paraId="6EC0AE75">
      <w:pPr>
        <w:pStyle w:val="4"/>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3.3.</w:t>
      </w:r>
      <w:r>
        <w:rPr>
          <w:rFonts w:hint="default" w:ascii="Times New Roman" w:hAnsi="Times New Roman" w:cs="Times New Roman"/>
          <w:color w:val="auto"/>
          <w:highlight w:val="none"/>
          <w:lang w:val="en-US" w:eastAsia="zh-CN"/>
        </w:rPr>
        <w:t>1保护</w:t>
      </w:r>
      <w:r>
        <w:rPr>
          <w:rFonts w:hint="default" w:ascii="Times New Roman" w:hAnsi="Times New Roman" w:cs="Times New Roman"/>
          <w:color w:val="auto"/>
          <w:highlight w:val="none"/>
        </w:rPr>
        <w:t>目标</w:t>
      </w:r>
    </w:p>
    <w:p w14:paraId="2ADCD230">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围绕高寒湿地生态系统保育与珍稀物种保护核心任务，确立以下重点保护目标：</w:t>
      </w:r>
    </w:p>
    <w:p w14:paraId="2A185B23">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加强高寒沼泽湿地生态系统与栖息地保护修复，有效保育高寒沼泽、泥炭资源及黑颈鹤等珍稀物种，坚决遏制草原与泥炭沼泽退化态势，显著提升区域生物多样性维系能力。实施轻度至中度退化湿地修复工程，恢复退化湿地生态功能，核减核心保护区超载牲畜数量，优化湿地水文格局，保障湿地生态系统健康稳定。</w:t>
      </w:r>
    </w:p>
    <w:p w14:paraId="08AD19D7">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（2）强化珍稀水鸟栖息地修复与生境质量改善，重点保障黑颈鹤繁殖种群稳中有增，同步保护斑头雁、白尾海雕等珍稀水鸟及其栖息环境，构建珍稀物种长效保护机制。</w:t>
      </w:r>
    </w:p>
    <w:p w14:paraId="3F9C72D1">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（3）充分发挥湿地资源供给、水源涵养、气候调节、碳汇固存等多元化生态系统服务功能，系统评估并提升湿地碳汇功能及水鸟兽类种群栖息地的科研监测水平，为区域生态安全提供坚实保障。</w:t>
      </w:r>
    </w:p>
    <w:p w14:paraId="3178255E">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（4）引导牧区传统生产生活方式向绿色低碳转型，合理利用草原与湿地资源，促进生态保护与民生改善协调发展，筑牢高原藏区人与自然和谐共生的可持续发展底色。</w:t>
      </w:r>
    </w:p>
    <w:p w14:paraId="2B02345F">
      <w:pPr>
        <w:pStyle w:val="4"/>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3.3</w:t>
      </w:r>
      <w:r>
        <w:rPr>
          <w:rFonts w:hint="default" w:ascii="Times New Roman" w:hAnsi="Times New Roman" w:cs="Times New Roman"/>
          <w:color w:val="auto"/>
          <w:highlight w:val="none"/>
          <w:lang w:val="en-US" w:eastAsia="zh-CN"/>
        </w:rPr>
        <w:t>.2管理</w:t>
      </w:r>
      <w:r>
        <w:rPr>
          <w:rFonts w:hint="default" w:ascii="Times New Roman" w:hAnsi="Times New Roman" w:cs="Times New Roman"/>
          <w:color w:val="auto"/>
          <w:highlight w:val="none"/>
        </w:rPr>
        <w:t>目标</w:t>
      </w:r>
    </w:p>
    <w:p w14:paraId="118FD95E">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以提升保护管理效能和科研支撑能力为核心，系统推进管理体制、人才队伍、监测平台与公众教育体系建设，确立以下管理目标：</w:t>
      </w:r>
    </w:p>
    <w:p w14:paraId="296953A9">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健全“管理局—管理站”二级管护体系，新建3处管理站并正式投入使用，配套完善管护设施与专业人员配置，实现保护区全域网格化管护覆盖。管护人员总规模达70人以上，其中专业技术人员占比不低于60%，全面提升高寒湿地保护管理与科研监测专业化水平。</w:t>
      </w:r>
    </w:p>
    <w:p w14:paraId="0B11B2C6">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搭建高水平科研与监测平台，建立常态化生物多样性动态监测机制。重点实施黑颈鹤、斑头雁、白尾海雕等珍稀水鸟及狼等兽类种群的系统监测，同步开展湿地野生动物疫源疫病监测与防控工作，构建覆盖主要保护对象的长期科研监测数据库。</w:t>
      </w:r>
    </w:p>
    <w:p w14:paraId="0FC1CA25">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升级智慧一体化信息管理系统，深度融合物联网、大数据与地理信息技术，实现巡护管理、监测预警、应急指挥的全流程数字化、智能化运作，推动保护区综合管理效率大幅提升，智慧管理水平达到国内领先标准。</w:t>
      </w:r>
    </w:p>
    <w:p w14:paraId="34FC724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（4）推进“生态文明教育基地”建设，搭建功能完善的自然教育与宣传展示平台，开发面向不同受众群体的生态科普课程与体验活动，持续扩大生态保护意识的社会影响力。</w:t>
      </w:r>
    </w:p>
    <w:p w14:paraId="547A7A0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依托花湖湿地、黄河九曲第一湾、喀哈尔乔湿地等核心生态旅游资源，实施高端生态旅游品牌培育战略，着力打造“世界最美高寒湿地”和“黄河之肾”两大旅游品牌，初步构建集生态观光、科学考察、文化体验于一体的高端生态旅游产业服务平台。</w:t>
      </w:r>
    </w:p>
    <w:p w14:paraId="73891BFE">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中长期阶段，全面理顺保护区管理体制机制，建立健全跨部门协调联动机制，与国内外知名科研机构和高等院校建立一对一合作关系，持续深化高端生态旅游开发与社区共建共享机制，实现保护与发展的协调共赢。</w:t>
      </w:r>
    </w:p>
    <w:p w14:paraId="64D07665">
      <w:pPr>
        <w:pStyle w:val="4"/>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3.3.</w:t>
      </w:r>
      <w:r>
        <w:rPr>
          <w:rFonts w:hint="default" w:ascii="Times New Roman" w:hAnsi="Times New Roman" w:cs="Times New Roman"/>
          <w:color w:val="auto"/>
          <w:highlight w:val="none"/>
          <w:lang w:val="en-US" w:eastAsia="zh-CN"/>
        </w:rPr>
        <w:t>3建设</w:t>
      </w:r>
      <w:r>
        <w:rPr>
          <w:rFonts w:hint="default" w:ascii="Times New Roman" w:hAnsi="Times New Roman" w:cs="Times New Roman"/>
          <w:color w:val="auto"/>
          <w:highlight w:val="none"/>
        </w:rPr>
        <w:t>目标</w:t>
      </w:r>
    </w:p>
    <w:p w14:paraId="772DE030">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以夯实保护区硬件基础和提升智慧化运营能力为重点，统筹推进基础设施与信息系统建设，确立以下建设目标：</w:t>
      </w:r>
    </w:p>
    <w:p w14:paraId="51DF0AE4">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（1）开展保护区保护管理体系建设，按照标准化、规范化要求完成新建管理站的站房建设与功能配置，同步推进现有站点的改造升级，确保管理站布局合理、功能完备、运转高效。</w:t>
      </w:r>
    </w:p>
    <w:p w14:paraId="5718236F">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完成保护区巡护道路网络建设，改善巡护通达条件，保障日常巡护监测与应急响应的交通需求。同步配套完善给排水工程、交通工程、信息系统工程、消防工程及环保工程等基础设施，全面提升保护区综合承载能力。</w:t>
      </w:r>
    </w:p>
    <w:p w14:paraId="3DB293A5">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以升级扩建保护区智慧一体化管理平台为核心抓手，加快推进天空地一体化智慧监测与巡护体系建设，集成卫星遥感监测、无人机巡护、地面监控终端与物联网感知设备，构建覆盖全域、实时高效、数据共享的立体化监测网络，推动保护管理整体水平达到国内领先标准。</w:t>
      </w:r>
    </w:p>
    <w:p w14:paraId="4730A665">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（4）同步构建生态科研监测基础网络，科学布设固定监测样地、样线及自动监测站点，配备高精度监测仪器与数据采集设备，为科研监测工作提供坚实的数据支撑与技术保障。</w:t>
      </w:r>
    </w:p>
    <w:p w14:paraId="19FE3DA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中长期阶段，在近期建设成果基础上进一步完善保护管理工程、生态修复工程、科研监测工程、公众教育工程、可持续发展工程和基础设施建设工程六大类重点项目，推动保护区能力建设全面满足保护需求，为区域社会经济可持续发展提供坚实支撑。</w:t>
      </w:r>
    </w:p>
    <w:p w14:paraId="18C453C7">
      <w:pPr>
        <w:pStyle w:val="3"/>
        <w:rPr>
          <w:rFonts w:hint="default" w:ascii="Times New Roman" w:hAnsi="Times New Roman" w:eastAsia="黑体" w:cs="Times New Roman"/>
          <w:color w:val="auto"/>
          <w:highlight w:val="none"/>
          <w:lang w:val="en-US" w:eastAsia="zh-CN"/>
        </w:rPr>
      </w:pPr>
      <w:bookmarkStart w:id="19" w:name="_Toc7438"/>
      <w:bookmarkStart w:id="20" w:name="_Toc5999"/>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bookmarkEnd w:id="19"/>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管控分区</w:t>
      </w:r>
      <w:bookmarkEnd w:id="20"/>
    </w:p>
    <w:p w14:paraId="281DBB26">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依据</w:t>
      </w:r>
      <w:r>
        <w:rPr>
          <w:rFonts w:hint="default" w:ascii="Times New Roman" w:hAnsi="Times New Roman" w:cs="Times New Roman"/>
          <w:color w:val="auto"/>
          <w:highlight w:val="none"/>
          <w:lang w:val="en-US" w:eastAsia="zh-CN"/>
        </w:rPr>
        <w:t>自然保护地整合优化成果</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原四川喀哈尔乔湿地自然保护区和原四川若尔盖国家湿地公园整体划入四川若尔盖湿地国家级自然保护区范围。现</w:t>
      </w:r>
      <w:r>
        <w:rPr>
          <w:rFonts w:hint="default" w:ascii="Times New Roman" w:hAnsi="Times New Roman" w:cs="Times New Roman"/>
          <w:color w:val="auto"/>
          <w:highlight w:val="none"/>
          <w:lang w:eastAsia="zh-CN"/>
        </w:rPr>
        <w:t>若尔盖自然保护区</w:t>
      </w:r>
      <w:r>
        <w:rPr>
          <w:rFonts w:hint="default" w:ascii="Times New Roman" w:hAnsi="Times New Roman" w:cs="Times New Roman"/>
          <w:color w:val="auto"/>
          <w:highlight w:val="none"/>
        </w:rPr>
        <w:t>地处四川省阿坝藏族羌族自治州若尔盖县境内，保护区地理位置东经102°28′36″-102°58′11″和北纬 33°25′54″-34°00′02″，东西宽97公里，南北长90公里。</w:t>
      </w:r>
      <w:r>
        <w:rPr>
          <w:rFonts w:hint="default" w:ascii="Times New Roman" w:hAnsi="Times New Roman" w:cs="Times New Roman"/>
          <w:color w:val="auto"/>
          <w:highlight w:val="none"/>
          <w:lang w:val="en-US" w:eastAsia="zh-CN"/>
        </w:rPr>
        <w:t>保护区四至范围北起唐克-红星公路，南至若尔盖县界，西临川甘省界，东达213国道若尔盖至川主寺段。</w:t>
      </w:r>
      <w:r>
        <w:rPr>
          <w:rFonts w:hint="default" w:ascii="Times New Roman" w:hAnsi="Times New Roman" w:cs="Times New Roman"/>
          <w:color w:val="auto"/>
          <w:highlight w:val="none"/>
        </w:rPr>
        <w:t>保护区总面积</w:t>
      </w:r>
      <w:r>
        <w:rPr>
          <w:rFonts w:hint="default" w:ascii="Times New Roman" w:hAnsi="Times New Roman" w:cs="Times New Roman"/>
          <w:color w:val="auto"/>
          <w:highlight w:val="none"/>
          <w:lang w:val="en-US" w:eastAsia="zh-CN"/>
        </w:rPr>
        <w:t>396526.38</w:t>
      </w:r>
      <w:r>
        <w:rPr>
          <w:rFonts w:hint="default" w:ascii="Times New Roman" w:hAnsi="Times New Roman" w:cs="Times New Roman"/>
          <w:color w:val="auto"/>
          <w:highlight w:val="none"/>
        </w:rPr>
        <w:t>公顷，其中核心保护区</w:t>
      </w:r>
      <w:r>
        <w:rPr>
          <w:rFonts w:hint="default" w:ascii="Times New Roman" w:hAnsi="Times New Roman" w:cs="Times New Roman"/>
          <w:color w:val="auto"/>
          <w:highlight w:val="none"/>
          <w:lang w:val="en-US" w:eastAsia="zh-CN"/>
        </w:rPr>
        <w:t>261404.64</w:t>
      </w:r>
      <w:r>
        <w:rPr>
          <w:rFonts w:hint="default" w:ascii="Times New Roman" w:hAnsi="Times New Roman" w:cs="Times New Roman"/>
          <w:color w:val="auto"/>
          <w:highlight w:val="none"/>
        </w:rPr>
        <w:t>公顷，一般控制区</w:t>
      </w:r>
      <w:r>
        <w:rPr>
          <w:rFonts w:hint="default" w:ascii="Times New Roman" w:hAnsi="Times New Roman" w:cs="Times New Roman"/>
          <w:color w:val="auto"/>
          <w:highlight w:val="none"/>
          <w:lang w:val="en-US" w:eastAsia="zh-CN"/>
        </w:rPr>
        <w:t>132421.74</w:t>
      </w:r>
      <w:r>
        <w:rPr>
          <w:rFonts w:hint="default" w:ascii="Times New Roman" w:hAnsi="Times New Roman" w:cs="Times New Roman"/>
          <w:color w:val="auto"/>
          <w:highlight w:val="none"/>
        </w:rPr>
        <w:t>公顷。</w:t>
      </w:r>
    </w:p>
    <w:p w14:paraId="19B9DB46">
      <w:pPr>
        <w:ind w:firstLine="562"/>
        <w:jc w:val="center"/>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highlight w:val="none"/>
          <w:lang w:eastAsia="zh-CN"/>
        </w:rPr>
        <w:drawing>
          <wp:inline distT="0" distB="0" distL="114300" distR="114300">
            <wp:extent cx="2386965" cy="3175635"/>
            <wp:effectExtent l="0" t="0" r="13335" b="5715"/>
            <wp:docPr id="8" name="图片 8" descr="附图10功能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附图10功能分区图"/>
                    <pic:cNvPicPr>
                      <a:picLocks noChangeAspect="1"/>
                    </pic:cNvPicPr>
                  </pic:nvPicPr>
                  <pic:blipFill>
                    <a:blip r:embed="rId13"/>
                    <a:srcRect l="3177" t="8858" r="2706" b="2580"/>
                    <a:stretch>
                      <a:fillRect/>
                    </a:stretch>
                  </pic:blipFill>
                  <pic:spPr>
                    <a:xfrm>
                      <a:off x="0" y="0"/>
                      <a:ext cx="2386965" cy="3175635"/>
                    </a:xfrm>
                    <a:prstGeom prst="rect">
                      <a:avLst/>
                    </a:prstGeom>
                  </pic:spPr>
                </pic:pic>
              </a:graphicData>
            </a:graphic>
          </wp:inline>
        </w:drawing>
      </w:r>
    </w:p>
    <w:p w14:paraId="6C701166">
      <w:pPr>
        <w:ind w:firstLine="562"/>
        <w:jc w:val="center"/>
        <w:rPr>
          <w:rFonts w:hint="default" w:ascii="Times New Roman" w:hAnsi="Times New Roman" w:eastAsia="仿宋" w:cs="Times New Roman"/>
          <w:b/>
          <w:bCs/>
          <w:color w:val="auto"/>
          <w:highlight w:val="none"/>
          <w:lang w:eastAsia="zh-CN"/>
        </w:rPr>
      </w:pPr>
      <w:r>
        <w:rPr>
          <w:rFonts w:hint="default" w:ascii="Times New Roman" w:hAnsi="Times New Roman" w:cs="Times New Roman"/>
          <w:b/>
          <w:bCs/>
          <w:color w:val="auto"/>
          <w:highlight w:val="none"/>
          <w:lang w:val="en-US" w:eastAsia="zh-CN"/>
        </w:rPr>
        <w:t>图</w:t>
      </w:r>
      <w:r>
        <w:rPr>
          <w:rFonts w:hint="eastAsia"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lang w:eastAsia="zh-CN"/>
        </w:rPr>
        <w:t>四川若尔盖湿地国家级自然保护区</w:t>
      </w:r>
      <w:r>
        <w:rPr>
          <w:rFonts w:hint="default" w:ascii="Times New Roman" w:hAnsi="Times New Roman" w:cs="Times New Roman"/>
          <w:b/>
          <w:bCs/>
          <w:color w:val="auto"/>
          <w:highlight w:val="none"/>
        </w:rPr>
        <w:t>功能区划</w:t>
      </w:r>
      <w:r>
        <w:rPr>
          <w:rFonts w:hint="default" w:ascii="Times New Roman" w:hAnsi="Times New Roman" w:cs="Times New Roman"/>
          <w:b/>
          <w:bCs/>
          <w:color w:val="auto"/>
          <w:highlight w:val="none"/>
          <w:lang w:val="en-US" w:eastAsia="zh-CN"/>
        </w:rPr>
        <w:t>图</w:t>
      </w:r>
    </w:p>
    <w:p w14:paraId="1589C0CF">
      <w:pPr>
        <w:ind w:left="0" w:leftChars="0"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lang w:eastAsia="zh-CN"/>
        </w:rPr>
        <w:t>四川若尔盖湿地国家级自然保护区</w:t>
      </w:r>
      <w:r>
        <w:rPr>
          <w:rFonts w:hint="default" w:ascii="Times New Roman" w:hAnsi="Times New Roman" w:cs="Times New Roman"/>
          <w:b/>
          <w:bCs/>
          <w:color w:val="auto"/>
          <w:highlight w:val="none"/>
        </w:rPr>
        <w:t>功能区划面积表</w:t>
      </w:r>
    </w:p>
    <w:tbl>
      <w:tblPr>
        <w:tblStyle w:val="24"/>
        <w:tblW w:w="7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5"/>
        <w:gridCol w:w="3022"/>
        <w:gridCol w:w="2411"/>
      </w:tblGrid>
      <w:tr w14:paraId="3CFD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jc w:val="center"/>
        </w:trPr>
        <w:tc>
          <w:tcPr>
            <w:tcW w:w="2245" w:type="dxa"/>
            <w:vAlign w:val="center"/>
          </w:tcPr>
          <w:p w14:paraId="3C7B1C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功能区</w:t>
            </w:r>
          </w:p>
        </w:tc>
        <w:tc>
          <w:tcPr>
            <w:tcW w:w="3022" w:type="dxa"/>
            <w:vAlign w:val="center"/>
          </w:tcPr>
          <w:p w14:paraId="672B5D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面积/hm²</w:t>
            </w:r>
          </w:p>
        </w:tc>
        <w:tc>
          <w:tcPr>
            <w:tcW w:w="2411" w:type="dxa"/>
            <w:vAlign w:val="center"/>
          </w:tcPr>
          <w:p w14:paraId="6B0B29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比例/%</w:t>
            </w:r>
          </w:p>
        </w:tc>
      </w:tr>
      <w:tr w14:paraId="4045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jc w:val="center"/>
        </w:trPr>
        <w:tc>
          <w:tcPr>
            <w:tcW w:w="2245" w:type="dxa"/>
            <w:vAlign w:val="center"/>
          </w:tcPr>
          <w:p w14:paraId="78ED78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核心</w:t>
            </w:r>
            <w:r>
              <w:rPr>
                <w:rFonts w:hint="default" w:ascii="Times New Roman" w:hAnsi="Times New Roman" w:cs="Times New Roman" w:eastAsiaTheme="minorEastAsia"/>
                <w:color w:val="auto"/>
                <w:sz w:val="18"/>
                <w:szCs w:val="18"/>
                <w:highlight w:val="none"/>
                <w:lang w:val="en-US" w:eastAsia="zh-CN"/>
              </w:rPr>
              <w:t>保护</w:t>
            </w:r>
            <w:r>
              <w:rPr>
                <w:rFonts w:hint="default" w:ascii="Times New Roman" w:hAnsi="Times New Roman" w:cs="Times New Roman" w:eastAsiaTheme="minorEastAsia"/>
                <w:color w:val="auto"/>
                <w:sz w:val="18"/>
                <w:szCs w:val="18"/>
                <w:highlight w:val="none"/>
              </w:rPr>
              <w:t>区</w:t>
            </w:r>
          </w:p>
        </w:tc>
        <w:tc>
          <w:tcPr>
            <w:tcW w:w="3022" w:type="dxa"/>
            <w:vAlign w:val="center"/>
          </w:tcPr>
          <w:p w14:paraId="603C4BA7">
            <w:pPr>
              <w:keepNext w:val="0"/>
              <w:keepLines w:val="0"/>
              <w:widowControl/>
              <w:suppressLineNumbers w:val="0"/>
              <w:ind w:firstLine="360" w:firstLineChars="20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261404.64</w:t>
            </w:r>
          </w:p>
        </w:tc>
        <w:tc>
          <w:tcPr>
            <w:tcW w:w="2411" w:type="dxa"/>
            <w:vAlign w:val="center"/>
          </w:tcPr>
          <w:p w14:paraId="7B415D12">
            <w:pPr>
              <w:keepNext w:val="0"/>
              <w:keepLines w:val="0"/>
              <w:widowControl/>
              <w:suppressLineNumbers w:val="0"/>
              <w:ind w:firstLine="360" w:firstLineChars="20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66.60 </w:t>
            </w:r>
          </w:p>
        </w:tc>
      </w:tr>
      <w:tr w14:paraId="060F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jc w:val="center"/>
        </w:trPr>
        <w:tc>
          <w:tcPr>
            <w:tcW w:w="2245" w:type="dxa"/>
            <w:vAlign w:val="center"/>
          </w:tcPr>
          <w:p w14:paraId="242EC9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一般控制区</w:t>
            </w:r>
          </w:p>
        </w:tc>
        <w:tc>
          <w:tcPr>
            <w:tcW w:w="3022" w:type="dxa"/>
            <w:vAlign w:val="center"/>
          </w:tcPr>
          <w:p w14:paraId="6AC1C26D">
            <w:pPr>
              <w:keepNext w:val="0"/>
              <w:keepLines w:val="0"/>
              <w:widowControl/>
              <w:suppressLineNumbers w:val="0"/>
              <w:ind w:firstLine="360" w:firstLineChars="20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132421.74</w:t>
            </w:r>
          </w:p>
        </w:tc>
        <w:tc>
          <w:tcPr>
            <w:tcW w:w="2411" w:type="dxa"/>
            <w:vAlign w:val="center"/>
          </w:tcPr>
          <w:p w14:paraId="474DC95B">
            <w:pPr>
              <w:keepNext w:val="0"/>
              <w:keepLines w:val="0"/>
              <w:widowControl/>
              <w:suppressLineNumbers w:val="0"/>
              <w:ind w:firstLine="360" w:firstLineChars="20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33.40 </w:t>
            </w:r>
          </w:p>
        </w:tc>
      </w:tr>
      <w:tr w14:paraId="34FB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jc w:val="center"/>
        </w:trPr>
        <w:tc>
          <w:tcPr>
            <w:tcW w:w="2245" w:type="dxa"/>
            <w:vAlign w:val="center"/>
          </w:tcPr>
          <w:p w14:paraId="203E6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b/>
                <w:bCs/>
                <w:color w:val="auto"/>
                <w:sz w:val="18"/>
                <w:szCs w:val="18"/>
                <w:highlight w:val="none"/>
                <w:lang w:eastAsia="zh-CN"/>
              </w:rPr>
            </w:pPr>
            <w:r>
              <w:rPr>
                <w:rFonts w:hint="default" w:ascii="Times New Roman" w:hAnsi="Times New Roman" w:cs="Times New Roman" w:eastAsiaTheme="minorEastAsia"/>
                <w:b/>
                <w:bCs/>
                <w:color w:val="auto"/>
                <w:sz w:val="18"/>
                <w:szCs w:val="18"/>
                <w:highlight w:val="none"/>
                <w:lang w:eastAsia="zh-CN"/>
              </w:rPr>
              <w:t>合计</w:t>
            </w:r>
          </w:p>
          <w:p w14:paraId="4DFB57CC">
            <w:pPr>
              <w:bidi w:val="0"/>
              <w:rPr>
                <w:rFonts w:hint="default" w:ascii="Times New Roman" w:hAnsi="Times New Roman" w:eastAsia="仿宋" w:cs="Times New Roman"/>
                <w:kern w:val="2"/>
                <w:sz w:val="18"/>
                <w:szCs w:val="18"/>
                <w:highlight w:val="none"/>
                <w:lang w:val="en-US" w:eastAsia="zh-CN" w:bidi="ar-SA"/>
              </w:rPr>
            </w:pPr>
          </w:p>
          <w:p w14:paraId="3497956F">
            <w:pPr>
              <w:bidi w:val="0"/>
              <w:jc w:val="left"/>
              <w:rPr>
                <w:rFonts w:hint="default" w:ascii="Times New Roman" w:hAnsi="Times New Roman" w:cs="Times New Roman"/>
                <w:sz w:val="18"/>
                <w:szCs w:val="18"/>
                <w:highlight w:val="none"/>
                <w:lang w:val="en-US" w:eastAsia="zh-CN"/>
              </w:rPr>
            </w:pPr>
          </w:p>
        </w:tc>
        <w:tc>
          <w:tcPr>
            <w:tcW w:w="3022" w:type="dxa"/>
            <w:vAlign w:val="center"/>
          </w:tcPr>
          <w:p w14:paraId="6246B1C6">
            <w:pPr>
              <w:keepNext w:val="0"/>
              <w:keepLines w:val="0"/>
              <w:widowControl/>
              <w:suppressLineNumbers w:val="0"/>
              <w:ind w:firstLine="360" w:firstLineChars="20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396526.38</w:t>
            </w:r>
          </w:p>
        </w:tc>
        <w:tc>
          <w:tcPr>
            <w:tcW w:w="2411" w:type="dxa"/>
            <w:vAlign w:val="center"/>
          </w:tcPr>
          <w:p w14:paraId="5355E466">
            <w:pPr>
              <w:keepNext w:val="0"/>
              <w:keepLines w:val="0"/>
              <w:widowControl/>
              <w:suppressLineNumbers w:val="0"/>
              <w:ind w:firstLine="360" w:firstLineChars="20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100</w:t>
            </w:r>
          </w:p>
        </w:tc>
      </w:tr>
    </w:tbl>
    <w:p w14:paraId="2382456D">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3.4</w:t>
      </w:r>
      <w:r>
        <w:rPr>
          <w:rFonts w:hint="default" w:ascii="Times New Roman" w:hAnsi="Times New Roman" w:cs="Times New Roman"/>
          <w:color w:val="auto"/>
          <w:highlight w:val="none"/>
          <w:lang w:val="en-US" w:eastAsia="zh-CN"/>
        </w:rPr>
        <w:t>.1核心保护区</w:t>
      </w:r>
    </w:p>
    <w:p w14:paraId="111DFFC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核心保护区分为北部、</w:t>
      </w:r>
      <w:r>
        <w:rPr>
          <w:rFonts w:hint="default" w:ascii="Times New Roman" w:hAnsi="Times New Roman" w:cs="Times New Roman"/>
          <w:color w:val="auto"/>
          <w:highlight w:val="none"/>
          <w:lang w:val="en-US" w:eastAsia="zh-CN"/>
        </w:rPr>
        <w:t>西部</w:t>
      </w:r>
      <w:r>
        <w:rPr>
          <w:rFonts w:hint="default" w:ascii="Times New Roman" w:hAnsi="Times New Roman" w:cs="Times New Roman"/>
          <w:color w:val="auto"/>
          <w:highlight w:val="none"/>
        </w:rPr>
        <w:t>、南部三个片区，北部与</w:t>
      </w:r>
      <w:r>
        <w:rPr>
          <w:rFonts w:hint="default" w:ascii="Times New Roman" w:hAnsi="Times New Roman" w:cs="Times New Roman"/>
          <w:color w:val="auto"/>
          <w:highlight w:val="none"/>
          <w:lang w:val="en-US" w:eastAsia="zh-CN"/>
        </w:rPr>
        <w:t>南部</w:t>
      </w:r>
      <w:r>
        <w:rPr>
          <w:rFonts w:hint="default" w:ascii="Times New Roman" w:hAnsi="Times New Roman" w:cs="Times New Roman"/>
          <w:color w:val="auto"/>
          <w:highlight w:val="none"/>
        </w:rPr>
        <w:t>片区间隔</w:t>
      </w:r>
      <w:r>
        <w:rPr>
          <w:rFonts w:hint="default" w:ascii="Times New Roman" w:hAnsi="Times New Roman" w:cs="Times New Roman"/>
          <w:color w:val="auto"/>
          <w:highlight w:val="none"/>
          <w:lang w:val="en-US" w:eastAsia="zh-CN"/>
        </w:rPr>
        <w:t>国道317</w:t>
      </w:r>
      <w:r>
        <w:rPr>
          <w:rFonts w:hint="default" w:ascii="Times New Roman" w:hAnsi="Times New Roman" w:cs="Times New Roman"/>
          <w:color w:val="auto"/>
          <w:highlight w:val="none"/>
        </w:rPr>
        <w:t>周边的一般控制区，</w:t>
      </w:r>
      <w:r>
        <w:rPr>
          <w:rFonts w:hint="default" w:ascii="Times New Roman" w:hAnsi="Times New Roman" w:cs="Times New Roman"/>
          <w:color w:val="auto"/>
          <w:highlight w:val="none"/>
          <w:lang w:val="en-US" w:eastAsia="zh-CN"/>
        </w:rPr>
        <w:t>西部</w:t>
      </w:r>
      <w:r>
        <w:rPr>
          <w:rFonts w:hint="default" w:ascii="Times New Roman" w:hAnsi="Times New Roman" w:cs="Times New Roman"/>
          <w:color w:val="auto"/>
          <w:highlight w:val="none"/>
        </w:rPr>
        <w:t>外围全部被一般控制区环绕。保护区核心</w:t>
      </w:r>
      <w:r>
        <w:rPr>
          <w:rFonts w:hint="default" w:ascii="Times New Roman" w:hAnsi="Times New Roman" w:cs="Times New Roman"/>
          <w:color w:val="auto"/>
          <w:highlight w:val="none"/>
          <w:lang w:val="en-US" w:eastAsia="zh-CN"/>
        </w:rPr>
        <w:t>保护</w:t>
      </w:r>
      <w:r>
        <w:rPr>
          <w:rFonts w:hint="default" w:ascii="Times New Roman" w:hAnsi="Times New Roman" w:cs="Times New Roman"/>
          <w:color w:val="auto"/>
          <w:highlight w:val="none"/>
        </w:rPr>
        <w:t>区总面积</w:t>
      </w:r>
      <w:r>
        <w:rPr>
          <w:rFonts w:hint="default" w:ascii="Times New Roman" w:hAnsi="Times New Roman" w:cs="Times New Roman"/>
          <w:color w:val="auto"/>
          <w:highlight w:val="none"/>
          <w:lang w:val="en-US" w:eastAsia="zh-CN"/>
        </w:rPr>
        <w:t>261404.64公顷</w:t>
      </w:r>
      <w:r>
        <w:rPr>
          <w:rFonts w:hint="default" w:ascii="Times New Roman" w:hAnsi="Times New Roman" w:cs="Times New Roman"/>
          <w:color w:val="auto"/>
          <w:highlight w:val="none"/>
        </w:rPr>
        <w:t>，占保护区总面积的</w:t>
      </w:r>
      <w:r>
        <w:rPr>
          <w:rFonts w:hint="default" w:ascii="Times New Roman" w:hAnsi="Times New Roman" w:cs="Times New Roman"/>
          <w:color w:val="auto"/>
          <w:highlight w:val="none"/>
          <w:lang w:val="en-US" w:eastAsia="zh-CN"/>
        </w:rPr>
        <w:t>66.6%</w:t>
      </w:r>
      <w:r>
        <w:rPr>
          <w:rFonts w:hint="default" w:ascii="Times New Roman" w:hAnsi="Times New Roman" w:cs="Times New Roman"/>
          <w:color w:val="auto"/>
          <w:highlight w:val="none"/>
        </w:rPr>
        <w:t>。</w:t>
      </w:r>
    </w:p>
    <w:p w14:paraId="3C1D4A5C">
      <w:pPr>
        <w:keepNext w:val="0"/>
        <w:keepLines w:val="0"/>
        <w:widowControl/>
        <w:suppressLineNumbers w:val="0"/>
        <w:jc w:val="left"/>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北部</w:t>
      </w:r>
      <w:r>
        <w:rPr>
          <w:rFonts w:hint="default" w:ascii="Times New Roman" w:hAnsi="Times New Roman" w:cs="Times New Roman"/>
          <w:color w:val="auto"/>
          <w:highlight w:val="none"/>
        </w:rPr>
        <w:t>核心</w:t>
      </w:r>
      <w:r>
        <w:rPr>
          <w:rFonts w:hint="default" w:ascii="Times New Roman" w:hAnsi="Times New Roman" w:cs="Times New Roman"/>
          <w:color w:val="auto"/>
          <w:highlight w:val="none"/>
          <w:lang w:val="en-US" w:eastAsia="zh-CN"/>
        </w:rPr>
        <w:t>保护</w:t>
      </w:r>
      <w:r>
        <w:rPr>
          <w:rFonts w:hint="default" w:ascii="Times New Roman" w:hAnsi="Times New Roman" w:cs="Times New Roman"/>
          <w:color w:val="auto"/>
          <w:highlight w:val="none"/>
        </w:rPr>
        <w:t>区</w:t>
      </w:r>
      <w:r>
        <w:rPr>
          <w:rFonts w:hint="default" w:ascii="Times New Roman" w:hAnsi="Times New Roman" w:cs="Times New Roman"/>
          <w:color w:val="auto"/>
          <w:highlight w:val="none"/>
          <w:lang w:val="en-US" w:eastAsia="zh-CN"/>
        </w:rPr>
        <w:t>：主要包括哈丘湖、措拉坚湖、纳勒乔沼泽、鄂列格纳沼泽以及四周的零星湖泊和大面积沼泽地，是若尔盖高原沼泽湿地的典型区域，面积131276.00公顷。该区生境类型包括山丘、不可通行沼泽、可通行沼泽、草甸、河流等，是珍稀水禽如黑颈鹤、赤麻鸭、中华秋沙鸭、灰燕等的主要栖息地。北部核心区边界范围从最北端的102.617345E, 33.939288N出发，向东偏南经102.767645E, 33.989860N、102.821036E, 33.914720N行至东侧北段，再向南经102.913242E, 33.866912N、102.916045E, 33.808026N、102.956952E, 33.771460N、102.948903E, 33.738953N、102.954887E, 33.695191N至102.893150E, 33.643642N，此为东侧边界最南端；随后向西大幅折返至102.598263E, 33.438411N，再向北偏西经102.597707E, 33.566730N、102.520850E, 33.689901N、102.622482E, 33.764069N、102.718917E, 33.738844N、102.677274E, 33.835664N，最后向北偏东回到最北端闭合，整体呈南北狭长、东侧边界锯齿状蜿蜒的不规则多边形。</w:t>
      </w:r>
    </w:p>
    <w:p w14:paraId="36F8E1B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南部</w:t>
      </w:r>
      <w:r>
        <w:rPr>
          <w:rFonts w:hint="default" w:ascii="Times New Roman" w:hAnsi="Times New Roman" w:cs="Times New Roman"/>
          <w:color w:val="auto"/>
          <w:highlight w:val="none"/>
        </w:rPr>
        <w:t>核心</w:t>
      </w:r>
      <w:r>
        <w:rPr>
          <w:rFonts w:hint="default" w:ascii="Times New Roman" w:hAnsi="Times New Roman" w:cs="Times New Roman"/>
          <w:color w:val="auto"/>
          <w:highlight w:val="none"/>
          <w:lang w:val="en-US" w:eastAsia="zh-CN"/>
        </w:rPr>
        <w:t>保护</w:t>
      </w:r>
      <w:r>
        <w:rPr>
          <w:rFonts w:hint="default" w:ascii="Times New Roman" w:hAnsi="Times New Roman" w:cs="Times New Roman"/>
          <w:color w:val="auto"/>
          <w:highlight w:val="none"/>
        </w:rPr>
        <w:t>区</w:t>
      </w:r>
      <w:r>
        <w:rPr>
          <w:rFonts w:hint="default" w:ascii="Times New Roman" w:hAnsi="Times New Roman" w:cs="Times New Roman"/>
          <w:color w:val="auto"/>
          <w:highlight w:val="none"/>
          <w:lang w:val="en-US" w:eastAsia="zh-CN"/>
        </w:rPr>
        <w:t>：主要包括括曲尔嘎冈、喀哈尔乔、德讷合曲、黑河、喀合目乔的大部分沼泽地、湖泊和河流，面积119244.2公顷。南部核心区边界范围从西端北侧的102.506550E, 33.378110N起，向东偏北经102.645889E, 33.432138N、102.808902E, 33.515773N、102.907762E, 33.549111N至东侧顶点103.004910E, 33.494156N，再转向南偏西经103.122898E, 33.260922N抵达最南端，随后向西偏北经102.884206E, 33.304968N、102.609414E, 33.184263N、102.531242E, 33.287759N，最后向北偏西回到起点闭合，整体呈东西向扁长、南侧边界下凸的多边形。</w:t>
      </w:r>
    </w:p>
    <w:p w14:paraId="494AE509">
      <w:pPr>
        <w:bidi w:val="0"/>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lang w:val="en-US" w:eastAsia="zh-CN"/>
        </w:rPr>
        <w:t>西部</w:t>
      </w:r>
      <w:r>
        <w:rPr>
          <w:rFonts w:hint="default" w:ascii="Times New Roman" w:hAnsi="Times New Roman" w:cs="Times New Roman"/>
          <w:color w:val="auto"/>
          <w:highlight w:val="none"/>
        </w:rPr>
        <w:t>核心</w:t>
      </w:r>
      <w:r>
        <w:rPr>
          <w:rFonts w:hint="default" w:ascii="Times New Roman" w:hAnsi="Times New Roman" w:cs="Times New Roman"/>
          <w:color w:val="auto"/>
          <w:highlight w:val="none"/>
          <w:lang w:val="en-US" w:eastAsia="zh-CN"/>
        </w:rPr>
        <w:t>保护</w:t>
      </w:r>
      <w:r>
        <w:rPr>
          <w:rFonts w:hint="default" w:ascii="Times New Roman" w:hAnsi="Times New Roman" w:cs="Times New Roman"/>
          <w:color w:val="auto"/>
          <w:highlight w:val="none"/>
        </w:rPr>
        <w:t>区</w:t>
      </w:r>
      <w:r>
        <w:rPr>
          <w:rFonts w:hint="default" w:ascii="Times New Roman" w:hAnsi="Times New Roman" w:cs="Times New Roman"/>
          <w:color w:val="auto"/>
          <w:highlight w:val="none"/>
          <w:lang w:val="en-US" w:eastAsia="zh-CN"/>
        </w:rPr>
        <w:t>：主要包括“阿尔吉乔嘎尔”湿地的大部，面积13584.44公顷。西部</w:t>
      </w:r>
      <w:r>
        <w:rPr>
          <w:rFonts w:hint="default" w:ascii="Times New Roman" w:hAnsi="Times New Roman" w:cs="Times New Roman"/>
          <w:color w:val="auto"/>
          <w:highlight w:val="none"/>
        </w:rPr>
        <w:t>核心</w:t>
      </w:r>
      <w:r>
        <w:rPr>
          <w:rFonts w:hint="default" w:ascii="Times New Roman" w:hAnsi="Times New Roman" w:cs="Times New Roman"/>
          <w:color w:val="auto"/>
          <w:highlight w:val="none"/>
          <w:lang w:val="en-US" w:eastAsia="zh-CN"/>
        </w:rPr>
        <w:t>保护</w:t>
      </w:r>
      <w:r>
        <w:rPr>
          <w:rFonts w:hint="default" w:ascii="Times New Roman" w:hAnsi="Times New Roman" w:cs="Times New Roman"/>
          <w:color w:val="auto"/>
          <w:highlight w:val="none"/>
        </w:rPr>
        <w:t>区</w:t>
      </w:r>
      <w:r>
        <w:rPr>
          <w:rFonts w:hint="default" w:ascii="Times New Roman" w:hAnsi="Times New Roman" w:cs="Times New Roman"/>
          <w:color w:val="auto"/>
          <w:highlight w:val="none"/>
          <w:lang w:val="en-US" w:eastAsia="zh-CN"/>
        </w:rPr>
        <w:t>边界范围从北端102.348938E, 33.380130N出发，向东偏南经102.442670E, 33.372131N至东侧顶点102.452960E, 33.305391N，再向南偏西经102.406928E, 33.249965N、102.365090E, 33.279317N至西侧南端102.336476E, 33.258013N，随后向北偏西经102.320134E, 33.305003N、102.321161E, 33.354242N，最后向北偏东回到起点闭合，整体呈南北短促的小型矩形多边形。</w:t>
      </w:r>
    </w:p>
    <w:p w14:paraId="42E3989A">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核心保护区是若尔盖保护区面积最大、生态功能最重要、高寒湿地生态系统保存最完好的区域，是保护区泥炭资源最集中、泥炭层最深厚的分布区。花湖、哈丘湖等高原湖泊群集中分布其间，构成了保护区完整的高寒沼泽湿地水文连通系统与碳汇功能单元。保护区主要保护物种黑颈鹤、斑头雁、白尾海雕等珍稀濒危水鸟在此栖息繁殖，黑颈鹤核心繁殖巢区即位于此区域。该区域同时是全球最重要的高寒泥炭碳库，泥炭总储量达71亿立方米，具有重要的全球生态价值，应实施严格保护。</w:t>
      </w:r>
    </w:p>
    <w:p w14:paraId="76A5BE6C">
      <w:pPr>
        <w:ind w:firstLine="560"/>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lang w:val="en-US" w:eastAsia="zh-CN"/>
        </w:rPr>
        <w:t>核心保护区保护方式以加强巡护管理与智慧监测为主</w:t>
      </w:r>
      <w:r>
        <w:rPr>
          <w:rFonts w:hint="default" w:ascii="Times New Roman" w:hAnsi="Times New Roman" w:cs="Times New Roman"/>
          <w:color w:val="auto"/>
          <w:highlight w:val="none"/>
        </w:rPr>
        <w:t>，禁止任何单位和个人进入。除依照《自然保护区条例》（2026年修订版）第二十</w:t>
      </w:r>
      <w:r>
        <w:rPr>
          <w:rFonts w:hint="default" w:ascii="Times New Roman" w:hAnsi="Times New Roman" w:cs="Times New Roman"/>
          <w:color w:val="auto"/>
          <w:highlight w:val="none"/>
          <w:lang w:val="en-US" w:eastAsia="zh-CN"/>
        </w:rPr>
        <w:t>六</w:t>
      </w:r>
      <w:r>
        <w:rPr>
          <w:rFonts w:hint="default" w:ascii="Times New Roman" w:hAnsi="Times New Roman" w:cs="Times New Roman"/>
          <w:color w:val="auto"/>
          <w:highlight w:val="none"/>
        </w:rPr>
        <w:t>条规定</w:t>
      </w:r>
      <w:r>
        <w:rPr>
          <w:rFonts w:hint="default" w:ascii="Times New Roman" w:hAnsi="Times New Roman" w:cs="Times New Roman"/>
          <w:color w:val="auto"/>
          <w:highlight w:val="none"/>
          <w:lang w:val="en-US" w:eastAsia="zh-CN"/>
        </w:rPr>
        <w:t>活动外，核心保护区内禁止人为活动</w:t>
      </w:r>
      <w:r>
        <w:rPr>
          <w:rFonts w:hint="default" w:ascii="Times New Roman" w:hAnsi="Times New Roman" w:cs="Times New Roman"/>
          <w:color w:val="auto"/>
          <w:highlight w:val="none"/>
        </w:rPr>
        <w:t>。</w:t>
      </w:r>
    </w:p>
    <w:p w14:paraId="209E8C42">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3.4</w:t>
      </w:r>
      <w:r>
        <w:rPr>
          <w:rFonts w:hint="default" w:ascii="Times New Roman" w:hAnsi="Times New Roman" w:cs="Times New Roman"/>
          <w:color w:val="auto"/>
          <w:highlight w:val="none"/>
          <w:lang w:val="en-US" w:eastAsia="zh-CN"/>
        </w:rPr>
        <w:t>.2一般控制区</w:t>
      </w:r>
    </w:p>
    <w:p w14:paraId="6120CF8D">
      <w:pPr>
        <w:bidi w:val="0"/>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lang w:val="en-US" w:eastAsia="zh-CN"/>
        </w:rPr>
        <w:t>保护区除核心保护区外，均为一般控制区。除南侧核心保护区未被一般控制区环绕，其余大部分均位于核心保护区的外围，</w:t>
      </w:r>
      <w:r>
        <w:rPr>
          <w:rFonts w:hint="default" w:ascii="Times New Roman" w:hAnsi="Times New Roman" w:cs="Times New Roman"/>
          <w:color w:val="auto"/>
          <w:highlight w:val="none"/>
        </w:rPr>
        <w:t>面积</w:t>
      </w:r>
      <w:r>
        <w:rPr>
          <w:rFonts w:hint="default" w:ascii="Times New Roman" w:hAnsi="Times New Roman" w:cs="Times New Roman"/>
          <w:color w:val="auto"/>
          <w:highlight w:val="none"/>
          <w:lang w:val="en-US" w:eastAsia="zh-CN"/>
        </w:rPr>
        <w:t xml:space="preserve">132421.74 </w:t>
      </w:r>
      <w:r>
        <w:rPr>
          <w:rFonts w:hint="default" w:ascii="Times New Roman" w:hAnsi="Times New Roman" w:cs="Times New Roman"/>
          <w:color w:val="auto"/>
          <w:highlight w:val="none"/>
        </w:rPr>
        <w:t>hm²，占保护区总面积的</w:t>
      </w:r>
      <w:r>
        <w:rPr>
          <w:rFonts w:hint="default" w:ascii="Times New Roman" w:hAnsi="Times New Roman" w:cs="Times New Roman"/>
          <w:color w:val="auto"/>
          <w:highlight w:val="none"/>
          <w:lang w:val="en-US" w:eastAsia="zh-CN"/>
        </w:rPr>
        <w:t>33.40</w:t>
      </w:r>
      <w:r>
        <w:rPr>
          <w:rFonts w:hint="default" w:ascii="Times New Roman" w:hAnsi="Times New Roman" w:cs="Times New Roman"/>
          <w:color w:val="auto"/>
          <w:highlight w:val="none"/>
        </w:rPr>
        <w:t>﹪。</w:t>
      </w:r>
    </w:p>
    <w:p w14:paraId="05400F5F">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一般控制</w:t>
      </w:r>
      <w:r>
        <w:rPr>
          <w:rFonts w:hint="default" w:ascii="Times New Roman" w:hAnsi="Times New Roman" w:cs="Times New Roman"/>
          <w:color w:val="auto"/>
          <w:highlight w:val="none"/>
        </w:rPr>
        <w:t>区</w:t>
      </w:r>
      <w:r>
        <w:rPr>
          <w:rFonts w:hint="default" w:ascii="Times New Roman" w:hAnsi="Times New Roman" w:cs="Times New Roman"/>
          <w:color w:val="auto"/>
          <w:highlight w:val="none"/>
          <w:lang w:eastAsia="zh-CN"/>
        </w:rPr>
        <w:t>的特点是位于保护区的外围，人为活动相对频繁，农牧民</w:t>
      </w:r>
      <w:r>
        <w:rPr>
          <w:rFonts w:hint="default" w:ascii="Times New Roman" w:hAnsi="Times New Roman" w:cs="Times New Roman"/>
          <w:color w:val="auto"/>
          <w:highlight w:val="none"/>
          <w:lang w:val="en-US" w:eastAsia="zh-CN"/>
        </w:rPr>
        <w:t>经济发展水平相对较低</w:t>
      </w:r>
      <w:r>
        <w:rPr>
          <w:rFonts w:hint="default" w:ascii="Times New Roman" w:hAnsi="Times New Roman" w:cs="Times New Roman"/>
          <w:color w:val="auto"/>
          <w:highlight w:val="none"/>
          <w:lang w:eastAsia="zh-CN"/>
        </w:rPr>
        <w:t>，部分区域有道路穿越。</w:t>
      </w:r>
      <w:r>
        <w:rPr>
          <w:rFonts w:hint="default" w:ascii="Times New Roman" w:hAnsi="Times New Roman" w:cs="Times New Roman"/>
          <w:color w:val="auto"/>
          <w:highlight w:val="none"/>
          <w:lang w:val="en-US" w:eastAsia="zh-CN"/>
        </w:rPr>
        <w:t>一般控制</w:t>
      </w:r>
      <w:r>
        <w:rPr>
          <w:rFonts w:hint="default" w:ascii="Times New Roman" w:hAnsi="Times New Roman" w:cs="Times New Roman"/>
          <w:color w:val="auto"/>
          <w:highlight w:val="none"/>
        </w:rPr>
        <w:t>区</w:t>
      </w:r>
      <w:r>
        <w:rPr>
          <w:rFonts w:hint="default" w:ascii="Times New Roman" w:hAnsi="Times New Roman" w:cs="Times New Roman"/>
          <w:color w:val="auto"/>
          <w:highlight w:val="none"/>
          <w:lang w:eastAsia="zh-CN"/>
        </w:rPr>
        <w:t>对主要保护对象起着保护缓冲的作用，</w:t>
      </w:r>
      <w:r>
        <w:rPr>
          <w:rFonts w:hint="default" w:ascii="Times New Roman" w:hAnsi="Times New Roman" w:cs="Times New Roman"/>
          <w:color w:val="auto"/>
          <w:highlight w:val="none"/>
        </w:rPr>
        <w:t>在保护的前提下，</w:t>
      </w:r>
      <w:r>
        <w:rPr>
          <w:rFonts w:hint="default" w:ascii="Times New Roman" w:hAnsi="Times New Roman" w:cs="Times New Roman"/>
          <w:color w:val="auto"/>
          <w:highlight w:val="none"/>
          <w:lang w:val="en-US" w:eastAsia="zh-CN"/>
        </w:rPr>
        <w:t>可依照</w:t>
      </w:r>
      <w:r>
        <w:rPr>
          <w:rFonts w:hint="default" w:ascii="Times New Roman" w:hAnsi="Times New Roman" w:cs="Times New Roman"/>
          <w:color w:val="auto"/>
          <w:highlight w:val="none"/>
        </w:rPr>
        <w:t>《自然保护区条例》（2026年修订版）第二十</w:t>
      </w:r>
      <w:r>
        <w:rPr>
          <w:rFonts w:hint="default" w:ascii="Times New Roman" w:hAnsi="Times New Roman" w:cs="Times New Roman"/>
          <w:color w:val="auto"/>
          <w:highlight w:val="none"/>
          <w:lang w:val="en-US" w:eastAsia="zh-CN"/>
        </w:rPr>
        <w:t>七</w:t>
      </w:r>
      <w:r>
        <w:rPr>
          <w:rFonts w:hint="default" w:ascii="Times New Roman" w:hAnsi="Times New Roman" w:cs="Times New Roman"/>
          <w:color w:val="auto"/>
          <w:highlight w:val="none"/>
        </w:rPr>
        <w:t>条</w:t>
      </w:r>
      <w:r>
        <w:rPr>
          <w:rFonts w:hint="default" w:ascii="Times New Roman" w:hAnsi="Times New Roman" w:cs="Times New Roman"/>
          <w:color w:val="auto"/>
          <w:highlight w:val="none"/>
          <w:lang w:val="en-US" w:eastAsia="zh-CN"/>
        </w:rPr>
        <w:t>开展相关人为活动</w:t>
      </w:r>
      <w:r>
        <w:rPr>
          <w:rFonts w:hint="default" w:ascii="Times New Roman" w:hAnsi="Times New Roman" w:cs="Times New Roman"/>
          <w:color w:val="auto"/>
          <w:highlight w:val="none"/>
        </w:rPr>
        <w:t>。</w:t>
      </w:r>
    </w:p>
    <w:p w14:paraId="16454B11">
      <w:pPr>
        <w:pStyle w:val="2"/>
        <w:keepNext w:val="0"/>
        <w:keepLines/>
        <w:pageBreakBefore/>
        <w:widowControl w:val="0"/>
        <w:numPr>
          <w:ilvl w:val="0"/>
          <w:numId w:val="2"/>
        </w:numPr>
        <w:kinsoku/>
        <w:wordWrap/>
        <w:overflowPunct/>
        <w:topLinePunct w:val="0"/>
        <w:autoSpaceDE/>
        <w:autoSpaceDN/>
        <w:bidi w:val="0"/>
        <w:adjustRightInd/>
        <w:snapToGrid/>
        <w:spacing w:after="156"/>
        <w:ind w:left="0" w:leftChars="0" w:firstLine="0" w:firstLineChars="0"/>
        <w:textAlignment w:val="auto"/>
        <w:rPr>
          <w:rFonts w:hint="default" w:ascii="Times New Roman" w:hAnsi="Times New Roman" w:cs="Times New Roman"/>
          <w:color w:val="auto"/>
          <w:highlight w:val="none"/>
        </w:rPr>
      </w:pPr>
      <w:bookmarkStart w:id="21" w:name="_Toc2617"/>
      <w:bookmarkStart w:id="22" w:name="_Toc8660"/>
      <w:r>
        <w:rPr>
          <w:rFonts w:hint="default" w:ascii="Times New Roman" w:hAnsi="Times New Roman" w:cs="Times New Roman"/>
          <w:color w:val="auto"/>
          <w:highlight w:val="none"/>
        </w:rPr>
        <w:t>主要规划内容</w:t>
      </w:r>
      <w:bookmarkEnd w:id="21"/>
      <w:bookmarkEnd w:id="22"/>
    </w:p>
    <w:p w14:paraId="42D1C37B">
      <w:pPr>
        <w:pStyle w:val="3"/>
        <w:rPr>
          <w:rFonts w:hint="default" w:ascii="Times New Roman" w:hAnsi="Times New Roman" w:cs="Times New Roman"/>
          <w:color w:val="auto"/>
          <w:highlight w:val="none"/>
        </w:rPr>
      </w:pPr>
      <w:bookmarkStart w:id="23" w:name="_Toc23610"/>
      <w:bookmarkStart w:id="24" w:name="_Toc20254"/>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.1保护管理规划</w:t>
      </w:r>
      <w:bookmarkEnd w:id="23"/>
      <w:bookmarkEnd w:id="24"/>
    </w:p>
    <w:p w14:paraId="1BF8E657">
      <w:pPr>
        <w:numPr>
          <w:ilvl w:val="0"/>
          <w:numId w:val="0"/>
        </w:numPr>
        <w:ind w:firstLine="560" w:firstLineChars="20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目前若尔盖国家级自然保护区已建立了“管理局-管理站”二级管护体系，若尔盖国家级自然保护区已建湿地管理局，下设5处管理站，原喀哈尔乔省级自然保护区及湿地公园归若尔盖县林业和草原局经营所管理，暂未设置管理站。保护地整合优化后，总面积为396526.38公顷，本次规划完善“管理局-管理站”二级管护体系，共规划8个保护管理站，其中新增3个管理站。</w:t>
      </w:r>
    </w:p>
    <w:p w14:paraId="7964BE94">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管理局建设规划</w:t>
      </w:r>
    </w:p>
    <w:p w14:paraId="081E6E5A">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川若尔盖湿地国家级自然保护区管理局办公楼于2001年建成使用，下设湿地宣教培训中心、湿地科普教育中心、湿地野生动植物保育中心，需进行设施设备更新、附属设施维修及节能与环保改造。对已有水电气暖门窗修缮维护，开展室内装潢布展，配套办公家俱、野外装备、安全监控设备等。</w:t>
      </w:r>
    </w:p>
    <w:p w14:paraId="59DB3221">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.1.2已建保护管理站规划</w:t>
      </w:r>
    </w:p>
    <w:p w14:paraId="35899260">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对目前已建管理站进行提升改造，进行设施设备更新、附属设施维修及节能与环保改造。对已有水电气暖门窗修缮维护，开展室内装潢布展，配套办公家俱、野外装备等。</w:t>
      </w:r>
    </w:p>
    <w:p w14:paraId="44CAE1C1">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.1.3新建管理站规划</w:t>
      </w:r>
    </w:p>
    <w:p w14:paraId="040FFC5B">
      <w:pPr>
        <w:numPr>
          <w:ilvl w:val="0"/>
          <w:numId w:val="0"/>
        </w:numPr>
        <w:ind w:firstLine="560" w:firstLineChars="20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本次规划在原来5处管理站基础上，新增3处保护管理站，原唐克管理站改为白河管理站，黑河管理站更名为嫩哇管理站，新建唐克管理站、班佑管理站和德纳合管理站，明确管辖职责，区划辖区8个。</w:t>
      </w:r>
    </w:p>
    <w:p w14:paraId="449E3686">
      <w:pPr>
        <w:numPr>
          <w:ilvl w:val="0"/>
          <w:numId w:val="0"/>
        </w:numPr>
        <w:ind w:firstLine="560" w:firstLineChars="20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管理站管辖面积见表 </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-1-1。</w:t>
      </w:r>
    </w:p>
    <w:p w14:paraId="4EB5D4C3">
      <w:pPr>
        <w:pStyle w:val="14"/>
        <w:rPr>
          <w:rFonts w:hint="default"/>
          <w:lang w:val="en-US" w:eastAsia="zh-CN"/>
        </w:rPr>
      </w:pPr>
    </w:p>
    <w:p w14:paraId="7EFA0FEA">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1管理站管辖面积统计</w:t>
      </w:r>
      <w:r>
        <w:rPr>
          <w:rFonts w:hint="default" w:ascii="Times New Roman" w:hAnsi="Times New Roman" w:cs="Times New Roman"/>
          <w:b/>
          <w:bCs/>
          <w:color w:val="auto"/>
          <w:highlight w:val="none"/>
        </w:rPr>
        <w:t>表</w:t>
      </w:r>
    </w:p>
    <w:tbl>
      <w:tblPr>
        <w:tblStyle w:val="23"/>
        <w:tblW w:w="9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69"/>
        <w:gridCol w:w="1214"/>
        <w:gridCol w:w="1545"/>
        <w:gridCol w:w="1720"/>
        <w:gridCol w:w="1781"/>
        <w:gridCol w:w="1609"/>
      </w:tblGrid>
      <w:tr w14:paraId="1BAA3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C7B5">
            <w:pPr>
              <w:keepNext w:val="0"/>
              <w:keepLines w:val="0"/>
              <w:widowControl/>
              <w:suppressLineNumbers w:val="0"/>
              <w:ind w:left="0" w:leftChars="0" w:firstLine="0" w:firstLineChars="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管辖分区</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9FA5">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乡镇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40D6">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A10E">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面积（公顷）</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70F2">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小计（公顷）</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B89F">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合计（公顷）</w:t>
            </w:r>
          </w:p>
        </w:tc>
      </w:tr>
      <w:tr w14:paraId="31A66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E9D4">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热尔坝管理分区</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86E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阿西镇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2096">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阿西村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FAD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21539.11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98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31139.50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CD5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45463.05 </w:t>
            </w:r>
          </w:p>
        </w:tc>
      </w:tr>
      <w:tr w14:paraId="69D47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C88B">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A35B">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24D8">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罗叉村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BE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1637.96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E2E2">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493C">
            <w:pPr>
              <w:jc w:val="left"/>
              <w:rPr>
                <w:rFonts w:hint="default" w:ascii="Times New Roman" w:hAnsi="Times New Roman" w:eastAsia="宋体" w:cs="Times New Roman"/>
                <w:i w:val="0"/>
                <w:iCs w:val="0"/>
                <w:color w:val="000000"/>
                <w:sz w:val="18"/>
                <w:szCs w:val="18"/>
                <w:highlight w:val="none"/>
                <w:u w:val="none"/>
              </w:rPr>
            </w:pPr>
          </w:p>
        </w:tc>
      </w:tr>
      <w:tr w14:paraId="5143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B6C1">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586E">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62B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上热尔村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498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4251.44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7C6F">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BA81">
            <w:pPr>
              <w:jc w:val="left"/>
              <w:rPr>
                <w:rFonts w:hint="default" w:ascii="Times New Roman" w:hAnsi="Times New Roman" w:eastAsia="宋体" w:cs="Times New Roman"/>
                <w:i w:val="0"/>
                <w:iCs w:val="0"/>
                <w:color w:val="000000"/>
                <w:sz w:val="18"/>
                <w:szCs w:val="18"/>
                <w:highlight w:val="none"/>
                <w:u w:val="none"/>
              </w:rPr>
            </w:pPr>
          </w:p>
        </w:tc>
      </w:tr>
      <w:tr w14:paraId="5FE5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7E75">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3BF9">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C5D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下热尔村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090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3710.99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619C">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B632">
            <w:pPr>
              <w:jc w:val="left"/>
              <w:rPr>
                <w:rFonts w:hint="default" w:ascii="Times New Roman" w:hAnsi="Times New Roman" w:eastAsia="宋体" w:cs="Times New Roman"/>
                <w:i w:val="0"/>
                <w:iCs w:val="0"/>
                <w:color w:val="000000"/>
                <w:sz w:val="18"/>
                <w:szCs w:val="18"/>
                <w:highlight w:val="none"/>
                <w:u w:val="none"/>
              </w:rPr>
            </w:pPr>
          </w:p>
        </w:tc>
      </w:tr>
      <w:tr w14:paraId="0D6DC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773E">
            <w:pPr>
              <w:jc w:val="left"/>
              <w:rPr>
                <w:rFonts w:hint="default" w:ascii="Times New Roman" w:hAnsi="Times New Roman" w:eastAsia="宋体" w:cs="Times New Roman"/>
                <w:i w:val="0"/>
                <w:iCs w:val="0"/>
                <w:color w:val="000000"/>
                <w:sz w:val="18"/>
                <w:szCs w:val="18"/>
                <w:highlight w:val="none"/>
                <w:u w:val="none"/>
              </w:rPr>
            </w:pP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3B66">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红星镇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4F7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回民村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997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2558.44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E73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14323.54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FFCA">
            <w:pPr>
              <w:jc w:val="left"/>
              <w:rPr>
                <w:rFonts w:hint="default" w:ascii="Times New Roman" w:hAnsi="Times New Roman" w:eastAsia="宋体" w:cs="Times New Roman"/>
                <w:i w:val="0"/>
                <w:iCs w:val="0"/>
                <w:color w:val="000000"/>
                <w:sz w:val="18"/>
                <w:szCs w:val="18"/>
                <w:highlight w:val="none"/>
                <w:u w:val="none"/>
              </w:rPr>
            </w:pPr>
          </w:p>
        </w:tc>
      </w:tr>
      <w:tr w14:paraId="1D52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7377">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C4E3">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5D5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塔玛村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88B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3038.89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0751">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A5FB">
            <w:pPr>
              <w:jc w:val="left"/>
              <w:rPr>
                <w:rFonts w:hint="default" w:ascii="Times New Roman" w:hAnsi="Times New Roman" w:eastAsia="宋体" w:cs="Times New Roman"/>
                <w:i w:val="0"/>
                <w:iCs w:val="0"/>
                <w:color w:val="000000"/>
                <w:sz w:val="18"/>
                <w:szCs w:val="18"/>
                <w:highlight w:val="none"/>
                <w:u w:val="none"/>
              </w:rPr>
            </w:pPr>
          </w:p>
        </w:tc>
      </w:tr>
      <w:tr w14:paraId="09149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F976">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12A8">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EEA2">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扎窝村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6F9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8726.21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7B6E">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92E2">
            <w:pPr>
              <w:jc w:val="left"/>
              <w:rPr>
                <w:rFonts w:hint="default" w:ascii="Times New Roman" w:hAnsi="Times New Roman" w:eastAsia="宋体" w:cs="Times New Roman"/>
                <w:i w:val="0"/>
                <w:iCs w:val="0"/>
                <w:color w:val="000000"/>
                <w:sz w:val="18"/>
                <w:szCs w:val="18"/>
                <w:highlight w:val="none"/>
                <w:u w:val="none"/>
              </w:rPr>
            </w:pPr>
          </w:p>
        </w:tc>
      </w:tr>
      <w:tr w14:paraId="1494F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74A3">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纳勒乔管理分区</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1F1E">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巴西镇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C805">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多玛村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9EB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5172.94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CA3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5172.94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A4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51989.03 </w:t>
            </w:r>
          </w:p>
        </w:tc>
      </w:tr>
      <w:tr w14:paraId="480C4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2607">
            <w:pPr>
              <w:jc w:val="left"/>
              <w:rPr>
                <w:rFonts w:hint="default" w:ascii="Times New Roman" w:hAnsi="Times New Roman" w:eastAsia="宋体" w:cs="Times New Roman"/>
                <w:i w:val="0"/>
                <w:iCs w:val="0"/>
                <w:color w:val="000000"/>
                <w:sz w:val="18"/>
                <w:szCs w:val="18"/>
                <w:highlight w:val="none"/>
                <w:u w:val="none"/>
              </w:rPr>
            </w:pP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47A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达扎寺镇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341A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红光村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36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19633.96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95C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46816.09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0F02">
            <w:pPr>
              <w:jc w:val="left"/>
              <w:rPr>
                <w:rFonts w:hint="default" w:ascii="Times New Roman" w:hAnsi="Times New Roman" w:eastAsia="宋体" w:cs="Times New Roman"/>
                <w:i w:val="0"/>
                <w:iCs w:val="0"/>
                <w:color w:val="000000"/>
                <w:sz w:val="18"/>
                <w:szCs w:val="18"/>
                <w:highlight w:val="none"/>
                <w:u w:val="none"/>
              </w:rPr>
            </w:pPr>
          </w:p>
        </w:tc>
      </w:tr>
      <w:tr w14:paraId="6CABF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F5E2">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0CBA">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31E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岭嘎村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98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18103.50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0392">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57C8">
            <w:pPr>
              <w:jc w:val="left"/>
              <w:rPr>
                <w:rFonts w:hint="default" w:ascii="Times New Roman" w:hAnsi="Times New Roman" w:eastAsia="宋体" w:cs="Times New Roman"/>
                <w:i w:val="0"/>
                <w:iCs w:val="0"/>
                <w:color w:val="000000"/>
                <w:sz w:val="18"/>
                <w:szCs w:val="18"/>
                <w:highlight w:val="none"/>
                <w:u w:val="none"/>
              </w:rPr>
            </w:pPr>
          </w:p>
        </w:tc>
      </w:tr>
      <w:tr w14:paraId="4C31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CAF5">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79CD">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2984">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向东村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53B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9078.63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B434">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AB71">
            <w:pPr>
              <w:jc w:val="left"/>
              <w:rPr>
                <w:rFonts w:hint="default" w:ascii="Times New Roman" w:hAnsi="Times New Roman" w:eastAsia="宋体" w:cs="Times New Roman"/>
                <w:i w:val="0"/>
                <w:iCs w:val="0"/>
                <w:color w:val="000000"/>
                <w:sz w:val="18"/>
                <w:szCs w:val="18"/>
                <w:highlight w:val="none"/>
                <w:u w:val="none"/>
              </w:rPr>
            </w:pPr>
          </w:p>
        </w:tc>
      </w:tr>
      <w:tr w14:paraId="2898F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4E4C">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嫩哇管理分区</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7DD2">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麦溪乡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9A32">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黑河村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8DB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43.08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7BE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43.08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CBE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36753.75 </w:t>
            </w:r>
          </w:p>
        </w:tc>
      </w:tr>
      <w:tr w14:paraId="4152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A9A5">
            <w:pPr>
              <w:jc w:val="left"/>
              <w:rPr>
                <w:rFonts w:hint="default" w:ascii="Times New Roman" w:hAnsi="Times New Roman" w:eastAsia="宋体" w:cs="Times New Roman"/>
                <w:i w:val="0"/>
                <w:iCs w:val="0"/>
                <w:color w:val="000000"/>
                <w:sz w:val="18"/>
                <w:szCs w:val="18"/>
                <w:highlight w:val="none"/>
                <w:u w:val="none"/>
              </w:rPr>
            </w:pP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05DD">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嫩哇乡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7951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上村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0C7A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16535.23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E50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36710.67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710A">
            <w:pPr>
              <w:jc w:val="left"/>
              <w:rPr>
                <w:rFonts w:hint="default" w:ascii="Times New Roman" w:hAnsi="Times New Roman" w:eastAsia="宋体" w:cs="Times New Roman"/>
                <w:i w:val="0"/>
                <w:iCs w:val="0"/>
                <w:color w:val="000000"/>
                <w:sz w:val="18"/>
                <w:szCs w:val="18"/>
                <w:highlight w:val="none"/>
                <w:u w:val="none"/>
              </w:rPr>
            </w:pPr>
          </w:p>
        </w:tc>
      </w:tr>
      <w:tr w14:paraId="538F1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1143">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F2152">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4A5D">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塔哇村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C1E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237.46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0168">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D351">
            <w:pPr>
              <w:jc w:val="left"/>
              <w:rPr>
                <w:rFonts w:hint="default" w:ascii="Times New Roman" w:hAnsi="Times New Roman" w:eastAsia="宋体" w:cs="Times New Roman"/>
                <w:i w:val="0"/>
                <w:iCs w:val="0"/>
                <w:color w:val="000000"/>
                <w:sz w:val="18"/>
                <w:szCs w:val="18"/>
                <w:highlight w:val="none"/>
                <w:u w:val="none"/>
              </w:rPr>
            </w:pPr>
          </w:p>
        </w:tc>
      </w:tr>
      <w:tr w14:paraId="700AA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448B">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851C">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1188">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下村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993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18582.66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4595">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F2692">
            <w:pPr>
              <w:jc w:val="left"/>
              <w:rPr>
                <w:rFonts w:hint="default" w:ascii="Times New Roman" w:hAnsi="Times New Roman" w:eastAsia="宋体" w:cs="Times New Roman"/>
                <w:i w:val="0"/>
                <w:iCs w:val="0"/>
                <w:color w:val="000000"/>
                <w:sz w:val="18"/>
                <w:szCs w:val="18"/>
                <w:highlight w:val="none"/>
                <w:u w:val="none"/>
              </w:rPr>
            </w:pPr>
          </w:p>
        </w:tc>
      </w:tr>
      <w:tr w14:paraId="4F254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448D">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7FD6">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B2502">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中村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AE8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1355.31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3A308">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1700">
            <w:pPr>
              <w:jc w:val="left"/>
              <w:rPr>
                <w:rFonts w:hint="default" w:ascii="Times New Roman" w:hAnsi="Times New Roman" w:eastAsia="宋体" w:cs="Times New Roman"/>
                <w:i w:val="0"/>
                <w:iCs w:val="0"/>
                <w:color w:val="000000"/>
                <w:sz w:val="18"/>
                <w:szCs w:val="18"/>
                <w:highlight w:val="none"/>
                <w:u w:val="none"/>
              </w:rPr>
            </w:pPr>
          </w:p>
        </w:tc>
      </w:tr>
      <w:tr w14:paraId="13FF6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4ED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唐克管理分区</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1CB3">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唐克镇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A07C">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藏哇村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7A1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16200.64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7F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35870.68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79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35870.68 </w:t>
            </w:r>
          </w:p>
        </w:tc>
      </w:tr>
      <w:tr w14:paraId="4F295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36B8">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CC5A">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2C2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俄色村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EE0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14656.24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AAD0">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9BB4">
            <w:pPr>
              <w:jc w:val="left"/>
              <w:rPr>
                <w:rFonts w:hint="default" w:ascii="Times New Roman" w:hAnsi="Times New Roman" w:eastAsia="宋体" w:cs="Times New Roman"/>
                <w:i w:val="0"/>
                <w:iCs w:val="0"/>
                <w:color w:val="000000"/>
                <w:sz w:val="18"/>
                <w:szCs w:val="18"/>
                <w:highlight w:val="none"/>
                <w:u w:val="none"/>
              </w:rPr>
            </w:pPr>
          </w:p>
        </w:tc>
      </w:tr>
      <w:tr w14:paraId="5A9FC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7308">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2E3C">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78E0">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汾甲村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A37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251.98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F4C5">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2FDD">
            <w:pPr>
              <w:jc w:val="left"/>
              <w:rPr>
                <w:rFonts w:hint="default" w:ascii="Times New Roman" w:hAnsi="Times New Roman" w:eastAsia="宋体" w:cs="Times New Roman"/>
                <w:i w:val="0"/>
                <w:iCs w:val="0"/>
                <w:color w:val="000000"/>
                <w:sz w:val="18"/>
                <w:szCs w:val="18"/>
                <w:highlight w:val="none"/>
                <w:u w:val="none"/>
              </w:rPr>
            </w:pPr>
          </w:p>
        </w:tc>
      </w:tr>
      <w:tr w14:paraId="0641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3C39">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3FF3">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C02B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逻花村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3449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4761.81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6630">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1FA6">
            <w:pPr>
              <w:jc w:val="left"/>
              <w:rPr>
                <w:rFonts w:hint="default" w:ascii="Times New Roman" w:hAnsi="Times New Roman" w:eastAsia="宋体" w:cs="Times New Roman"/>
                <w:i w:val="0"/>
                <w:iCs w:val="0"/>
                <w:color w:val="000000"/>
                <w:sz w:val="18"/>
                <w:szCs w:val="18"/>
                <w:highlight w:val="none"/>
                <w:u w:val="none"/>
              </w:rPr>
            </w:pPr>
          </w:p>
        </w:tc>
      </w:tr>
      <w:tr w14:paraId="72238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90D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辖曼管理分区</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651C">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麦溪乡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3A9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黑河村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C96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71.86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B96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71.86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A6C1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59766.92 </w:t>
            </w:r>
          </w:p>
        </w:tc>
      </w:tr>
      <w:tr w14:paraId="2220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B569">
            <w:pPr>
              <w:jc w:val="left"/>
              <w:rPr>
                <w:rFonts w:hint="default" w:ascii="Times New Roman" w:hAnsi="Times New Roman" w:eastAsia="宋体" w:cs="Times New Roman"/>
                <w:i w:val="0"/>
                <w:iCs w:val="0"/>
                <w:color w:val="000000"/>
                <w:sz w:val="18"/>
                <w:szCs w:val="18"/>
                <w:highlight w:val="none"/>
                <w:u w:val="none"/>
              </w:rPr>
            </w:pP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4FF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嫩哇乡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2D5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塔哇村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018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307.18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46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2967.38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5F020">
            <w:pPr>
              <w:jc w:val="left"/>
              <w:rPr>
                <w:rFonts w:hint="default" w:ascii="Times New Roman" w:hAnsi="Times New Roman" w:eastAsia="宋体" w:cs="Times New Roman"/>
                <w:i w:val="0"/>
                <w:iCs w:val="0"/>
                <w:color w:val="000000"/>
                <w:sz w:val="18"/>
                <w:szCs w:val="18"/>
                <w:highlight w:val="none"/>
                <w:u w:val="none"/>
              </w:rPr>
            </w:pPr>
          </w:p>
        </w:tc>
      </w:tr>
      <w:tr w14:paraId="6C0F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DA02">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BBE7">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7F17">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中村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532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2660.20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96B5">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AC93">
            <w:pPr>
              <w:jc w:val="left"/>
              <w:rPr>
                <w:rFonts w:hint="default" w:ascii="Times New Roman" w:hAnsi="Times New Roman" w:eastAsia="宋体" w:cs="Times New Roman"/>
                <w:i w:val="0"/>
                <w:iCs w:val="0"/>
                <w:color w:val="000000"/>
                <w:sz w:val="18"/>
                <w:szCs w:val="18"/>
                <w:highlight w:val="none"/>
                <w:u w:val="none"/>
              </w:rPr>
            </w:pPr>
          </w:p>
        </w:tc>
      </w:tr>
      <w:tr w14:paraId="0FE62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CA4F">
            <w:pPr>
              <w:jc w:val="left"/>
              <w:rPr>
                <w:rFonts w:hint="default" w:ascii="Times New Roman" w:hAnsi="Times New Roman" w:eastAsia="宋体" w:cs="Times New Roman"/>
                <w:i w:val="0"/>
                <w:iCs w:val="0"/>
                <w:color w:val="000000"/>
                <w:sz w:val="18"/>
                <w:szCs w:val="18"/>
                <w:highlight w:val="none"/>
                <w:u w:val="none"/>
              </w:rPr>
            </w:pP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737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辖曼镇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2A3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河拉村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C82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8627.49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AF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56727.68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D933">
            <w:pPr>
              <w:jc w:val="left"/>
              <w:rPr>
                <w:rFonts w:hint="default" w:ascii="Times New Roman" w:hAnsi="Times New Roman" w:eastAsia="宋体" w:cs="Times New Roman"/>
                <w:i w:val="0"/>
                <w:iCs w:val="0"/>
                <w:color w:val="000000"/>
                <w:sz w:val="18"/>
                <w:szCs w:val="18"/>
                <w:highlight w:val="none"/>
                <w:u w:val="none"/>
              </w:rPr>
            </w:pPr>
          </w:p>
        </w:tc>
      </w:tr>
      <w:tr w14:paraId="78D7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86A1">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952C">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09F5">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卡加村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7E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9377.44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3904">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D10B">
            <w:pPr>
              <w:jc w:val="left"/>
              <w:rPr>
                <w:rFonts w:hint="default" w:ascii="Times New Roman" w:hAnsi="Times New Roman" w:eastAsia="宋体" w:cs="Times New Roman"/>
                <w:i w:val="0"/>
                <w:iCs w:val="0"/>
                <w:color w:val="000000"/>
                <w:sz w:val="18"/>
                <w:szCs w:val="18"/>
                <w:highlight w:val="none"/>
                <w:u w:val="none"/>
              </w:rPr>
            </w:pPr>
          </w:p>
        </w:tc>
      </w:tr>
      <w:tr w14:paraId="730F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CC2A">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2355">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D416">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文戈村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89C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5737.91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4FDC">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0749">
            <w:pPr>
              <w:jc w:val="left"/>
              <w:rPr>
                <w:rFonts w:hint="default" w:ascii="Times New Roman" w:hAnsi="Times New Roman" w:eastAsia="宋体" w:cs="Times New Roman"/>
                <w:i w:val="0"/>
                <w:iCs w:val="0"/>
                <w:color w:val="000000"/>
                <w:sz w:val="18"/>
                <w:szCs w:val="18"/>
                <w:highlight w:val="none"/>
                <w:u w:val="none"/>
              </w:rPr>
            </w:pPr>
          </w:p>
        </w:tc>
      </w:tr>
      <w:tr w14:paraId="4B1A4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972D">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EB3CE">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658BC">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西仓村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40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5286.05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2BC9">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BD92">
            <w:pPr>
              <w:jc w:val="left"/>
              <w:rPr>
                <w:rFonts w:hint="default" w:ascii="Times New Roman" w:hAnsi="Times New Roman" w:eastAsia="宋体" w:cs="Times New Roman"/>
                <w:i w:val="0"/>
                <w:iCs w:val="0"/>
                <w:color w:val="000000"/>
                <w:sz w:val="18"/>
                <w:szCs w:val="18"/>
                <w:highlight w:val="none"/>
                <w:u w:val="none"/>
              </w:rPr>
            </w:pPr>
          </w:p>
        </w:tc>
      </w:tr>
      <w:tr w14:paraId="22F0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93BF">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142C">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5118E">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辖曼种羊场</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327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27698.79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B840">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C896">
            <w:pPr>
              <w:jc w:val="left"/>
              <w:rPr>
                <w:rFonts w:hint="default" w:ascii="Times New Roman" w:hAnsi="Times New Roman" w:eastAsia="宋体" w:cs="Times New Roman"/>
                <w:i w:val="0"/>
                <w:iCs w:val="0"/>
                <w:color w:val="000000"/>
                <w:sz w:val="18"/>
                <w:szCs w:val="18"/>
                <w:highlight w:val="none"/>
                <w:u w:val="none"/>
              </w:rPr>
            </w:pPr>
          </w:p>
        </w:tc>
      </w:tr>
      <w:tr w14:paraId="7FDF4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E7AD">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白河管理分区</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C416">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白河牧场</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371C">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白河牧场</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75D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43385.84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E76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43385.84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79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50016.40 </w:t>
            </w:r>
          </w:p>
        </w:tc>
      </w:tr>
      <w:tr w14:paraId="3F1CE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F9FA">
            <w:pPr>
              <w:jc w:val="left"/>
              <w:rPr>
                <w:rFonts w:hint="default" w:ascii="Times New Roman" w:hAnsi="Times New Roman" w:eastAsia="宋体" w:cs="Times New Roman"/>
                <w:i w:val="0"/>
                <w:iCs w:val="0"/>
                <w:color w:val="000000"/>
                <w:sz w:val="18"/>
                <w:szCs w:val="18"/>
                <w:highlight w:val="none"/>
                <w:u w:val="none"/>
              </w:rPr>
            </w:pP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12E7">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唐克镇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A26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汾甲村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74F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400.75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D0A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6146.54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930B">
            <w:pPr>
              <w:jc w:val="left"/>
              <w:rPr>
                <w:rFonts w:hint="default" w:ascii="Times New Roman" w:hAnsi="Times New Roman" w:eastAsia="宋体" w:cs="Times New Roman"/>
                <w:i w:val="0"/>
                <w:iCs w:val="0"/>
                <w:color w:val="000000"/>
                <w:sz w:val="18"/>
                <w:szCs w:val="18"/>
                <w:highlight w:val="none"/>
                <w:u w:val="none"/>
              </w:rPr>
            </w:pPr>
          </w:p>
        </w:tc>
      </w:tr>
      <w:tr w14:paraId="5963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BD35">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5A675">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6B00">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嘎尔玛村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6E1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2199.93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A44E">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285B">
            <w:pPr>
              <w:jc w:val="left"/>
              <w:rPr>
                <w:rFonts w:hint="default" w:ascii="Times New Roman" w:hAnsi="Times New Roman" w:eastAsia="宋体" w:cs="Times New Roman"/>
                <w:i w:val="0"/>
                <w:iCs w:val="0"/>
                <w:color w:val="000000"/>
                <w:sz w:val="18"/>
                <w:szCs w:val="18"/>
                <w:highlight w:val="none"/>
                <w:u w:val="none"/>
              </w:rPr>
            </w:pPr>
          </w:p>
        </w:tc>
      </w:tr>
      <w:tr w14:paraId="1BA3F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8E74">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D852">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5271">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逻花村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831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892.45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DAFB">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456B">
            <w:pPr>
              <w:jc w:val="left"/>
              <w:rPr>
                <w:rFonts w:hint="default" w:ascii="Times New Roman" w:hAnsi="Times New Roman" w:eastAsia="宋体" w:cs="Times New Roman"/>
                <w:i w:val="0"/>
                <w:iCs w:val="0"/>
                <w:color w:val="000000"/>
                <w:sz w:val="18"/>
                <w:szCs w:val="18"/>
                <w:highlight w:val="none"/>
                <w:u w:val="none"/>
              </w:rPr>
            </w:pPr>
          </w:p>
        </w:tc>
      </w:tr>
      <w:tr w14:paraId="3EC74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0973">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1A7C">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18C9">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索格藏村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0E0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2653.41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4780">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44BA">
            <w:pPr>
              <w:jc w:val="left"/>
              <w:rPr>
                <w:rFonts w:hint="default" w:ascii="Times New Roman" w:hAnsi="Times New Roman" w:eastAsia="宋体" w:cs="Times New Roman"/>
                <w:i w:val="0"/>
                <w:iCs w:val="0"/>
                <w:color w:val="000000"/>
                <w:sz w:val="18"/>
                <w:szCs w:val="18"/>
                <w:highlight w:val="none"/>
                <w:u w:val="none"/>
              </w:rPr>
            </w:pPr>
          </w:p>
        </w:tc>
      </w:tr>
      <w:tr w14:paraId="60D55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9223">
            <w:pPr>
              <w:jc w:val="left"/>
              <w:rPr>
                <w:rFonts w:hint="default" w:ascii="Times New Roman" w:hAnsi="Times New Roman" w:eastAsia="宋体" w:cs="Times New Roman"/>
                <w:i w:val="0"/>
                <w:iCs w:val="0"/>
                <w:color w:val="000000"/>
                <w:sz w:val="18"/>
                <w:szCs w:val="18"/>
                <w:highlight w:val="none"/>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C97F">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辖曼镇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8DA3">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辖曼种羊场</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51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484.01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506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484.01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147C">
            <w:pPr>
              <w:jc w:val="left"/>
              <w:rPr>
                <w:rFonts w:hint="default" w:ascii="Times New Roman" w:hAnsi="Times New Roman" w:eastAsia="宋体" w:cs="Times New Roman"/>
                <w:i w:val="0"/>
                <w:iCs w:val="0"/>
                <w:color w:val="000000"/>
                <w:sz w:val="18"/>
                <w:szCs w:val="18"/>
                <w:highlight w:val="none"/>
                <w:u w:val="none"/>
              </w:rPr>
            </w:pPr>
          </w:p>
        </w:tc>
      </w:tr>
      <w:tr w14:paraId="7C1E7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3C4">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班佑管理分区</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3D4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巴西镇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3577">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班佑村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E01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11396.93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87C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69738.77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75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70037.25 </w:t>
            </w:r>
          </w:p>
        </w:tc>
      </w:tr>
      <w:tr w14:paraId="4B77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A743">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BD4B">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269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多玛村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89B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28675.67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9F3C">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A27D">
            <w:pPr>
              <w:jc w:val="left"/>
              <w:rPr>
                <w:rFonts w:hint="default" w:ascii="Times New Roman" w:hAnsi="Times New Roman" w:eastAsia="宋体" w:cs="Times New Roman"/>
                <w:i w:val="0"/>
                <w:iCs w:val="0"/>
                <w:color w:val="000000"/>
                <w:sz w:val="18"/>
                <w:szCs w:val="18"/>
                <w:highlight w:val="none"/>
                <w:u w:val="none"/>
              </w:rPr>
            </w:pPr>
          </w:p>
        </w:tc>
      </w:tr>
      <w:tr w14:paraId="1B52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A3AA">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5492">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CAB8">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姜东村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45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11523.45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24C1">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E709">
            <w:pPr>
              <w:jc w:val="left"/>
              <w:rPr>
                <w:rFonts w:hint="default" w:ascii="Times New Roman" w:hAnsi="Times New Roman" w:eastAsia="宋体" w:cs="Times New Roman"/>
                <w:i w:val="0"/>
                <w:iCs w:val="0"/>
                <w:color w:val="000000"/>
                <w:sz w:val="18"/>
                <w:szCs w:val="18"/>
                <w:highlight w:val="none"/>
                <w:u w:val="none"/>
              </w:rPr>
            </w:pPr>
          </w:p>
        </w:tc>
      </w:tr>
      <w:tr w14:paraId="7FE4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3A21">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F395">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C8D7">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求吉郎哇村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E5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18142.30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75B0">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B595">
            <w:pPr>
              <w:jc w:val="left"/>
              <w:rPr>
                <w:rFonts w:hint="default" w:ascii="Times New Roman" w:hAnsi="Times New Roman" w:eastAsia="宋体" w:cs="Times New Roman"/>
                <w:i w:val="0"/>
                <w:iCs w:val="0"/>
                <w:color w:val="000000"/>
                <w:sz w:val="18"/>
                <w:szCs w:val="18"/>
                <w:highlight w:val="none"/>
                <w:u w:val="none"/>
              </w:rPr>
            </w:pPr>
          </w:p>
        </w:tc>
      </w:tr>
      <w:tr w14:paraId="558F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5855">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C276">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CF8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上巴西村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5B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0.41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A344">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837D">
            <w:pPr>
              <w:jc w:val="left"/>
              <w:rPr>
                <w:rFonts w:hint="default" w:ascii="Times New Roman" w:hAnsi="Times New Roman" w:eastAsia="宋体" w:cs="Times New Roman"/>
                <w:i w:val="0"/>
                <w:iCs w:val="0"/>
                <w:color w:val="000000"/>
                <w:sz w:val="18"/>
                <w:szCs w:val="18"/>
                <w:highlight w:val="none"/>
                <w:u w:val="none"/>
              </w:rPr>
            </w:pPr>
          </w:p>
        </w:tc>
      </w:tr>
      <w:tr w14:paraId="19FCF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F106">
            <w:pPr>
              <w:jc w:val="left"/>
              <w:rPr>
                <w:rFonts w:hint="default" w:ascii="Times New Roman" w:hAnsi="Times New Roman" w:eastAsia="宋体" w:cs="Times New Roman"/>
                <w:i w:val="0"/>
                <w:iCs w:val="0"/>
                <w:color w:val="000000"/>
                <w:sz w:val="18"/>
                <w:szCs w:val="18"/>
                <w:highlight w:val="none"/>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5A38">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包座乡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CD5C">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达青村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EAD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80.78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593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80.78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CF13F">
            <w:pPr>
              <w:jc w:val="left"/>
              <w:rPr>
                <w:rFonts w:hint="default" w:ascii="Times New Roman" w:hAnsi="Times New Roman" w:eastAsia="宋体" w:cs="Times New Roman"/>
                <w:i w:val="0"/>
                <w:iCs w:val="0"/>
                <w:color w:val="000000"/>
                <w:sz w:val="18"/>
                <w:szCs w:val="18"/>
                <w:highlight w:val="none"/>
                <w:u w:val="none"/>
              </w:rPr>
            </w:pPr>
          </w:p>
        </w:tc>
      </w:tr>
      <w:tr w14:paraId="00B8D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5290">
            <w:pPr>
              <w:jc w:val="left"/>
              <w:rPr>
                <w:rFonts w:hint="default" w:ascii="Times New Roman" w:hAnsi="Times New Roman" w:eastAsia="宋体" w:cs="Times New Roman"/>
                <w:i w:val="0"/>
                <w:iCs w:val="0"/>
                <w:color w:val="000000"/>
                <w:sz w:val="18"/>
                <w:szCs w:val="18"/>
                <w:highlight w:val="none"/>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6D4E">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达扎寺镇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F349">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红光村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F03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217.71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BA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217.71 </w:t>
            </w: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2444">
            <w:pPr>
              <w:jc w:val="left"/>
              <w:rPr>
                <w:rFonts w:hint="default" w:ascii="Times New Roman" w:hAnsi="Times New Roman" w:eastAsia="宋体" w:cs="Times New Roman"/>
                <w:i w:val="0"/>
                <w:iCs w:val="0"/>
                <w:color w:val="000000"/>
                <w:sz w:val="18"/>
                <w:szCs w:val="18"/>
                <w:highlight w:val="none"/>
                <w:u w:val="none"/>
              </w:rPr>
            </w:pPr>
          </w:p>
        </w:tc>
      </w:tr>
      <w:tr w14:paraId="21AF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35BB">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德纳合管理分区</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FB9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唐克镇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9AC2">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汾甲村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636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10433.08 </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6D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46629.31 </w:t>
            </w:r>
          </w:p>
        </w:tc>
        <w:tc>
          <w:tcPr>
            <w:tcW w:w="16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DE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46629.31 </w:t>
            </w:r>
          </w:p>
        </w:tc>
      </w:tr>
      <w:tr w14:paraId="2D87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50D9">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F261">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8F74">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嘎尔玛村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F6F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17820.77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35EC">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8CF7">
            <w:pPr>
              <w:jc w:val="left"/>
              <w:rPr>
                <w:rFonts w:hint="default" w:ascii="Times New Roman" w:hAnsi="Times New Roman" w:eastAsia="宋体" w:cs="Times New Roman"/>
                <w:i w:val="0"/>
                <w:iCs w:val="0"/>
                <w:color w:val="000000"/>
                <w:sz w:val="18"/>
                <w:szCs w:val="18"/>
                <w:highlight w:val="none"/>
                <w:u w:val="none"/>
              </w:rPr>
            </w:pPr>
          </w:p>
        </w:tc>
      </w:tr>
      <w:tr w14:paraId="77240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6D45">
            <w:pPr>
              <w:jc w:val="left"/>
              <w:rPr>
                <w:rFonts w:hint="default" w:ascii="Times New Roman" w:hAnsi="Times New Roman" w:eastAsia="宋体" w:cs="Times New Roman"/>
                <w:i w:val="0"/>
                <w:iCs w:val="0"/>
                <w:color w:val="000000"/>
                <w:sz w:val="18"/>
                <w:szCs w:val="18"/>
                <w:highlight w:val="none"/>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857E">
            <w:pPr>
              <w:jc w:val="left"/>
              <w:rPr>
                <w:rFonts w:hint="default" w:ascii="Times New Roman" w:hAnsi="Times New Roman" w:eastAsia="宋体" w:cs="Times New Roman"/>
                <w:i w:val="0"/>
                <w:iCs w:val="0"/>
                <w:color w:val="000000"/>
                <w:sz w:val="18"/>
                <w:szCs w:val="18"/>
                <w:highlight w:val="none"/>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CEDA">
            <w:pPr>
              <w:keepNext w:val="0"/>
              <w:keepLines w:val="0"/>
              <w:widowControl/>
              <w:suppressLineNumbers w:val="0"/>
              <w:ind w:left="0" w:leftChars="0" w:firstLine="0" w:firstLineChars="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索格藏村</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FC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18375.47 </w:t>
            </w: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60F4">
            <w:pPr>
              <w:jc w:val="left"/>
              <w:rPr>
                <w:rFonts w:hint="default" w:ascii="Times New Roman" w:hAnsi="Times New Roman" w:eastAsia="宋体" w:cs="Times New Roman"/>
                <w:i w:val="0"/>
                <w:iCs w:val="0"/>
                <w:color w:val="000000"/>
                <w:sz w:val="18"/>
                <w:szCs w:val="18"/>
                <w:highlight w:val="none"/>
                <w:u w:val="none"/>
              </w:rPr>
            </w:pPr>
          </w:p>
        </w:tc>
        <w:tc>
          <w:tcPr>
            <w:tcW w:w="16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64DC">
            <w:pPr>
              <w:jc w:val="left"/>
              <w:rPr>
                <w:rFonts w:hint="default" w:ascii="Times New Roman" w:hAnsi="Times New Roman" w:eastAsia="宋体" w:cs="Times New Roman"/>
                <w:i w:val="0"/>
                <w:iCs w:val="0"/>
                <w:color w:val="000000"/>
                <w:sz w:val="18"/>
                <w:szCs w:val="18"/>
                <w:highlight w:val="none"/>
                <w:u w:val="none"/>
              </w:rPr>
            </w:pPr>
          </w:p>
        </w:tc>
      </w:tr>
      <w:tr w14:paraId="0E85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4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A527">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合计</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BAFB">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 xml:space="preserve">396526.38 </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3070">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 xml:space="preserve">396526.38 </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BBFC">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 xml:space="preserve">396526.38 </w:t>
            </w:r>
          </w:p>
        </w:tc>
      </w:tr>
    </w:tbl>
    <w:p w14:paraId="7E0462F6">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（1）房屋建筑及装修</w:t>
      </w:r>
    </w:p>
    <w:p w14:paraId="56151D25">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体建筑：新建一栋生产性综合用房，可参照同类项目标准，建筑面积建议控制在300平方米左右。内部功能分区应满足办公、值班与仓储需求，建议设置办公室、会议室、档案室、值班宿舍、食堂、卫生间及临时仓库等。</w:t>
      </w:r>
    </w:p>
    <w:p w14:paraId="6C953E90">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装修改造：对屋面进行防水防潮处理，解决渗漏问题；外墙及内墙重新粉刷；更换节能门窗，提升密闭性与保温效果。室内地面根据功能需求铺设地砖或进行硬化处理。</w:t>
      </w:r>
    </w:p>
    <w:p w14:paraId="6B48CE7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（2）小型污水池</w:t>
      </w:r>
    </w:p>
    <w:p w14:paraId="5F583CC0">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在站区适宜位置新建一座小型污水处理设施（如化粪池及一体化污水处理设备），用于收集和处理管理站日常生活污水，确保排放符合环保要求。</w:t>
      </w:r>
    </w:p>
    <w:p w14:paraId="771C5301">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（3）配套工程</w:t>
      </w:r>
    </w:p>
    <w:p w14:paraId="5CC8483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配套道路建设内容：硬化管理站出入口与主道路的连接段，并在站内规划停车位及道路系统。室外地面进行硬化或绿化处理，满足车辆通行与停放需求。</w:t>
      </w:r>
    </w:p>
    <w:p w14:paraId="0B2E4E92">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配套给排水设施建设内容：接入市政给水管网或自建供水系统，保障生活与消防用水；建设站区雨水及污水管网，雨水通过明沟或暗管排入市政雨水管网；污水经小型污水池处理达标后排入市政污水管网或用于站区绿化灌溉。</w:t>
      </w:r>
    </w:p>
    <w:p w14:paraId="27EF4C1C">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配套供暖设施建设内容：安装供暖系统，确保冬季室内温度达标。可采用空气源热泵或电锅炉，同步采用室内散热器（暖气片或地暖）及管道</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HYPERLINK "https://slt.nx.gov.cn/slxc/gzdt/sldt/202510/t20251021_5058658.html" \t "https://chat.deepseek.com/a/chat/s/_blank"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w:t>
      </w:r>
    </w:p>
    <w:p w14:paraId="59B5794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配套供电设施建设内容：从就近电网接入电源，增设或更换变压器、配电箱，架设站区供电线路，确保用电安全与负荷需求。</w:t>
      </w:r>
    </w:p>
    <w:p w14:paraId="2F9F7FFF">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配套通信设施建设内容：引入宽带网络及电话线路，布设站区内综合布线系统（含信息插座、网络交换机等），确保办公区域具备有线及无线网络覆盖条件。</w:t>
      </w:r>
    </w:p>
    <w:p w14:paraId="2D96FC8C">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（4）设备购置</w:t>
      </w:r>
    </w:p>
    <w:p w14:paraId="5AC7980E">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办公家具根据各功能房间配置，可参照以下标准：</w:t>
      </w:r>
    </w:p>
    <w:p w14:paraId="1BB5E6ED">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办公室：配备办公桌椅、文件柜、沙发、茶几、茶水柜等。</w:t>
      </w:r>
    </w:p>
    <w:p w14:paraId="23E2C78B">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会议室：配备大型会议桌、会议椅、茶水柜及多媒体显示设备</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HYPERLINK "http://www.hmhn.xzzwfw.gov.cn/freecms/download.do?fileid=9a1af5d4-1e54-4721-8fb5-c3463bddfabe" \l "15#13" \t "https://chat.deepseek.com/a/chat/s/_blank"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w:t>
      </w:r>
    </w:p>
    <w:p w14:paraId="75F3E36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值班宿舍：配备床铺、衣柜、书桌椅等基本生活设施。</w:t>
      </w:r>
    </w:p>
    <w:p w14:paraId="230D19A3">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办公设备：配置电脑、打印机、复印机、空调等日常办公及电器设备。考虑到管理站运行需求，还需配备必要的监控设备及应急照明工具。</w:t>
      </w:r>
    </w:p>
    <w:p w14:paraId="144EBED8">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配套工程及办公设备见表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-1-2。</w:t>
      </w:r>
    </w:p>
    <w:p w14:paraId="11E79AB2">
      <w:pPr>
        <w:ind w:firstLine="560"/>
        <w:jc w:val="center"/>
        <w:rPr>
          <w:rFonts w:hint="default" w:ascii="Times New Roman" w:hAnsi="Times New Roman" w:eastAsia="仿宋" w:cs="Times New Roman"/>
          <w:b/>
          <w:bCs/>
          <w:color w:val="auto"/>
          <w:highlight w:val="none"/>
          <w:lang w:val="en-US" w:eastAsia="zh-CN"/>
        </w:rPr>
      </w:pPr>
      <w:r>
        <w:rPr>
          <w:rFonts w:hint="default" w:ascii="Times New Roman" w:hAnsi="Times New Roman" w:cs="Times New Roman"/>
          <w:b/>
          <w:bCs/>
          <w:color w:val="auto"/>
          <w:highlight w:val="none"/>
          <w:lang w:eastAsia="zh-CN"/>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-1-2管理站办公设备表</w:t>
      </w:r>
    </w:p>
    <w:tbl>
      <w:tblPr>
        <w:tblStyle w:val="24"/>
        <w:tblW w:w="8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2874"/>
        <w:gridCol w:w="1035"/>
        <w:gridCol w:w="1194"/>
        <w:gridCol w:w="1034"/>
        <w:gridCol w:w="994"/>
      </w:tblGrid>
      <w:tr w14:paraId="2748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013" w:type="dxa"/>
            <w:vMerge w:val="restart"/>
            <w:vAlign w:val="center"/>
          </w:tcPr>
          <w:p w14:paraId="3E1F54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2874" w:type="dxa"/>
            <w:vMerge w:val="restart"/>
            <w:vAlign w:val="center"/>
          </w:tcPr>
          <w:p w14:paraId="50C60D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1035" w:type="dxa"/>
            <w:vMerge w:val="restart"/>
            <w:vAlign w:val="center"/>
          </w:tcPr>
          <w:p w14:paraId="6C164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194" w:type="dxa"/>
            <w:vMerge w:val="restart"/>
            <w:vAlign w:val="center"/>
          </w:tcPr>
          <w:p w14:paraId="3DD254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028" w:type="dxa"/>
            <w:gridSpan w:val="2"/>
            <w:vAlign w:val="center"/>
          </w:tcPr>
          <w:p w14:paraId="081FBB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7767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013" w:type="dxa"/>
            <w:vMerge w:val="continue"/>
            <w:vAlign w:val="center"/>
          </w:tcPr>
          <w:p w14:paraId="1001C9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2874" w:type="dxa"/>
            <w:vMerge w:val="continue"/>
            <w:vAlign w:val="center"/>
          </w:tcPr>
          <w:p w14:paraId="0B0F24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35" w:type="dxa"/>
            <w:vMerge w:val="continue"/>
            <w:vAlign w:val="center"/>
          </w:tcPr>
          <w:p w14:paraId="5F3C8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194" w:type="dxa"/>
            <w:vMerge w:val="continue"/>
            <w:vAlign w:val="center"/>
          </w:tcPr>
          <w:p w14:paraId="6ED11A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34" w:type="dxa"/>
            <w:vAlign w:val="center"/>
          </w:tcPr>
          <w:p w14:paraId="2F99B0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994" w:type="dxa"/>
            <w:vAlign w:val="center"/>
          </w:tcPr>
          <w:p w14:paraId="23CA7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47A9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7A06D1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2874" w:type="dxa"/>
            <w:vAlign w:val="center"/>
          </w:tcPr>
          <w:p w14:paraId="7852C3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房屋建筑及装修</w:t>
            </w:r>
          </w:p>
        </w:tc>
        <w:tc>
          <w:tcPr>
            <w:tcW w:w="1035" w:type="dxa"/>
            <w:vAlign w:val="center"/>
          </w:tcPr>
          <w:p w14:paraId="7E2B8A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处</w:t>
            </w:r>
          </w:p>
        </w:tc>
        <w:tc>
          <w:tcPr>
            <w:tcW w:w="1194" w:type="dxa"/>
            <w:vAlign w:val="center"/>
          </w:tcPr>
          <w:p w14:paraId="0E8FCB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shd w:val="clear" w:color="auto" w:fill="auto"/>
            <w:vAlign w:val="center"/>
          </w:tcPr>
          <w:p w14:paraId="0DC43D4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shd w:val="clear" w:color="auto" w:fill="auto"/>
            <w:vAlign w:val="center"/>
          </w:tcPr>
          <w:p w14:paraId="4F02F1A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p>
        </w:tc>
      </w:tr>
      <w:tr w14:paraId="1455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310D5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2</w:t>
            </w:r>
          </w:p>
        </w:tc>
        <w:tc>
          <w:tcPr>
            <w:tcW w:w="2874" w:type="dxa"/>
            <w:vAlign w:val="center"/>
          </w:tcPr>
          <w:p w14:paraId="542BEE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小型污水池</w:t>
            </w:r>
          </w:p>
        </w:tc>
        <w:tc>
          <w:tcPr>
            <w:tcW w:w="1035" w:type="dxa"/>
            <w:vAlign w:val="center"/>
          </w:tcPr>
          <w:p w14:paraId="76E563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个</w:t>
            </w:r>
          </w:p>
        </w:tc>
        <w:tc>
          <w:tcPr>
            <w:tcW w:w="1194" w:type="dxa"/>
            <w:vAlign w:val="center"/>
          </w:tcPr>
          <w:p w14:paraId="4693EA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vAlign w:val="center"/>
          </w:tcPr>
          <w:p w14:paraId="63389D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763E7C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r w14:paraId="5770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56C819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2874" w:type="dxa"/>
            <w:vAlign w:val="center"/>
          </w:tcPr>
          <w:p w14:paraId="3D0417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配套道路</w:t>
            </w:r>
          </w:p>
        </w:tc>
        <w:tc>
          <w:tcPr>
            <w:tcW w:w="1035" w:type="dxa"/>
            <w:vAlign w:val="center"/>
          </w:tcPr>
          <w:p w14:paraId="3FB506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km</w:t>
            </w:r>
          </w:p>
        </w:tc>
        <w:tc>
          <w:tcPr>
            <w:tcW w:w="1194" w:type="dxa"/>
            <w:vAlign w:val="center"/>
          </w:tcPr>
          <w:p w14:paraId="6FC497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1034" w:type="dxa"/>
            <w:vAlign w:val="center"/>
          </w:tcPr>
          <w:p w14:paraId="56DE07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17AEBD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r w14:paraId="46BA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6FE4D9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2874" w:type="dxa"/>
            <w:vAlign w:val="center"/>
          </w:tcPr>
          <w:p w14:paraId="3A6906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配套通信</w:t>
            </w:r>
          </w:p>
        </w:tc>
        <w:tc>
          <w:tcPr>
            <w:tcW w:w="1035" w:type="dxa"/>
            <w:vAlign w:val="center"/>
          </w:tcPr>
          <w:p w14:paraId="35B03B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套</w:t>
            </w:r>
          </w:p>
        </w:tc>
        <w:tc>
          <w:tcPr>
            <w:tcW w:w="1194" w:type="dxa"/>
            <w:vAlign w:val="center"/>
          </w:tcPr>
          <w:p w14:paraId="429511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vAlign w:val="center"/>
          </w:tcPr>
          <w:p w14:paraId="2DF049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6F7392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r w14:paraId="7F3D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239F20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2874" w:type="dxa"/>
            <w:vAlign w:val="center"/>
          </w:tcPr>
          <w:p w14:paraId="3F8268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配套供电设施</w:t>
            </w:r>
          </w:p>
        </w:tc>
        <w:tc>
          <w:tcPr>
            <w:tcW w:w="1035" w:type="dxa"/>
            <w:vAlign w:val="center"/>
          </w:tcPr>
          <w:p w14:paraId="2451C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套</w:t>
            </w:r>
          </w:p>
        </w:tc>
        <w:tc>
          <w:tcPr>
            <w:tcW w:w="1194" w:type="dxa"/>
            <w:vAlign w:val="center"/>
          </w:tcPr>
          <w:p w14:paraId="36A89A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vAlign w:val="center"/>
          </w:tcPr>
          <w:p w14:paraId="295E6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1B2E85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r w14:paraId="30EA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6BFAC4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2874" w:type="dxa"/>
            <w:vAlign w:val="center"/>
          </w:tcPr>
          <w:p w14:paraId="119E6C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配套给排水设施</w:t>
            </w:r>
          </w:p>
        </w:tc>
        <w:tc>
          <w:tcPr>
            <w:tcW w:w="1035" w:type="dxa"/>
            <w:vAlign w:val="center"/>
          </w:tcPr>
          <w:p w14:paraId="6D826D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套</w:t>
            </w:r>
          </w:p>
        </w:tc>
        <w:tc>
          <w:tcPr>
            <w:tcW w:w="1194" w:type="dxa"/>
            <w:vAlign w:val="center"/>
          </w:tcPr>
          <w:p w14:paraId="190347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vAlign w:val="center"/>
          </w:tcPr>
          <w:p w14:paraId="792163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139355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r w14:paraId="1604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1426ED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2874" w:type="dxa"/>
            <w:vAlign w:val="center"/>
          </w:tcPr>
          <w:p w14:paraId="7322C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配套供暖设施</w:t>
            </w:r>
          </w:p>
        </w:tc>
        <w:tc>
          <w:tcPr>
            <w:tcW w:w="1035" w:type="dxa"/>
            <w:vAlign w:val="center"/>
          </w:tcPr>
          <w:p w14:paraId="6E6049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套</w:t>
            </w:r>
          </w:p>
        </w:tc>
        <w:tc>
          <w:tcPr>
            <w:tcW w:w="1194" w:type="dxa"/>
            <w:vAlign w:val="center"/>
          </w:tcPr>
          <w:p w14:paraId="2EE5D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vAlign w:val="center"/>
          </w:tcPr>
          <w:p w14:paraId="660947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2F709D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r w14:paraId="24EC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Align w:val="center"/>
          </w:tcPr>
          <w:p w14:paraId="354FDF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w:t>
            </w:r>
          </w:p>
        </w:tc>
        <w:tc>
          <w:tcPr>
            <w:tcW w:w="2874" w:type="dxa"/>
            <w:vAlign w:val="center"/>
          </w:tcPr>
          <w:p w14:paraId="31CFF0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办公家俱及设备</w:t>
            </w:r>
          </w:p>
        </w:tc>
        <w:tc>
          <w:tcPr>
            <w:tcW w:w="1035" w:type="dxa"/>
            <w:vAlign w:val="center"/>
          </w:tcPr>
          <w:p w14:paraId="374E3D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套</w:t>
            </w:r>
          </w:p>
        </w:tc>
        <w:tc>
          <w:tcPr>
            <w:tcW w:w="1194" w:type="dxa"/>
            <w:vAlign w:val="center"/>
          </w:tcPr>
          <w:p w14:paraId="381E96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1034" w:type="dxa"/>
            <w:vAlign w:val="center"/>
          </w:tcPr>
          <w:p w14:paraId="73F497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94" w:type="dxa"/>
            <w:vAlign w:val="center"/>
          </w:tcPr>
          <w:p w14:paraId="3900DE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p>
        </w:tc>
      </w:tr>
    </w:tbl>
    <w:p w14:paraId="7F50F405">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.1.4勘界立标</w:t>
      </w:r>
    </w:p>
    <w:p w14:paraId="589FA034">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（1）界桩和界碑</w:t>
      </w:r>
    </w:p>
    <w:p w14:paraId="48B1D6D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若尔盖保护区范围已设界桩314块，界碑420块，保护区在整合优化后，面积增加，为更加明确自然保护区范围及功能区划边界，清晰界定各地块与自然保护区的位置关系，开展日常管理和监督执法，按照《自然保护区等自然保护地勘界立标工作要求》，结合边界地块土地利用现状、规划和土地权属，依法依规勘定自然保护区边界坐标，建立矢量数据库。</w:t>
      </w:r>
    </w:p>
    <w:p w14:paraId="46F76AB5">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整合优化后保护区外围边界周长约为725 km，内部核心保护区边界周长473km，按照界碑界桩设于“自然保护区入口及边界、人为活动频繁区域及各功能区边界，界桩设置最大间距宜为1000m，陡峭山脊、进入困难地段可适当放宽间距”要求，在主要路口设置界碑700块；沿着保护区新边界和两区边界新设与加密界桩共计300块（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-1-3）。界碑、界桩和标志牌具体规格参照《四川省自然保护区标桩标牌标准化建设规范》。</w:t>
      </w:r>
    </w:p>
    <w:p w14:paraId="1AD76F95">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3界碑界桩数量统计</w:t>
      </w:r>
      <w:r>
        <w:rPr>
          <w:rFonts w:hint="default" w:ascii="Times New Roman" w:hAnsi="Times New Roman" w:cs="Times New Roman"/>
          <w:b/>
          <w:bCs/>
          <w:color w:val="auto"/>
          <w:highlight w:val="none"/>
        </w:rPr>
        <w:t>表</w:t>
      </w:r>
    </w:p>
    <w:tbl>
      <w:tblPr>
        <w:tblStyle w:val="23"/>
        <w:tblW w:w="38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226"/>
        <w:gridCol w:w="2710"/>
        <w:gridCol w:w="671"/>
        <w:gridCol w:w="1109"/>
        <w:gridCol w:w="724"/>
        <w:gridCol w:w="741"/>
      </w:tblGrid>
      <w:tr w14:paraId="1E1C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18" w:hRule="atLeast"/>
          <w:jc w:val="center"/>
        </w:trPr>
        <w:tc>
          <w:tcPr>
            <w:tcW w:w="853" w:type="pct"/>
            <w:vMerge w:val="restart"/>
            <w:shd w:val="clear" w:color="auto" w:fill="auto"/>
            <w:tcMar>
              <w:top w:w="12" w:type="dxa"/>
              <w:left w:w="12" w:type="dxa"/>
              <w:right w:w="12" w:type="dxa"/>
            </w:tcMar>
            <w:vAlign w:val="center"/>
          </w:tcPr>
          <w:p w14:paraId="740C18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序号</w:t>
            </w:r>
          </w:p>
        </w:tc>
        <w:tc>
          <w:tcPr>
            <w:tcW w:w="1886" w:type="pct"/>
            <w:vMerge w:val="restart"/>
            <w:shd w:val="clear" w:color="auto" w:fill="auto"/>
            <w:tcMar>
              <w:top w:w="12" w:type="dxa"/>
              <w:left w:w="12" w:type="dxa"/>
              <w:right w:w="12" w:type="dxa"/>
            </w:tcMar>
            <w:vAlign w:val="center"/>
          </w:tcPr>
          <w:p w14:paraId="6456756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名称</w:t>
            </w:r>
          </w:p>
        </w:tc>
        <w:tc>
          <w:tcPr>
            <w:tcW w:w="467" w:type="pct"/>
            <w:vMerge w:val="restart"/>
            <w:shd w:val="clear" w:color="auto" w:fill="auto"/>
            <w:tcMar>
              <w:top w:w="12" w:type="dxa"/>
              <w:left w:w="12" w:type="dxa"/>
              <w:right w:w="12" w:type="dxa"/>
            </w:tcMar>
            <w:vAlign w:val="center"/>
          </w:tcPr>
          <w:p w14:paraId="5C6FAC2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单位</w:t>
            </w:r>
          </w:p>
        </w:tc>
        <w:tc>
          <w:tcPr>
            <w:tcW w:w="772" w:type="pct"/>
            <w:vMerge w:val="restart"/>
            <w:shd w:val="clear" w:color="auto" w:fill="auto"/>
            <w:tcMar>
              <w:top w:w="12" w:type="dxa"/>
              <w:left w:w="12" w:type="dxa"/>
              <w:right w:w="12" w:type="dxa"/>
            </w:tcMar>
            <w:vAlign w:val="center"/>
          </w:tcPr>
          <w:p w14:paraId="6A1F05B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建设规模</w:t>
            </w:r>
          </w:p>
        </w:tc>
        <w:tc>
          <w:tcPr>
            <w:tcW w:w="1020" w:type="pct"/>
            <w:gridSpan w:val="2"/>
            <w:shd w:val="clear" w:color="auto" w:fill="auto"/>
            <w:tcMar>
              <w:top w:w="12" w:type="dxa"/>
              <w:left w:w="12" w:type="dxa"/>
              <w:right w:w="12" w:type="dxa"/>
            </w:tcMar>
            <w:vAlign w:val="center"/>
          </w:tcPr>
          <w:p w14:paraId="0E9F1E5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建设期限</w:t>
            </w:r>
          </w:p>
        </w:tc>
      </w:tr>
      <w:tr w14:paraId="1890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853" w:type="pct"/>
            <w:vMerge w:val="continue"/>
            <w:shd w:val="clear" w:color="auto" w:fill="auto"/>
            <w:tcMar>
              <w:top w:w="12" w:type="dxa"/>
              <w:left w:w="12" w:type="dxa"/>
              <w:right w:w="12" w:type="dxa"/>
            </w:tcMar>
            <w:vAlign w:val="center"/>
          </w:tcPr>
          <w:p w14:paraId="4CA9CB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1886" w:type="pct"/>
            <w:vMerge w:val="continue"/>
            <w:shd w:val="clear" w:color="auto" w:fill="auto"/>
            <w:tcMar>
              <w:top w:w="12" w:type="dxa"/>
              <w:left w:w="12" w:type="dxa"/>
              <w:right w:w="12" w:type="dxa"/>
            </w:tcMar>
            <w:vAlign w:val="center"/>
          </w:tcPr>
          <w:p w14:paraId="69AE45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467" w:type="pct"/>
            <w:vMerge w:val="continue"/>
            <w:shd w:val="clear" w:color="auto" w:fill="auto"/>
            <w:tcMar>
              <w:top w:w="12" w:type="dxa"/>
              <w:left w:w="12" w:type="dxa"/>
              <w:right w:w="12" w:type="dxa"/>
            </w:tcMar>
            <w:vAlign w:val="center"/>
          </w:tcPr>
          <w:p w14:paraId="46881B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772" w:type="pct"/>
            <w:vMerge w:val="continue"/>
            <w:shd w:val="clear" w:color="auto" w:fill="auto"/>
            <w:tcMar>
              <w:top w:w="12" w:type="dxa"/>
              <w:left w:w="12" w:type="dxa"/>
              <w:right w:w="12" w:type="dxa"/>
            </w:tcMar>
            <w:vAlign w:val="center"/>
          </w:tcPr>
          <w:p w14:paraId="7C10A5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504" w:type="pct"/>
            <w:shd w:val="clear" w:color="auto" w:fill="auto"/>
            <w:tcMar>
              <w:top w:w="12" w:type="dxa"/>
              <w:left w:w="12" w:type="dxa"/>
              <w:right w:w="12" w:type="dxa"/>
            </w:tcMar>
            <w:vAlign w:val="center"/>
          </w:tcPr>
          <w:p w14:paraId="6E6B7F7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近期</w:t>
            </w:r>
          </w:p>
        </w:tc>
        <w:tc>
          <w:tcPr>
            <w:tcW w:w="516" w:type="pct"/>
            <w:shd w:val="clear" w:color="auto" w:fill="auto"/>
            <w:tcMar>
              <w:top w:w="12" w:type="dxa"/>
              <w:left w:w="12" w:type="dxa"/>
              <w:right w:w="12" w:type="dxa"/>
            </w:tcMar>
            <w:vAlign w:val="center"/>
          </w:tcPr>
          <w:p w14:paraId="7B4D4A9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中长期</w:t>
            </w:r>
          </w:p>
        </w:tc>
      </w:tr>
      <w:tr w14:paraId="59F4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853" w:type="pct"/>
            <w:shd w:val="clear" w:color="auto" w:fill="auto"/>
            <w:tcMar>
              <w:top w:w="12" w:type="dxa"/>
              <w:left w:w="12" w:type="dxa"/>
              <w:right w:w="12" w:type="dxa"/>
            </w:tcMar>
            <w:vAlign w:val="center"/>
          </w:tcPr>
          <w:p w14:paraId="3D548B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rPr>
            </w:pPr>
            <w:r>
              <w:rPr>
                <w:rFonts w:hint="default" w:ascii="Times New Roman" w:hAnsi="Times New Roman" w:cs="Times New Roman" w:eastAsiaTheme="minorEastAsia"/>
                <w:color w:val="auto"/>
                <w:sz w:val="18"/>
                <w:szCs w:val="18"/>
                <w:highlight w:val="none"/>
              </w:rPr>
              <w:t>1</w:t>
            </w:r>
          </w:p>
        </w:tc>
        <w:tc>
          <w:tcPr>
            <w:tcW w:w="1886" w:type="pct"/>
            <w:shd w:val="clear" w:color="auto" w:fill="auto"/>
            <w:tcMar>
              <w:top w:w="12" w:type="dxa"/>
              <w:left w:w="12" w:type="dxa"/>
              <w:right w:w="12" w:type="dxa"/>
            </w:tcMar>
            <w:vAlign w:val="center"/>
          </w:tcPr>
          <w:p w14:paraId="4A1DD5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界碑</w:t>
            </w:r>
          </w:p>
        </w:tc>
        <w:tc>
          <w:tcPr>
            <w:tcW w:w="467" w:type="pct"/>
            <w:shd w:val="clear" w:color="auto" w:fill="auto"/>
            <w:tcMar>
              <w:top w:w="12" w:type="dxa"/>
              <w:left w:w="12" w:type="dxa"/>
              <w:right w:w="12" w:type="dxa"/>
            </w:tcMar>
            <w:vAlign w:val="center"/>
          </w:tcPr>
          <w:p w14:paraId="41FB206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个</w:t>
            </w:r>
          </w:p>
        </w:tc>
        <w:tc>
          <w:tcPr>
            <w:tcW w:w="772" w:type="pct"/>
            <w:shd w:val="clear" w:color="auto" w:fill="auto"/>
            <w:tcMar>
              <w:top w:w="12" w:type="dxa"/>
              <w:left w:w="12" w:type="dxa"/>
              <w:right w:w="12" w:type="dxa"/>
            </w:tcMar>
            <w:vAlign w:val="center"/>
          </w:tcPr>
          <w:p w14:paraId="4FE17A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700</w:t>
            </w:r>
          </w:p>
        </w:tc>
        <w:tc>
          <w:tcPr>
            <w:tcW w:w="504" w:type="pct"/>
            <w:shd w:val="clear" w:color="auto" w:fill="auto"/>
            <w:tcMar>
              <w:top w:w="12" w:type="dxa"/>
              <w:left w:w="12" w:type="dxa"/>
              <w:right w:w="12" w:type="dxa"/>
            </w:tcMar>
            <w:vAlign w:val="center"/>
          </w:tcPr>
          <w:p w14:paraId="466E3BAA">
            <w:pPr>
              <w:spacing w:line="240" w:lineRule="auto"/>
              <w:ind w:firstLine="0" w:firstLineChars="0"/>
              <w:jc w:val="center"/>
              <w:rPr>
                <w:rFonts w:hint="default" w:ascii="Times New Roman" w:hAnsi="Times New Roman" w:eastAsia="宋体" w:cs="Times New Roman"/>
                <w:i w:val="0"/>
                <w:color w:val="auto"/>
                <w:sz w:val="20"/>
                <w:szCs w:val="20"/>
                <w:highlight w:val="none"/>
                <w:u w:val="none"/>
              </w:rPr>
            </w:pPr>
            <w:r>
              <w:rPr>
                <w:rFonts w:hint="default" w:ascii="Times New Roman" w:hAnsi="Times New Roman" w:eastAsia="宋体" w:cs="Times New Roman"/>
                <w:color w:val="auto"/>
                <w:kern w:val="0"/>
                <w:sz w:val="20"/>
                <w:szCs w:val="20"/>
                <w:highlight w:val="none"/>
              </w:rPr>
              <w:t>√</w:t>
            </w:r>
          </w:p>
        </w:tc>
        <w:tc>
          <w:tcPr>
            <w:tcW w:w="516" w:type="pct"/>
            <w:shd w:val="clear" w:color="auto" w:fill="auto"/>
            <w:tcMar>
              <w:top w:w="12" w:type="dxa"/>
              <w:left w:w="12" w:type="dxa"/>
              <w:right w:w="12" w:type="dxa"/>
            </w:tcMar>
            <w:vAlign w:val="center"/>
          </w:tcPr>
          <w:p w14:paraId="1F95DDEC">
            <w:pPr>
              <w:spacing w:line="240" w:lineRule="auto"/>
              <w:ind w:firstLine="0" w:firstLineChars="0"/>
              <w:jc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color w:val="auto"/>
                <w:kern w:val="0"/>
                <w:sz w:val="20"/>
                <w:szCs w:val="20"/>
                <w:highlight w:val="none"/>
              </w:rPr>
              <w:t>√</w:t>
            </w:r>
          </w:p>
        </w:tc>
      </w:tr>
      <w:tr w14:paraId="35C3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853" w:type="pct"/>
            <w:shd w:val="clear" w:color="auto" w:fill="auto"/>
            <w:tcMar>
              <w:top w:w="12" w:type="dxa"/>
              <w:left w:w="12" w:type="dxa"/>
              <w:right w:w="12" w:type="dxa"/>
            </w:tcMar>
            <w:vAlign w:val="center"/>
          </w:tcPr>
          <w:p w14:paraId="33A657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eastAsiaTheme="minorEastAsia"/>
                <w:color w:val="auto"/>
                <w:sz w:val="18"/>
                <w:szCs w:val="18"/>
                <w:highlight w:val="none"/>
              </w:rPr>
              <w:t>2</w:t>
            </w:r>
          </w:p>
        </w:tc>
        <w:tc>
          <w:tcPr>
            <w:tcW w:w="1886" w:type="pct"/>
            <w:shd w:val="clear" w:color="auto" w:fill="auto"/>
            <w:tcMar>
              <w:top w:w="12" w:type="dxa"/>
              <w:left w:w="12" w:type="dxa"/>
              <w:right w:w="12" w:type="dxa"/>
            </w:tcMar>
            <w:vAlign w:val="center"/>
          </w:tcPr>
          <w:p w14:paraId="5E5781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界桩</w:t>
            </w:r>
          </w:p>
        </w:tc>
        <w:tc>
          <w:tcPr>
            <w:tcW w:w="467" w:type="pct"/>
            <w:shd w:val="clear" w:color="auto" w:fill="auto"/>
            <w:tcMar>
              <w:top w:w="12" w:type="dxa"/>
              <w:left w:w="12" w:type="dxa"/>
              <w:right w:w="12" w:type="dxa"/>
            </w:tcMar>
            <w:vAlign w:val="center"/>
          </w:tcPr>
          <w:p w14:paraId="704DF0E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个</w:t>
            </w:r>
          </w:p>
        </w:tc>
        <w:tc>
          <w:tcPr>
            <w:tcW w:w="772" w:type="pct"/>
            <w:shd w:val="clear" w:color="auto" w:fill="auto"/>
            <w:tcMar>
              <w:top w:w="12" w:type="dxa"/>
              <w:left w:w="12" w:type="dxa"/>
              <w:right w:w="12" w:type="dxa"/>
            </w:tcMar>
            <w:vAlign w:val="center"/>
          </w:tcPr>
          <w:p w14:paraId="03400E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300</w:t>
            </w:r>
          </w:p>
        </w:tc>
        <w:tc>
          <w:tcPr>
            <w:tcW w:w="504" w:type="pct"/>
            <w:shd w:val="clear" w:color="auto" w:fill="auto"/>
            <w:tcMar>
              <w:top w:w="12" w:type="dxa"/>
              <w:left w:w="12" w:type="dxa"/>
              <w:right w:w="12" w:type="dxa"/>
            </w:tcMar>
            <w:vAlign w:val="center"/>
          </w:tcPr>
          <w:p w14:paraId="14BC2420">
            <w:pPr>
              <w:spacing w:line="240" w:lineRule="auto"/>
              <w:ind w:firstLine="0" w:firstLineChars="0"/>
              <w:jc w:val="center"/>
              <w:rPr>
                <w:rFonts w:hint="default" w:ascii="Times New Roman" w:hAnsi="Times New Roman" w:eastAsia="宋体" w:cs="Times New Roman"/>
                <w:i w:val="0"/>
                <w:color w:val="auto"/>
                <w:kern w:val="2"/>
                <w:sz w:val="20"/>
                <w:szCs w:val="20"/>
                <w:highlight w:val="none"/>
                <w:u w:val="none"/>
                <w:lang w:val="en-US" w:eastAsia="zh-CN" w:bidi="ar-SA"/>
              </w:rPr>
            </w:pPr>
            <w:r>
              <w:rPr>
                <w:rFonts w:hint="default" w:ascii="Times New Roman" w:hAnsi="Times New Roman" w:eastAsia="宋体" w:cs="Times New Roman"/>
                <w:color w:val="auto"/>
                <w:kern w:val="0"/>
                <w:sz w:val="20"/>
                <w:szCs w:val="20"/>
                <w:highlight w:val="none"/>
              </w:rPr>
              <w:t>√</w:t>
            </w:r>
          </w:p>
        </w:tc>
        <w:tc>
          <w:tcPr>
            <w:tcW w:w="516" w:type="pct"/>
            <w:shd w:val="clear" w:color="auto" w:fill="auto"/>
            <w:tcMar>
              <w:top w:w="12" w:type="dxa"/>
              <w:left w:w="12" w:type="dxa"/>
              <w:right w:w="12" w:type="dxa"/>
            </w:tcMar>
            <w:vAlign w:val="center"/>
          </w:tcPr>
          <w:p w14:paraId="2369D143">
            <w:pPr>
              <w:spacing w:line="240" w:lineRule="auto"/>
              <w:ind w:firstLine="0" w:firstLineChars="0"/>
              <w:jc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color w:val="auto"/>
                <w:kern w:val="0"/>
                <w:sz w:val="20"/>
                <w:szCs w:val="20"/>
                <w:highlight w:val="none"/>
              </w:rPr>
              <w:t>√</w:t>
            </w:r>
          </w:p>
        </w:tc>
      </w:tr>
    </w:tbl>
    <w:p w14:paraId="6EB6DAD9">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（2）标识标志牌</w:t>
      </w:r>
    </w:p>
    <w:p w14:paraId="42AF7C20">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标志牌主要用于宣传介绍若尔盖保护区，或指示进入保护区所需要注意的事项，根据若尔盖自然保护区的实际情况，规划以下内容，设置指引标识29个，警示、禁止标识10个、解说标识30个。</w:t>
      </w:r>
    </w:p>
    <w:p w14:paraId="5C5AB3C1">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指引标识。</w:t>
      </w:r>
      <w:r>
        <w:rPr>
          <w:rFonts w:hint="default" w:ascii="Times New Roman" w:hAnsi="Times New Roman" w:cs="Times New Roman"/>
          <w:color w:val="auto"/>
          <w:highlight w:val="none"/>
          <w:lang w:val="en-US" w:eastAsia="zh-CN"/>
        </w:rPr>
        <w:t>经实地调查，保护区需在进入自然保护区区界位置，设置外部指引标识4个，分别位于麦溪、红星、班佑和唐克。在进入保护区边界及保护区交叉路口，以及访客中心、休憩、服务、饮水、厕所等主要设施处，应设置内部指引标识，提供场所名称、方向及距离指引，共设置内部指引标识25个。</w:t>
      </w:r>
    </w:p>
    <w:p w14:paraId="4E91C70F">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警示、禁止标识。</w:t>
      </w:r>
      <w:r>
        <w:rPr>
          <w:rFonts w:hint="default" w:ascii="Times New Roman" w:hAnsi="Times New Roman" w:cs="Times New Roman"/>
          <w:color w:val="auto"/>
          <w:highlight w:val="none"/>
          <w:lang w:val="en-US" w:eastAsia="zh-CN"/>
        </w:rPr>
        <w:t>警示标识是揭示规定、规则，提示人们注意，控制人们活动和行为。主要结合道路、人类活动及保护区核心保护区、一般控制区划定情况进行设置，设置警示、禁止标识10个。</w:t>
      </w:r>
    </w:p>
    <w:p w14:paraId="39D2FB30">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解说标识。</w:t>
      </w:r>
      <w:r>
        <w:rPr>
          <w:rFonts w:hint="default" w:ascii="Times New Roman" w:hAnsi="Times New Roman" w:cs="Times New Roman"/>
          <w:b w:val="0"/>
          <w:bCs w:val="0"/>
          <w:color w:val="auto"/>
          <w:highlight w:val="none"/>
          <w:lang w:val="en-US" w:eastAsia="zh-CN"/>
        </w:rPr>
        <w:t>设置于观景点入口、资源集中展示区等关键节点，以图文结合形式开展科普，宣传国家政策，提倡保护教育，内容兼具学术严谨性与趣味性，适配不同认知水平访客，共设置解说性标牌30个。</w:t>
      </w:r>
    </w:p>
    <w:p w14:paraId="04ED0639">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标识标志牌配置见表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-1-4。</w:t>
      </w:r>
    </w:p>
    <w:p w14:paraId="3BFECD4B">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4标识标志牌</w:t>
      </w:r>
      <w:r>
        <w:rPr>
          <w:rFonts w:hint="default" w:ascii="Times New Roman" w:hAnsi="Times New Roman" w:cs="Times New Roman"/>
          <w:b/>
          <w:bCs/>
          <w:color w:val="auto"/>
          <w:highlight w:val="none"/>
          <w:lang w:eastAsia="zh-CN"/>
        </w:rPr>
        <w:t>配置</w:t>
      </w:r>
      <w:r>
        <w:rPr>
          <w:rFonts w:hint="default" w:ascii="Times New Roman" w:hAnsi="Times New Roman" w:cs="Times New Roman"/>
          <w:b/>
          <w:bCs/>
          <w:color w:val="auto"/>
          <w:highlight w:val="none"/>
        </w:rPr>
        <w:t>表</w:t>
      </w:r>
    </w:p>
    <w:tbl>
      <w:tblPr>
        <w:tblStyle w:val="23"/>
        <w:tblW w:w="39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012"/>
        <w:gridCol w:w="3102"/>
        <w:gridCol w:w="670"/>
        <w:gridCol w:w="1110"/>
        <w:gridCol w:w="723"/>
        <w:gridCol w:w="742"/>
      </w:tblGrid>
      <w:tr w14:paraId="77DF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687" w:type="pct"/>
            <w:vMerge w:val="restart"/>
            <w:shd w:val="clear" w:color="auto" w:fill="auto"/>
            <w:tcMar>
              <w:top w:w="12" w:type="dxa"/>
              <w:left w:w="12" w:type="dxa"/>
              <w:right w:w="12" w:type="dxa"/>
            </w:tcMar>
            <w:vAlign w:val="center"/>
          </w:tcPr>
          <w:p w14:paraId="7E05B85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序号</w:t>
            </w:r>
          </w:p>
        </w:tc>
        <w:tc>
          <w:tcPr>
            <w:tcW w:w="2107" w:type="pct"/>
            <w:vMerge w:val="restart"/>
            <w:shd w:val="clear" w:color="auto" w:fill="auto"/>
            <w:tcMar>
              <w:top w:w="12" w:type="dxa"/>
              <w:left w:w="12" w:type="dxa"/>
              <w:right w:w="12" w:type="dxa"/>
            </w:tcMar>
            <w:vAlign w:val="center"/>
          </w:tcPr>
          <w:p w14:paraId="38E98F6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名称</w:t>
            </w:r>
          </w:p>
        </w:tc>
        <w:tc>
          <w:tcPr>
            <w:tcW w:w="455" w:type="pct"/>
            <w:vMerge w:val="restart"/>
            <w:shd w:val="clear" w:color="auto" w:fill="auto"/>
            <w:tcMar>
              <w:top w:w="12" w:type="dxa"/>
              <w:left w:w="12" w:type="dxa"/>
              <w:right w:w="12" w:type="dxa"/>
            </w:tcMar>
            <w:vAlign w:val="center"/>
          </w:tcPr>
          <w:p w14:paraId="7686F8F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单位</w:t>
            </w:r>
          </w:p>
        </w:tc>
        <w:tc>
          <w:tcPr>
            <w:tcW w:w="754" w:type="pct"/>
            <w:vMerge w:val="restart"/>
            <w:shd w:val="clear" w:color="auto" w:fill="auto"/>
            <w:tcMar>
              <w:top w:w="12" w:type="dxa"/>
              <w:left w:w="12" w:type="dxa"/>
              <w:right w:w="12" w:type="dxa"/>
            </w:tcMar>
            <w:vAlign w:val="center"/>
          </w:tcPr>
          <w:p w14:paraId="33D535E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建设规模</w:t>
            </w:r>
          </w:p>
        </w:tc>
        <w:tc>
          <w:tcPr>
            <w:tcW w:w="995" w:type="pct"/>
            <w:gridSpan w:val="2"/>
            <w:shd w:val="clear" w:color="auto" w:fill="auto"/>
            <w:tcMar>
              <w:top w:w="12" w:type="dxa"/>
              <w:left w:w="12" w:type="dxa"/>
              <w:right w:w="12" w:type="dxa"/>
            </w:tcMar>
            <w:vAlign w:val="center"/>
          </w:tcPr>
          <w:p w14:paraId="373A5F8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建设期限</w:t>
            </w:r>
          </w:p>
        </w:tc>
      </w:tr>
      <w:tr w14:paraId="7476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3" w:hRule="atLeast"/>
          <w:jc w:val="center"/>
        </w:trPr>
        <w:tc>
          <w:tcPr>
            <w:tcW w:w="687" w:type="pct"/>
            <w:vMerge w:val="continue"/>
            <w:shd w:val="clear" w:color="auto" w:fill="auto"/>
            <w:tcMar>
              <w:top w:w="12" w:type="dxa"/>
              <w:left w:w="12" w:type="dxa"/>
              <w:right w:w="12" w:type="dxa"/>
            </w:tcMar>
            <w:vAlign w:val="center"/>
          </w:tcPr>
          <w:p w14:paraId="50B707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2107" w:type="pct"/>
            <w:vMerge w:val="continue"/>
            <w:shd w:val="clear" w:color="auto" w:fill="auto"/>
            <w:tcMar>
              <w:top w:w="12" w:type="dxa"/>
              <w:left w:w="12" w:type="dxa"/>
              <w:right w:w="12" w:type="dxa"/>
            </w:tcMar>
            <w:vAlign w:val="center"/>
          </w:tcPr>
          <w:p w14:paraId="57B73B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455" w:type="pct"/>
            <w:vMerge w:val="continue"/>
            <w:shd w:val="clear" w:color="auto" w:fill="auto"/>
            <w:tcMar>
              <w:top w:w="12" w:type="dxa"/>
              <w:left w:w="12" w:type="dxa"/>
              <w:right w:w="12" w:type="dxa"/>
            </w:tcMar>
            <w:vAlign w:val="center"/>
          </w:tcPr>
          <w:p w14:paraId="3D1357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754" w:type="pct"/>
            <w:vMerge w:val="continue"/>
            <w:shd w:val="clear" w:color="auto" w:fill="auto"/>
            <w:tcMar>
              <w:top w:w="12" w:type="dxa"/>
              <w:left w:w="12" w:type="dxa"/>
              <w:right w:w="12" w:type="dxa"/>
            </w:tcMar>
            <w:vAlign w:val="center"/>
          </w:tcPr>
          <w:p w14:paraId="6F820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491" w:type="pct"/>
            <w:shd w:val="clear" w:color="auto" w:fill="auto"/>
            <w:tcMar>
              <w:top w:w="12" w:type="dxa"/>
              <w:left w:w="12" w:type="dxa"/>
              <w:right w:w="12" w:type="dxa"/>
            </w:tcMar>
            <w:vAlign w:val="center"/>
          </w:tcPr>
          <w:p w14:paraId="333F9A7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近期</w:t>
            </w:r>
          </w:p>
        </w:tc>
        <w:tc>
          <w:tcPr>
            <w:tcW w:w="503" w:type="pct"/>
            <w:shd w:val="clear" w:color="auto" w:fill="auto"/>
            <w:tcMar>
              <w:top w:w="12" w:type="dxa"/>
              <w:left w:w="12" w:type="dxa"/>
              <w:right w:w="12" w:type="dxa"/>
            </w:tcMar>
            <w:vAlign w:val="center"/>
          </w:tcPr>
          <w:p w14:paraId="33C4AA6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中长期</w:t>
            </w:r>
          </w:p>
        </w:tc>
      </w:tr>
      <w:tr w14:paraId="0D0F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3" w:hRule="atLeast"/>
          <w:jc w:val="center"/>
        </w:trPr>
        <w:tc>
          <w:tcPr>
            <w:tcW w:w="687" w:type="pct"/>
            <w:shd w:val="clear" w:color="auto" w:fill="auto"/>
            <w:tcMar>
              <w:top w:w="12" w:type="dxa"/>
              <w:left w:w="12" w:type="dxa"/>
              <w:right w:w="12" w:type="dxa"/>
            </w:tcMar>
            <w:vAlign w:val="center"/>
          </w:tcPr>
          <w:p w14:paraId="7CBE4A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rPr>
            </w:pPr>
            <w:r>
              <w:rPr>
                <w:rFonts w:hint="default" w:ascii="Times New Roman" w:hAnsi="Times New Roman" w:cs="Times New Roman" w:eastAsiaTheme="minorEastAsia"/>
                <w:color w:val="auto"/>
                <w:sz w:val="18"/>
                <w:szCs w:val="18"/>
                <w:highlight w:val="none"/>
              </w:rPr>
              <w:t>1</w:t>
            </w:r>
          </w:p>
        </w:tc>
        <w:tc>
          <w:tcPr>
            <w:tcW w:w="2107" w:type="pct"/>
            <w:shd w:val="clear" w:color="auto" w:fill="auto"/>
            <w:tcMar>
              <w:top w:w="12" w:type="dxa"/>
              <w:left w:w="12" w:type="dxa"/>
              <w:right w:w="12" w:type="dxa"/>
            </w:tcMar>
            <w:vAlign w:val="center"/>
          </w:tcPr>
          <w:p w14:paraId="7518EA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指引标识</w:t>
            </w:r>
          </w:p>
        </w:tc>
        <w:tc>
          <w:tcPr>
            <w:tcW w:w="455" w:type="pct"/>
            <w:shd w:val="clear" w:color="auto" w:fill="auto"/>
            <w:tcMar>
              <w:top w:w="12" w:type="dxa"/>
              <w:left w:w="12" w:type="dxa"/>
              <w:right w:w="12" w:type="dxa"/>
            </w:tcMar>
            <w:vAlign w:val="center"/>
          </w:tcPr>
          <w:p w14:paraId="7B88D2B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个</w:t>
            </w:r>
          </w:p>
        </w:tc>
        <w:tc>
          <w:tcPr>
            <w:tcW w:w="754" w:type="pct"/>
            <w:shd w:val="clear" w:color="auto" w:fill="auto"/>
            <w:tcMar>
              <w:top w:w="12" w:type="dxa"/>
              <w:left w:w="12" w:type="dxa"/>
              <w:right w:w="12" w:type="dxa"/>
            </w:tcMar>
            <w:vAlign w:val="center"/>
          </w:tcPr>
          <w:p w14:paraId="0B3494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29</w:t>
            </w:r>
          </w:p>
        </w:tc>
        <w:tc>
          <w:tcPr>
            <w:tcW w:w="491" w:type="pct"/>
            <w:shd w:val="clear" w:color="auto" w:fill="auto"/>
            <w:tcMar>
              <w:top w:w="12" w:type="dxa"/>
              <w:left w:w="12" w:type="dxa"/>
              <w:right w:w="12" w:type="dxa"/>
            </w:tcMar>
            <w:vAlign w:val="center"/>
          </w:tcPr>
          <w:p w14:paraId="1F8CE5F4">
            <w:pPr>
              <w:spacing w:line="240" w:lineRule="auto"/>
              <w:ind w:firstLine="0" w:firstLineChars="0"/>
              <w:jc w:val="center"/>
              <w:rPr>
                <w:rFonts w:hint="default" w:ascii="Times New Roman" w:hAnsi="Times New Roman" w:eastAsia="宋体" w:cs="Times New Roman"/>
                <w:i w:val="0"/>
                <w:color w:val="auto"/>
                <w:sz w:val="20"/>
                <w:szCs w:val="20"/>
                <w:highlight w:val="none"/>
                <w:u w:val="none"/>
              </w:rPr>
            </w:pPr>
            <w:r>
              <w:rPr>
                <w:rFonts w:hint="default" w:ascii="Times New Roman" w:hAnsi="Times New Roman" w:eastAsia="宋体" w:cs="Times New Roman"/>
                <w:color w:val="auto"/>
                <w:kern w:val="0"/>
                <w:sz w:val="20"/>
                <w:szCs w:val="20"/>
                <w:highlight w:val="none"/>
              </w:rPr>
              <w:t>√</w:t>
            </w:r>
          </w:p>
        </w:tc>
        <w:tc>
          <w:tcPr>
            <w:tcW w:w="503" w:type="pct"/>
            <w:shd w:val="clear" w:color="auto" w:fill="auto"/>
            <w:tcMar>
              <w:top w:w="12" w:type="dxa"/>
              <w:left w:w="12" w:type="dxa"/>
              <w:right w:w="12" w:type="dxa"/>
            </w:tcMar>
            <w:vAlign w:val="center"/>
          </w:tcPr>
          <w:p w14:paraId="3DBD61ED">
            <w:pPr>
              <w:spacing w:line="240" w:lineRule="auto"/>
              <w:ind w:firstLine="0" w:firstLineChars="0"/>
              <w:jc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color w:val="auto"/>
                <w:kern w:val="0"/>
                <w:sz w:val="20"/>
                <w:szCs w:val="20"/>
                <w:highlight w:val="none"/>
              </w:rPr>
              <w:t>√</w:t>
            </w:r>
          </w:p>
        </w:tc>
      </w:tr>
      <w:tr w14:paraId="3190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3" w:hRule="atLeast"/>
          <w:jc w:val="center"/>
        </w:trPr>
        <w:tc>
          <w:tcPr>
            <w:tcW w:w="687" w:type="pct"/>
            <w:shd w:val="clear" w:color="auto" w:fill="auto"/>
            <w:tcMar>
              <w:top w:w="12" w:type="dxa"/>
              <w:left w:w="12" w:type="dxa"/>
              <w:right w:w="12" w:type="dxa"/>
            </w:tcMar>
            <w:vAlign w:val="center"/>
          </w:tcPr>
          <w:p w14:paraId="0BE16D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eastAsiaTheme="minorEastAsia"/>
                <w:color w:val="auto"/>
                <w:sz w:val="18"/>
                <w:szCs w:val="18"/>
                <w:highlight w:val="none"/>
              </w:rPr>
              <w:t>2</w:t>
            </w:r>
          </w:p>
        </w:tc>
        <w:tc>
          <w:tcPr>
            <w:tcW w:w="2107" w:type="pct"/>
            <w:shd w:val="clear" w:color="auto" w:fill="auto"/>
            <w:tcMar>
              <w:top w:w="12" w:type="dxa"/>
              <w:left w:w="12" w:type="dxa"/>
              <w:right w:w="12" w:type="dxa"/>
            </w:tcMar>
            <w:vAlign w:val="center"/>
          </w:tcPr>
          <w:p w14:paraId="2342CB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警示、禁止标识</w:t>
            </w:r>
          </w:p>
        </w:tc>
        <w:tc>
          <w:tcPr>
            <w:tcW w:w="455" w:type="pct"/>
            <w:shd w:val="clear" w:color="auto" w:fill="auto"/>
            <w:tcMar>
              <w:top w:w="12" w:type="dxa"/>
              <w:left w:w="12" w:type="dxa"/>
              <w:right w:w="12" w:type="dxa"/>
            </w:tcMar>
            <w:vAlign w:val="center"/>
          </w:tcPr>
          <w:p w14:paraId="03F386A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个</w:t>
            </w:r>
          </w:p>
        </w:tc>
        <w:tc>
          <w:tcPr>
            <w:tcW w:w="754" w:type="pct"/>
            <w:shd w:val="clear" w:color="auto" w:fill="auto"/>
            <w:tcMar>
              <w:top w:w="12" w:type="dxa"/>
              <w:left w:w="12" w:type="dxa"/>
              <w:right w:w="12" w:type="dxa"/>
            </w:tcMar>
            <w:vAlign w:val="center"/>
          </w:tcPr>
          <w:p w14:paraId="087D4D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10</w:t>
            </w:r>
          </w:p>
        </w:tc>
        <w:tc>
          <w:tcPr>
            <w:tcW w:w="491" w:type="pct"/>
            <w:shd w:val="clear" w:color="auto" w:fill="auto"/>
            <w:tcMar>
              <w:top w:w="12" w:type="dxa"/>
              <w:left w:w="12" w:type="dxa"/>
              <w:right w:w="12" w:type="dxa"/>
            </w:tcMar>
            <w:vAlign w:val="center"/>
          </w:tcPr>
          <w:p w14:paraId="3CE7ACB6">
            <w:pPr>
              <w:spacing w:line="240" w:lineRule="auto"/>
              <w:ind w:firstLine="0" w:firstLineChars="0"/>
              <w:jc w:val="center"/>
              <w:rPr>
                <w:rFonts w:hint="default" w:ascii="Times New Roman" w:hAnsi="Times New Roman" w:eastAsia="宋体" w:cs="Times New Roman"/>
                <w:i w:val="0"/>
                <w:color w:val="auto"/>
                <w:kern w:val="2"/>
                <w:sz w:val="20"/>
                <w:szCs w:val="20"/>
                <w:highlight w:val="none"/>
                <w:u w:val="none"/>
                <w:lang w:val="en-US" w:eastAsia="zh-CN" w:bidi="ar-SA"/>
              </w:rPr>
            </w:pPr>
            <w:r>
              <w:rPr>
                <w:rFonts w:hint="default" w:ascii="Times New Roman" w:hAnsi="Times New Roman" w:eastAsia="宋体" w:cs="Times New Roman"/>
                <w:color w:val="auto"/>
                <w:kern w:val="0"/>
                <w:sz w:val="20"/>
                <w:szCs w:val="20"/>
                <w:highlight w:val="none"/>
              </w:rPr>
              <w:t>√</w:t>
            </w:r>
          </w:p>
        </w:tc>
        <w:tc>
          <w:tcPr>
            <w:tcW w:w="503" w:type="pct"/>
            <w:shd w:val="clear" w:color="auto" w:fill="auto"/>
            <w:tcMar>
              <w:top w:w="12" w:type="dxa"/>
              <w:left w:w="12" w:type="dxa"/>
              <w:right w:w="12" w:type="dxa"/>
            </w:tcMar>
            <w:vAlign w:val="center"/>
          </w:tcPr>
          <w:p w14:paraId="5A121F08">
            <w:pPr>
              <w:spacing w:line="240" w:lineRule="auto"/>
              <w:ind w:firstLine="0" w:firstLineChars="0"/>
              <w:jc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color w:val="auto"/>
                <w:kern w:val="0"/>
                <w:sz w:val="20"/>
                <w:szCs w:val="20"/>
                <w:highlight w:val="none"/>
              </w:rPr>
              <w:t>√</w:t>
            </w:r>
          </w:p>
        </w:tc>
      </w:tr>
      <w:tr w14:paraId="235A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3" w:hRule="atLeast"/>
          <w:jc w:val="center"/>
        </w:trPr>
        <w:tc>
          <w:tcPr>
            <w:tcW w:w="687" w:type="pct"/>
            <w:shd w:val="clear" w:color="auto" w:fill="auto"/>
            <w:tcMar>
              <w:top w:w="12" w:type="dxa"/>
              <w:left w:w="12" w:type="dxa"/>
              <w:right w:w="12" w:type="dxa"/>
            </w:tcMar>
            <w:vAlign w:val="center"/>
          </w:tcPr>
          <w:p w14:paraId="20D36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eastAsiaTheme="minorEastAsia"/>
                <w:color w:val="auto"/>
                <w:sz w:val="18"/>
                <w:szCs w:val="18"/>
                <w:highlight w:val="none"/>
              </w:rPr>
              <w:t>3</w:t>
            </w:r>
          </w:p>
        </w:tc>
        <w:tc>
          <w:tcPr>
            <w:tcW w:w="2107" w:type="pct"/>
            <w:shd w:val="clear" w:color="auto" w:fill="auto"/>
            <w:tcMar>
              <w:top w:w="12" w:type="dxa"/>
              <w:left w:w="12" w:type="dxa"/>
              <w:right w:w="12" w:type="dxa"/>
            </w:tcMar>
            <w:vAlign w:val="center"/>
          </w:tcPr>
          <w:p w14:paraId="7B46F5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解说标识</w:t>
            </w:r>
          </w:p>
        </w:tc>
        <w:tc>
          <w:tcPr>
            <w:tcW w:w="455" w:type="pct"/>
            <w:shd w:val="clear" w:color="auto" w:fill="auto"/>
            <w:tcMar>
              <w:top w:w="12" w:type="dxa"/>
              <w:left w:w="12" w:type="dxa"/>
              <w:right w:w="12" w:type="dxa"/>
            </w:tcMar>
            <w:vAlign w:val="center"/>
          </w:tcPr>
          <w:p w14:paraId="785130B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个</w:t>
            </w:r>
          </w:p>
        </w:tc>
        <w:tc>
          <w:tcPr>
            <w:tcW w:w="754" w:type="pct"/>
            <w:shd w:val="clear" w:color="auto" w:fill="auto"/>
            <w:tcMar>
              <w:top w:w="12" w:type="dxa"/>
              <w:left w:w="12" w:type="dxa"/>
              <w:right w:w="12" w:type="dxa"/>
            </w:tcMar>
            <w:vAlign w:val="center"/>
          </w:tcPr>
          <w:p w14:paraId="6C0AED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eastAsiaTheme="minorEastAsia"/>
                <w:color w:val="auto"/>
                <w:sz w:val="18"/>
                <w:szCs w:val="18"/>
                <w:highlight w:val="none"/>
                <w:lang w:val="en-US" w:eastAsia="zh-CN"/>
              </w:rPr>
              <w:t>30</w:t>
            </w:r>
          </w:p>
        </w:tc>
        <w:tc>
          <w:tcPr>
            <w:tcW w:w="491" w:type="pct"/>
            <w:shd w:val="clear" w:color="auto" w:fill="auto"/>
            <w:tcMar>
              <w:top w:w="12" w:type="dxa"/>
              <w:left w:w="12" w:type="dxa"/>
              <w:right w:w="12" w:type="dxa"/>
            </w:tcMar>
            <w:vAlign w:val="center"/>
          </w:tcPr>
          <w:p w14:paraId="249BB217">
            <w:pPr>
              <w:spacing w:line="240" w:lineRule="auto"/>
              <w:ind w:firstLine="0" w:firstLineChars="0"/>
              <w:jc w:val="center"/>
              <w:rPr>
                <w:rFonts w:hint="default" w:ascii="Times New Roman" w:hAnsi="Times New Roman" w:eastAsia="宋体" w:cs="Times New Roman"/>
                <w:i w:val="0"/>
                <w:color w:val="auto"/>
                <w:kern w:val="2"/>
                <w:sz w:val="20"/>
                <w:szCs w:val="20"/>
                <w:highlight w:val="none"/>
                <w:u w:val="none"/>
                <w:lang w:val="en-US" w:eastAsia="zh-CN" w:bidi="ar-SA"/>
              </w:rPr>
            </w:pPr>
            <w:r>
              <w:rPr>
                <w:rFonts w:hint="default" w:ascii="Times New Roman" w:hAnsi="Times New Roman" w:eastAsia="宋体" w:cs="Times New Roman"/>
                <w:color w:val="auto"/>
                <w:kern w:val="0"/>
                <w:sz w:val="20"/>
                <w:szCs w:val="20"/>
                <w:highlight w:val="none"/>
              </w:rPr>
              <w:t>√</w:t>
            </w:r>
          </w:p>
        </w:tc>
        <w:tc>
          <w:tcPr>
            <w:tcW w:w="503" w:type="pct"/>
            <w:shd w:val="clear" w:color="auto" w:fill="auto"/>
            <w:tcMar>
              <w:top w:w="12" w:type="dxa"/>
              <w:left w:w="12" w:type="dxa"/>
              <w:right w:w="12" w:type="dxa"/>
            </w:tcMar>
            <w:vAlign w:val="center"/>
          </w:tcPr>
          <w:p w14:paraId="259D8751">
            <w:pPr>
              <w:spacing w:line="240" w:lineRule="auto"/>
              <w:ind w:firstLine="0" w:firstLineChars="0"/>
              <w:jc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color w:val="auto"/>
                <w:kern w:val="0"/>
                <w:sz w:val="20"/>
                <w:szCs w:val="20"/>
                <w:highlight w:val="none"/>
              </w:rPr>
              <w:t>√</w:t>
            </w:r>
          </w:p>
        </w:tc>
      </w:tr>
    </w:tbl>
    <w:p w14:paraId="797399EB">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.1.5巡护体系建设</w:t>
      </w:r>
    </w:p>
    <w:p w14:paraId="77BEF94E">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（1）巡护路网建设</w:t>
      </w:r>
    </w:p>
    <w:p w14:paraId="7C95925B">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保护区内巡护道路主要为牧道，根据巡护需求，需要对部分巡护道路进行修缮改造，总长度</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00km。巡护工作</w:t>
      </w:r>
      <w:r>
        <w:rPr>
          <w:rFonts w:hint="default" w:ascii="Times New Roman" w:hAnsi="Times New Roman" w:cs="Times New Roman"/>
          <w:color w:val="auto"/>
          <w:highlight w:val="none"/>
        </w:rPr>
        <w:t>分别由各保护站工作人员进行定期巡护。</w:t>
      </w:r>
    </w:p>
    <w:p w14:paraId="5844F275">
      <w:pPr>
        <w:pStyle w:val="9"/>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lang w:eastAsia="zh-CN"/>
        </w:rPr>
        <w:t>巡护道路修建标准依据《自然保护区工程建设标准》规定，按照国家四级公路建设标准执行，</w:t>
      </w:r>
      <w:r>
        <w:rPr>
          <w:rFonts w:hint="default" w:ascii="Times New Roman" w:hAnsi="Times New Roman" w:cs="Times New Roman"/>
          <w:color w:val="auto"/>
          <w:highlight w:val="none"/>
          <w:lang w:val="en-US" w:eastAsia="zh-CN"/>
        </w:rPr>
        <w:t>修建方式为争取国家财政资金投入修建。</w:t>
      </w:r>
    </w:p>
    <w:p w14:paraId="76849F44">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巡护道路建设工程见表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-1-5。</w:t>
      </w:r>
    </w:p>
    <w:p w14:paraId="69D73A6B">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5</w:t>
      </w:r>
      <w:r>
        <w:rPr>
          <w:rFonts w:hint="default" w:ascii="Times New Roman" w:hAnsi="Times New Roman" w:cs="Times New Roman"/>
          <w:b/>
          <w:bCs/>
          <w:color w:val="auto"/>
          <w:highlight w:val="none"/>
        </w:rPr>
        <w:t>巡护道路建设工程表</w:t>
      </w:r>
    </w:p>
    <w:tbl>
      <w:tblPr>
        <w:tblStyle w:val="23"/>
        <w:tblW w:w="4208" w:type="pct"/>
        <w:jc w:val="center"/>
        <w:shd w:val="clear" w:color="auto" w:fill="auto"/>
        <w:tblLayout w:type="autofit"/>
        <w:tblCellMar>
          <w:top w:w="0" w:type="dxa"/>
          <w:left w:w="0" w:type="dxa"/>
          <w:bottom w:w="0" w:type="dxa"/>
          <w:right w:w="0" w:type="dxa"/>
        </w:tblCellMar>
      </w:tblPr>
      <w:tblGrid>
        <w:gridCol w:w="714"/>
        <w:gridCol w:w="3930"/>
        <w:gridCol w:w="674"/>
        <w:gridCol w:w="1110"/>
        <w:gridCol w:w="725"/>
        <w:gridCol w:w="740"/>
      </w:tblGrid>
      <w:tr w14:paraId="662E7729">
        <w:tblPrEx>
          <w:shd w:val="clear" w:color="auto" w:fill="auto"/>
          <w:tblCellMar>
            <w:top w:w="0" w:type="dxa"/>
            <w:left w:w="0" w:type="dxa"/>
            <w:bottom w:w="0" w:type="dxa"/>
            <w:right w:w="0" w:type="dxa"/>
          </w:tblCellMar>
        </w:tblPrEx>
        <w:trPr>
          <w:trHeight w:val="318" w:hRule="atLeast"/>
          <w:jc w:val="center"/>
        </w:trPr>
        <w:tc>
          <w:tcPr>
            <w:tcW w:w="452" w:type="pct"/>
            <w:vMerge w:val="restart"/>
            <w:tcBorders>
              <w:top w:val="single" w:color="000000" w:sz="8"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14:paraId="7B86AC5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序号</w:t>
            </w:r>
          </w:p>
        </w:tc>
        <w:tc>
          <w:tcPr>
            <w:tcW w:w="2488" w:type="pct"/>
            <w:vMerge w:val="restart"/>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41FA859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名称</w:t>
            </w:r>
          </w:p>
        </w:tc>
        <w:tc>
          <w:tcPr>
            <w:tcW w:w="427" w:type="pct"/>
            <w:vMerge w:val="restart"/>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419D9B0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单位</w:t>
            </w:r>
          </w:p>
        </w:tc>
        <w:tc>
          <w:tcPr>
            <w:tcW w:w="703" w:type="pct"/>
            <w:vMerge w:val="restart"/>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71C178D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建设规模</w:t>
            </w:r>
          </w:p>
        </w:tc>
        <w:tc>
          <w:tcPr>
            <w:tcW w:w="927" w:type="pct"/>
            <w:gridSpan w:val="2"/>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34B3220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建设期限</w:t>
            </w:r>
          </w:p>
        </w:tc>
      </w:tr>
      <w:tr w14:paraId="1E7F81AA">
        <w:tblPrEx>
          <w:shd w:val="clear" w:color="auto" w:fill="auto"/>
          <w:tblCellMar>
            <w:top w:w="0" w:type="dxa"/>
            <w:left w:w="0" w:type="dxa"/>
            <w:bottom w:w="0" w:type="dxa"/>
            <w:right w:w="0" w:type="dxa"/>
          </w:tblCellMar>
        </w:tblPrEx>
        <w:trPr>
          <w:trHeight w:val="303" w:hRule="atLeast"/>
          <w:jc w:val="center"/>
        </w:trPr>
        <w:tc>
          <w:tcPr>
            <w:tcW w:w="452" w:type="pct"/>
            <w:vMerge w:val="continue"/>
            <w:tcBorders>
              <w:top w:val="single" w:color="000000" w:sz="8"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14:paraId="618F2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2488" w:type="pct"/>
            <w:vMerge w:val="continue"/>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3F6B1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427" w:type="pct"/>
            <w:vMerge w:val="continue"/>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05AA87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703" w:type="pct"/>
            <w:vMerge w:val="continue"/>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2CBC08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i w:val="0"/>
                <w:color w:val="auto"/>
                <w:sz w:val="18"/>
                <w:szCs w:val="18"/>
                <w:highlight w:val="none"/>
                <w:u w:val="none"/>
              </w:rPr>
            </w:pPr>
          </w:p>
        </w:tc>
        <w:tc>
          <w:tcPr>
            <w:tcW w:w="459" w:type="pct"/>
            <w:tcBorders>
              <w:top w:val="nil"/>
              <w:left w:val="nil"/>
              <w:bottom w:val="single" w:color="000000" w:sz="8" w:space="0"/>
              <w:right w:val="single" w:color="000000" w:sz="8" w:space="0"/>
            </w:tcBorders>
            <w:shd w:val="clear" w:color="auto" w:fill="auto"/>
            <w:tcMar>
              <w:top w:w="12" w:type="dxa"/>
              <w:left w:w="12" w:type="dxa"/>
              <w:right w:w="12" w:type="dxa"/>
            </w:tcMar>
            <w:vAlign w:val="center"/>
          </w:tcPr>
          <w:p w14:paraId="28CE8DC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近期</w:t>
            </w:r>
          </w:p>
        </w:tc>
        <w:tc>
          <w:tcPr>
            <w:tcW w:w="468" w:type="pct"/>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center"/>
          </w:tcPr>
          <w:p w14:paraId="64CCAED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i w:val="0"/>
                <w:color w:val="auto"/>
                <w:sz w:val="18"/>
                <w:szCs w:val="18"/>
                <w:highlight w:val="none"/>
                <w:u w:val="none"/>
              </w:rPr>
            </w:pPr>
            <w:r>
              <w:rPr>
                <w:rFonts w:hint="default" w:ascii="Times New Roman" w:hAnsi="Times New Roman" w:eastAsia="宋体" w:cs="Times New Roman"/>
                <w:b/>
                <w:i w:val="0"/>
                <w:color w:val="auto"/>
                <w:kern w:val="0"/>
                <w:sz w:val="18"/>
                <w:szCs w:val="18"/>
                <w:highlight w:val="none"/>
                <w:u w:val="none"/>
                <w:lang w:val="en-US" w:eastAsia="zh-CN" w:bidi="ar"/>
              </w:rPr>
              <w:t>中长期</w:t>
            </w:r>
          </w:p>
        </w:tc>
      </w:tr>
      <w:tr w14:paraId="1B5975A8">
        <w:tblPrEx>
          <w:shd w:val="clear" w:color="auto" w:fill="auto"/>
          <w:tblCellMar>
            <w:top w:w="0" w:type="dxa"/>
            <w:left w:w="0" w:type="dxa"/>
            <w:bottom w:w="0" w:type="dxa"/>
            <w:right w:w="0" w:type="dxa"/>
          </w:tblCellMar>
        </w:tblPrEx>
        <w:trPr>
          <w:trHeight w:val="363" w:hRule="atLeast"/>
          <w:jc w:val="center"/>
        </w:trPr>
        <w:tc>
          <w:tcPr>
            <w:tcW w:w="452" w:type="pct"/>
            <w:tcBorders>
              <w:top w:val="nil"/>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14:paraId="6348FBB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2488" w:type="pct"/>
            <w:tcBorders>
              <w:top w:val="nil"/>
              <w:left w:val="nil"/>
              <w:bottom w:val="single" w:color="000000" w:sz="8" w:space="0"/>
              <w:right w:val="single" w:color="000000" w:sz="8" w:space="0"/>
            </w:tcBorders>
            <w:shd w:val="clear" w:color="auto" w:fill="auto"/>
            <w:tcMar>
              <w:top w:w="12" w:type="dxa"/>
              <w:left w:w="12" w:type="dxa"/>
              <w:right w:w="12" w:type="dxa"/>
            </w:tcMar>
            <w:vAlign w:val="center"/>
          </w:tcPr>
          <w:p w14:paraId="5FD7242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巡护道路</w:t>
            </w:r>
          </w:p>
        </w:tc>
        <w:tc>
          <w:tcPr>
            <w:tcW w:w="427" w:type="pct"/>
            <w:tcBorders>
              <w:top w:val="nil"/>
              <w:left w:val="nil"/>
              <w:bottom w:val="single" w:color="000000" w:sz="8" w:space="0"/>
              <w:right w:val="single" w:color="000000" w:sz="8" w:space="0"/>
            </w:tcBorders>
            <w:shd w:val="clear" w:color="auto" w:fill="auto"/>
            <w:tcMar>
              <w:top w:w="12" w:type="dxa"/>
              <w:left w:w="12" w:type="dxa"/>
              <w:right w:w="12" w:type="dxa"/>
            </w:tcMar>
            <w:vAlign w:val="center"/>
          </w:tcPr>
          <w:p w14:paraId="4201474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Km</w:t>
            </w:r>
          </w:p>
        </w:tc>
        <w:tc>
          <w:tcPr>
            <w:tcW w:w="703" w:type="pct"/>
            <w:tcBorders>
              <w:top w:val="nil"/>
              <w:left w:val="nil"/>
              <w:bottom w:val="single" w:color="000000" w:sz="8" w:space="0"/>
              <w:right w:val="single" w:color="000000" w:sz="8" w:space="0"/>
            </w:tcBorders>
            <w:shd w:val="clear" w:color="auto" w:fill="auto"/>
            <w:tcMar>
              <w:top w:w="12" w:type="dxa"/>
              <w:left w:w="12" w:type="dxa"/>
              <w:right w:w="12" w:type="dxa"/>
            </w:tcMar>
            <w:vAlign w:val="center"/>
          </w:tcPr>
          <w:p w14:paraId="410A313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eastAsia" w:ascii="Times New Roman" w:hAnsi="Times New Roman" w:eastAsia="宋体" w:cs="Times New Roman"/>
                <w:i w:val="0"/>
                <w:color w:val="auto"/>
                <w:sz w:val="18"/>
                <w:szCs w:val="18"/>
                <w:highlight w:val="none"/>
                <w:u w:val="none"/>
                <w:lang w:val="en-US" w:eastAsia="zh-CN"/>
              </w:rPr>
              <w:t>8</w:t>
            </w:r>
            <w:r>
              <w:rPr>
                <w:rFonts w:hint="default" w:ascii="Times New Roman" w:hAnsi="Times New Roman" w:eastAsia="宋体" w:cs="Times New Roman"/>
                <w:i w:val="0"/>
                <w:color w:val="auto"/>
                <w:sz w:val="18"/>
                <w:szCs w:val="18"/>
                <w:highlight w:val="none"/>
                <w:u w:val="none"/>
                <w:lang w:val="en-US" w:eastAsia="zh-CN"/>
              </w:rPr>
              <w:t>00</w:t>
            </w:r>
          </w:p>
        </w:tc>
        <w:tc>
          <w:tcPr>
            <w:tcW w:w="459" w:type="pct"/>
            <w:tcBorders>
              <w:top w:val="nil"/>
              <w:left w:val="nil"/>
              <w:bottom w:val="single" w:color="000000" w:sz="8" w:space="0"/>
              <w:right w:val="single" w:color="000000" w:sz="8" w:space="0"/>
            </w:tcBorders>
            <w:shd w:val="clear" w:color="auto" w:fill="auto"/>
            <w:tcMar>
              <w:top w:w="12" w:type="dxa"/>
              <w:left w:w="12" w:type="dxa"/>
              <w:right w:w="12" w:type="dxa"/>
            </w:tcMar>
            <w:vAlign w:val="center"/>
          </w:tcPr>
          <w:p w14:paraId="70C97D87">
            <w:pPr>
              <w:spacing w:line="240" w:lineRule="auto"/>
              <w:ind w:firstLine="0" w:firstLineChars="0"/>
              <w:jc w:val="center"/>
              <w:rPr>
                <w:rFonts w:hint="default" w:ascii="Times New Roman" w:hAnsi="Times New Roman" w:eastAsia="宋体" w:cs="Times New Roman"/>
                <w:i w:val="0"/>
                <w:color w:val="auto"/>
                <w:sz w:val="20"/>
                <w:szCs w:val="20"/>
                <w:highlight w:val="none"/>
                <w:u w:val="none"/>
              </w:rPr>
            </w:pPr>
            <w:r>
              <w:rPr>
                <w:rFonts w:hint="default" w:ascii="Times New Roman" w:hAnsi="Times New Roman" w:eastAsia="宋体" w:cs="Times New Roman"/>
                <w:color w:val="auto"/>
                <w:kern w:val="0"/>
                <w:sz w:val="20"/>
                <w:szCs w:val="20"/>
                <w:highlight w:val="none"/>
              </w:rPr>
              <w:t>√</w:t>
            </w:r>
          </w:p>
        </w:tc>
        <w:tc>
          <w:tcPr>
            <w:tcW w:w="468" w:type="pct"/>
            <w:tcBorders>
              <w:top w:val="nil"/>
              <w:left w:val="nil"/>
              <w:bottom w:val="single" w:color="000000" w:sz="8" w:space="0"/>
              <w:right w:val="single" w:color="000000" w:sz="8" w:space="0"/>
            </w:tcBorders>
            <w:shd w:val="clear" w:color="auto" w:fill="auto"/>
            <w:tcMar>
              <w:top w:w="12" w:type="dxa"/>
              <w:left w:w="12" w:type="dxa"/>
              <w:right w:w="12" w:type="dxa"/>
            </w:tcMar>
            <w:vAlign w:val="center"/>
          </w:tcPr>
          <w:p w14:paraId="5BFB5D5C">
            <w:pPr>
              <w:spacing w:line="240" w:lineRule="auto"/>
              <w:ind w:firstLine="0" w:firstLineChars="0"/>
              <w:jc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color w:val="auto"/>
                <w:kern w:val="0"/>
                <w:sz w:val="20"/>
                <w:szCs w:val="20"/>
                <w:highlight w:val="none"/>
              </w:rPr>
              <w:t>√</w:t>
            </w:r>
          </w:p>
        </w:tc>
      </w:tr>
    </w:tbl>
    <w:p w14:paraId="15B6D8EB">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（2）巡护设备配套</w:t>
      </w:r>
    </w:p>
    <w:p w14:paraId="46D447FE">
      <w:pPr>
        <w:ind w:firstLine="560"/>
        <w:jc w:val="left"/>
        <w:rPr>
          <w:rFonts w:hint="default" w:ascii="Times New Roman" w:hAnsi="Times New Roman" w:eastAsia="Segoe UI" w:cs="Times New Roman"/>
          <w:i w:val="0"/>
          <w:iCs w:val="0"/>
          <w:caps w:val="0"/>
          <w:color w:val="0F1115"/>
          <w:spacing w:val="0"/>
          <w:sz w:val="24"/>
          <w:szCs w:val="24"/>
          <w:highlight w:val="none"/>
          <w:shd w:val="clear" w:fill="FFFFFF"/>
        </w:rPr>
      </w:pPr>
      <w:r>
        <w:rPr>
          <w:rFonts w:hint="default" w:ascii="Times New Roman" w:hAnsi="Times New Roman" w:cs="Times New Roman"/>
          <w:color w:val="auto"/>
          <w:highlight w:val="none"/>
          <w:lang w:val="en-US" w:eastAsia="zh-CN"/>
        </w:rPr>
        <w:t>购买无人机2架（含动力系统、飞控系统、地面控制站、数字图传系统各2套），开展常态化的无人机定期、定点、定线的全自主巡护，提高巡护效率；配备40部巡护员PDA、4辆巡护车及必要的通讯、交通、巡护、救护等设施设备；结合目前技术和应用的发展速度，在技术条件成熟的情况下，配置10台机器狗，购置专用巡护软件，提升巡护效率、降低人员风险、实现24小时全天候监测。</w:t>
      </w:r>
    </w:p>
    <w:p w14:paraId="5BCD3179">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巡护设备见表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-1-6。</w:t>
      </w:r>
    </w:p>
    <w:p w14:paraId="76F445BE">
      <w:pPr>
        <w:pStyle w:val="14"/>
        <w:rPr>
          <w:rFonts w:hint="default" w:ascii="Times New Roman" w:hAnsi="Times New Roman" w:cs="Times New Roman"/>
          <w:color w:val="auto"/>
          <w:highlight w:val="none"/>
          <w:lang w:val="en-US" w:eastAsia="zh-CN"/>
        </w:rPr>
      </w:pPr>
    </w:p>
    <w:p w14:paraId="49C16635">
      <w:pPr>
        <w:pStyle w:val="14"/>
        <w:rPr>
          <w:rFonts w:hint="default" w:ascii="Times New Roman" w:hAnsi="Times New Roman" w:cs="Times New Roman"/>
          <w:color w:val="auto"/>
          <w:highlight w:val="none"/>
          <w:lang w:val="en-US" w:eastAsia="zh-CN"/>
        </w:rPr>
      </w:pPr>
    </w:p>
    <w:p w14:paraId="00EBF26E">
      <w:pPr>
        <w:pStyle w:val="14"/>
        <w:rPr>
          <w:rFonts w:hint="default" w:ascii="Times New Roman" w:hAnsi="Times New Roman" w:cs="Times New Roman"/>
          <w:color w:val="auto"/>
          <w:highlight w:val="none"/>
          <w:lang w:val="en-US" w:eastAsia="zh-CN"/>
        </w:rPr>
      </w:pPr>
    </w:p>
    <w:p w14:paraId="3024FD12">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6巡护设备</w:t>
      </w:r>
      <w:r>
        <w:rPr>
          <w:rFonts w:hint="default" w:ascii="Times New Roman" w:hAnsi="Times New Roman" w:cs="Times New Roman"/>
          <w:b/>
          <w:bCs/>
          <w:color w:val="auto"/>
          <w:highlight w:val="none"/>
          <w:lang w:eastAsia="zh-CN"/>
        </w:rPr>
        <w:t>配置</w:t>
      </w:r>
      <w:r>
        <w:rPr>
          <w:rFonts w:hint="default" w:ascii="Times New Roman" w:hAnsi="Times New Roman" w:cs="Times New Roman"/>
          <w:b/>
          <w:bCs/>
          <w:color w:val="auto"/>
          <w:highlight w:val="none"/>
        </w:rPr>
        <w:t>表</w:t>
      </w:r>
    </w:p>
    <w:tbl>
      <w:tblPr>
        <w:tblStyle w:val="24"/>
        <w:tblW w:w="8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2112"/>
        <w:gridCol w:w="923"/>
        <w:gridCol w:w="1296"/>
        <w:gridCol w:w="1434"/>
        <w:gridCol w:w="1325"/>
      </w:tblGrid>
      <w:tr w14:paraId="5D09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936" w:type="dxa"/>
            <w:vMerge w:val="restart"/>
            <w:vAlign w:val="center"/>
          </w:tcPr>
          <w:p w14:paraId="29C236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序号</w:t>
            </w:r>
          </w:p>
        </w:tc>
        <w:tc>
          <w:tcPr>
            <w:tcW w:w="2112" w:type="dxa"/>
            <w:vMerge w:val="restart"/>
            <w:vAlign w:val="center"/>
          </w:tcPr>
          <w:p w14:paraId="4C465D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名称</w:t>
            </w:r>
          </w:p>
        </w:tc>
        <w:tc>
          <w:tcPr>
            <w:tcW w:w="923" w:type="dxa"/>
            <w:vMerge w:val="restart"/>
            <w:vAlign w:val="center"/>
          </w:tcPr>
          <w:p w14:paraId="67C95D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单位</w:t>
            </w:r>
          </w:p>
        </w:tc>
        <w:tc>
          <w:tcPr>
            <w:tcW w:w="1296" w:type="dxa"/>
            <w:vMerge w:val="restart"/>
            <w:vAlign w:val="center"/>
          </w:tcPr>
          <w:p w14:paraId="34DC12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工程量</w:t>
            </w:r>
          </w:p>
        </w:tc>
        <w:tc>
          <w:tcPr>
            <w:tcW w:w="2759" w:type="dxa"/>
            <w:gridSpan w:val="2"/>
            <w:vAlign w:val="center"/>
          </w:tcPr>
          <w:p w14:paraId="2914F5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建设期限</w:t>
            </w:r>
          </w:p>
        </w:tc>
      </w:tr>
      <w:tr w14:paraId="754B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936" w:type="dxa"/>
            <w:vMerge w:val="continue"/>
            <w:vAlign w:val="center"/>
          </w:tcPr>
          <w:p w14:paraId="0C7856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2112" w:type="dxa"/>
            <w:vMerge w:val="continue"/>
            <w:vAlign w:val="center"/>
          </w:tcPr>
          <w:p w14:paraId="66C9BB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923" w:type="dxa"/>
            <w:vMerge w:val="continue"/>
            <w:vAlign w:val="center"/>
          </w:tcPr>
          <w:p w14:paraId="37E995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1296" w:type="dxa"/>
            <w:vMerge w:val="continue"/>
            <w:vAlign w:val="center"/>
          </w:tcPr>
          <w:p w14:paraId="28F8F6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1434" w:type="dxa"/>
            <w:vAlign w:val="center"/>
          </w:tcPr>
          <w:p w14:paraId="399A7A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近期</w:t>
            </w:r>
          </w:p>
        </w:tc>
        <w:tc>
          <w:tcPr>
            <w:tcW w:w="1325" w:type="dxa"/>
            <w:vAlign w:val="center"/>
          </w:tcPr>
          <w:p w14:paraId="4D1187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中长期</w:t>
            </w:r>
          </w:p>
        </w:tc>
      </w:tr>
      <w:tr w14:paraId="145E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105EC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1</w:t>
            </w:r>
          </w:p>
        </w:tc>
        <w:tc>
          <w:tcPr>
            <w:tcW w:w="2112" w:type="dxa"/>
            <w:vAlign w:val="center"/>
          </w:tcPr>
          <w:p w14:paraId="5F9A1F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cs="Times New Roman" w:eastAsiaTheme="minorEastAsia"/>
                <w:color w:val="auto"/>
                <w:sz w:val="18"/>
                <w:szCs w:val="18"/>
                <w:highlight w:val="none"/>
                <w:lang w:val="en-US" w:eastAsia="zh-CN"/>
              </w:rPr>
              <w:t>巡护车</w:t>
            </w:r>
          </w:p>
        </w:tc>
        <w:tc>
          <w:tcPr>
            <w:tcW w:w="923" w:type="dxa"/>
            <w:vAlign w:val="center"/>
          </w:tcPr>
          <w:p w14:paraId="08D036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辆</w:t>
            </w:r>
          </w:p>
        </w:tc>
        <w:tc>
          <w:tcPr>
            <w:tcW w:w="1296" w:type="dxa"/>
            <w:vAlign w:val="center"/>
          </w:tcPr>
          <w:p w14:paraId="33ABBD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4</w:t>
            </w:r>
          </w:p>
        </w:tc>
        <w:tc>
          <w:tcPr>
            <w:tcW w:w="1434" w:type="dxa"/>
            <w:vAlign w:val="center"/>
          </w:tcPr>
          <w:p w14:paraId="4F1BA6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c>
          <w:tcPr>
            <w:tcW w:w="1325" w:type="dxa"/>
            <w:vAlign w:val="center"/>
          </w:tcPr>
          <w:p w14:paraId="46BB5F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7A1E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55187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2</w:t>
            </w:r>
          </w:p>
        </w:tc>
        <w:tc>
          <w:tcPr>
            <w:tcW w:w="2112" w:type="dxa"/>
            <w:vAlign w:val="center"/>
          </w:tcPr>
          <w:p w14:paraId="48940E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无人机平台</w:t>
            </w:r>
          </w:p>
        </w:tc>
        <w:tc>
          <w:tcPr>
            <w:tcW w:w="923" w:type="dxa"/>
            <w:shd w:val="clear" w:color="auto" w:fill="auto"/>
            <w:vAlign w:val="center"/>
          </w:tcPr>
          <w:p w14:paraId="25E91C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台</w:t>
            </w:r>
          </w:p>
        </w:tc>
        <w:tc>
          <w:tcPr>
            <w:tcW w:w="1296" w:type="dxa"/>
            <w:shd w:val="clear" w:color="auto" w:fill="auto"/>
            <w:vAlign w:val="center"/>
          </w:tcPr>
          <w:p w14:paraId="6CEA9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2</w:t>
            </w:r>
          </w:p>
        </w:tc>
        <w:tc>
          <w:tcPr>
            <w:tcW w:w="1434" w:type="dxa"/>
            <w:shd w:val="clear" w:color="auto" w:fill="auto"/>
            <w:vAlign w:val="center"/>
          </w:tcPr>
          <w:p w14:paraId="74916E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71EFD7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011B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1CEADA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3</w:t>
            </w:r>
          </w:p>
        </w:tc>
        <w:tc>
          <w:tcPr>
            <w:tcW w:w="2112" w:type="dxa"/>
            <w:vAlign w:val="center"/>
          </w:tcPr>
          <w:p w14:paraId="002631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动力系统</w:t>
            </w:r>
          </w:p>
        </w:tc>
        <w:tc>
          <w:tcPr>
            <w:tcW w:w="923" w:type="dxa"/>
            <w:shd w:val="clear" w:color="auto" w:fill="auto"/>
            <w:vAlign w:val="center"/>
          </w:tcPr>
          <w:p w14:paraId="78E507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台</w:t>
            </w:r>
          </w:p>
        </w:tc>
        <w:tc>
          <w:tcPr>
            <w:tcW w:w="1296" w:type="dxa"/>
            <w:shd w:val="clear" w:color="auto" w:fill="auto"/>
            <w:vAlign w:val="center"/>
          </w:tcPr>
          <w:p w14:paraId="591247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2</w:t>
            </w:r>
          </w:p>
        </w:tc>
        <w:tc>
          <w:tcPr>
            <w:tcW w:w="1434" w:type="dxa"/>
            <w:shd w:val="clear" w:color="auto" w:fill="auto"/>
            <w:vAlign w:val="center"/>
          </w:tcPr>
          <w:p w14:paraId="6FAC0F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7AE536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41BE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25B685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4</w:t>
            </w:r>
          </w:p>
        </w:tc>
        <w:tc>
          <w:tcPr>
            <w:tcW w:w="2112" w:type="dxa"/>
            <w:vAlign w:val="center"/>
          </w:tcPr>
          <w:p w14:paraId="619F25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飞控系统</w:t>
            </w:r>
          </w:p>
        </w:tc>
        <w:tc>
          <w:tcPr>
            <w:tcW w:w="923" w:type="dxa"/>
            <w:shd w:val="clear" w:color="auto" w:fill="auto"/>
            <w:vAlign w:val="center"/>
          </w:tcPr>
          <w:p w14:paraId="0E8698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7B7542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2</w:t>
            </w:r>
          </w:p>
        </w:tc>
        <w:tc>
          <w:tcPr>
            <w:tcW w:w="1434" w:type="dxa"/>
            <w:shd w:val="clear" w:color="auto" w:fill="auto"/>
            <w:vAlign w:val="center"/>
          </w:tcPr>
          <w:p w14:paraId="1AC3F5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25076B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05E0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B85D6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5</w:t>
            </w:r>
          </w:p>
        </w:tc>
        <w:tc>
          <w:tcPr>
            <w:tcW w:w="2112" w:type="dxa"/>
            <w:vAlign w:val="center"/>
          </w:tcPr>
          <w:p w14:paraId="19B02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地面控制站</w:t>
            </w:r>
          </w:p>
        </w:tc>
        <w:tc>
          <w:tcPr>
            <w:tcW w:w="923" w:type="dxa"/>
            <w:shd w:val="clear" w:color="auto" w:fill="auto"/>
            <w:vAlign w:val="center"/>
          </w:tcPr>
          <w:p w14:paraId="1427A0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64A4EC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2</w:t>
            </w:r>
          </w:p>
        </w:tc>
        <w:tc>
          <w:tcPr>
            <w:tcW w:w="1434" w:type="dxa"/>
            <w:shd w:val="clear" w:color="auto" w:fill="auto"/>
            <w:vAlign w:val="center"/>
          </w:tcPr>
          <w:p w14:paraId="2A191A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043CFF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4352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188A62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6</w:t>
            </w:r>
          </w:p>
        </w:tc>
        <w:tc>
          <w:tcPr>
            <w:tcW w:w="2112" w:type="dxa"/>
            <w:vAlign w:val="center"/>
          </w:tcPr>
          <w:p w14:paraId="4E4DD0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数字图传系统</w:t>
            </w:r>
          </w:p>
        </w:tc>
        <w:tc>
          <w:tcPr>
            <w:tcW w:w="923" w:type="dxa"/>
            <w:shd w:val="clear" w:color="auto" w:fill="auto"/>
            <w:vAlign w:val="center"/>
          </w:tcPr>
          <w:p w14:paraId="74FDCD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43C9AB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2</w:t>
            </w:r>
          </w:p>
        </w:tc>
        <w:tc>
          <w:tcPr>
            <w:tcW w:w="1434" w:type="dxa"/>
            <w:shd w:val="clear" w:color="auto" w:fill="auto"/>
            <w:vAlign w:val="center"/>
          </w:tcPr>
          <w:p w14:paraId="0F9C85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47F765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46DE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FF31C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7</w:t>
            </w:r>
          </w:p>
        </w:tc>
        <w:tc>
          <w:tcPr>
            <w:tcW w:w="2112" w:type="dxa"/>
            <w:vAlign w:val="center"/>
          </w:tcPr>
          <w:p w14:paraId="71BB95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航测设备</w:t>
            </w:r>
          </w:p>
        </w:tc>
        <w:tc>
          <w:tcPr>
            <w:tcW w:w="923" w:type="dxa"/>
            <w:shd w:val="clear" w:color="auto" w:fill="auto"/>
            <w:vAlign w:val="center"/>
          </w:tcPr>
          <w:p w14:paraId="75054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39A270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1</w:t>
            </w:r>
          </w:p>
        </w:tc>
        <w:tc>
          <w:tcPr>
            <w:tcW w:w="1434" w:type="dxa"/>
            <w:shd w:val="clear" w:color="auto" w:fill="auto"/>
            <w:vAlign w:val="center"/>
          </w:tcPr>
          <w:p w14:paraId="11F98A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5AD81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1E48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3BD6A6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8</w:t>
            </w:r>
          </w:p>
        </w:tc>
        <w:tc>
          <w:tcPr>
            <w:tcW w:w="2112" w:type="dxa"/>
            <w:vAlign w:val="center"/>
          </w:tcPr>
          <w:p w14:paraId="7F72FB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航测软件</w:t>
            </w:r>
          </w:p>
        </w:tc>
        <w:tc>
          <w:tcPr>
            <w:tcW w:w="923" w:type="dxa"/>
            <w:shd w:val="clear" w:color="auto" w:fill="auto"/>
            <w:vAlign w:val="center"/>
          </w:tcPr>
          <w:p w14:paraId="42E4EB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22E2A1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1</w:t>
            </w:r>
          </w:p>
        </w:tc>
        <w:tc>
          <w:tcPr>
            <w:tcW w:w="1434" w:type="dxa"/>
            <w:shd w:val="clear" w:color="auto" w:fill="auto"/>
            <w:vAlign w:val="center"/>
          </w:tcPr>
          <w:p w14:paraId="3C1118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43A771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381D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7C4C61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9</w:t>
            </w:r>
          </w:p>
        </w:tc>
        <w:tc>
          <w:tcPr>
            <w:tcW w:w="2112" w:type="dxa"/>
            <w:vAlign w:val="center"/>
          </w:tcPr>
          <w:p w14:paraId="5BD914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专业巡护软件</w:t>
            </w:r>
          </w:p>
        </w:tc>
        <w:tc>
          <w:tcPr>
            <w:tcW w:w="923" w:type="dxa"/>
            <w:shd w:val="clear" w:color="auto" w:fill="auto"/>
            <w:vAlign w:val="center"/>
          </w:tcPr>
          <w:p w14:paraId="3F748A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024806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1</w:t>
            </w:r>
          </w:p>
        </w:tc>
        <w:tc>
          <w:tcPr>
            <w:tcW w:w="1434" w:type="dxa"/>
            <w:shd w:val="clear" w:color="auto" w:fill="auto"/>
            <w:vAlign w:val="center"/>
          </w:tcPr>
          <w:p w14:paraId="16015C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52191E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6BC6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D359E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10</w:t>
            </w:r>
          </w:p>
        </w:tc>
        <w:tc>
          <w:tcPr>
            <w:tcW w:w="2112" w:type="dxa"/>
            <w:vAlign w:val="center"/>
          </w:tcPr>
          <w:p w14:paraId="023BB6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巡护员PDA</w:t>
            </w:r>
          </w:p>
        </w:tc>
        <w:tc>
          <w:tcPr>
            <w:tcW w:w="923" w:type="dxa"/>
            <w:shd w:val="clear" w:color="auto" w:fill="auto"/>
            <w:vAlign w:val="center"/>
          </w:tcPr>
          <w:p w14:paraId="7008D2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部</w:t>
            </w:r>
          </w:p>
        </w:tc>
        <w:tc>
          <w:tcPr>
            <w:tcW w:w="1296" w:type="dxa"/>
            <w:shd w:val="clear" w:color="auto" w:fill="auto"/>
            <w:vAlign w:val="center"/>
          </w:tcPr>
          <w:p w14:paraId="347425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eastAsiaTheme="minorEastAsia"/>
                <w:color w:val="auto"/>
                <w:sz w:val="18"/>
                <w:szCs w:val="18"/>
                <w:highlight w:val="none"/>
                <w:lang w:val="en-US" w:eastAsia="zh-CN"/>
              </w:rPr>
              <w:t>40</w:t>
            </w:r>
          </w:p>
        </w:tc>
        <w:tc>
          <w:tcPr>
            <w:tcW w:w="1434" w:type="dxa"/>
            <w:shd w:val="clear" w:color="auto" w:fill="auto"/>
            <w:vAlign w:val="center"/>
          </w:tcPr>
          <w:p w14:paraId="4AD771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00053C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48D7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vAlign w:val="center"/>
          </w:tcPr>
          <w:p w14:paraId="5528AD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11</w:t>
            </w:r>
          </w:p>
        </w:tc>
        <w:tc>
          <w:tcPr>
            <w:tcW w:w="2112" w:type="dxa"/>
            <w:vAlign w:val="center"/>
          </w:tcPr>
          <w:p w14:paraId="35853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机器狗</w:t>
            </w:r>
          </w:p>
        </w:tc>
        <w:tc>
          <w:tcPr>
            <w:tcW w:w="923" w:type="dxa"/>
            <w:shd w:val="clear" w:color="auto" w:fill="auto"/>
            <w:vAlign w:val="center"/>
          </w:tcPr>
          <w:p w14:paraId="622292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个</w:t>
            </w:r>
          </w:p>
        </w:tc>
        <w:tc>
          <w:tcPr>
            <w:tcW w:w="1296" w:type="dxa"/>
            <w:shd w:val="clear" w:color="auto" w:fill="auto"/>
            <w:vAlign w:val="center"/>
          </w:tcPr>
          <w:p w14:paraId="4EED76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10</w:t>
            </w:r>
          </w:p>
        </w:tc>
        <w:tc>
          <w:tcPr>
            <w:tcW w:w="1434" w:type="dxa"/>
            <w:shd w:val="clear" w:color="auto" w:fill="auto"/>
            <w:vAlign w:val="center"/>
          </w:tcPr>
          <w:p w14:paraId="71241F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558738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bl>
    <w:p w14:paraId="1810BAB5">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（3）巡护规划</w:t>
      </w:r>
    </w:p>
    <w:p w14:paraId="32BB9E80">
      <w:pPr>
        <w:numPr>
          <w:ilvl w:val="0"/>
          <w:numId w:val="0"/>
        </w:numPr>
        <w:ind w:firstLine="560" w:firstLineChars="2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制定科学的巡护制度。</w:t>
      </w:r>
      <w:r>
        <w:rPr>
          <w:rFonts w:hint="default" w:ascii="Times New Roman" w:hAnsi="Times New Roman" w:cs="Times New Roman"/>
          <w:color w:val="auto"/>
          <w:highlight w:val="none"/>
        </w:rPr>
        <w:t>保护区的巡护工作是保护区日常工作的核心，设立巡护、监测线路，配备必要的巡护装备。通过日常巡护、监测，及时了解保护区内生态环境的状况，控制人类干扰，制止危害野生动植物生存的行为，救助受伤害的野生动物。通过与国内外保护组织，相关科研机构在</w:t>
      </w:r>
      <w:r>
        <w:rPr>
          <w:rFonts w:hint="default" w:ascii="Times New Roman" w:hAnsi="Times New Roman" w:cs="Times New Roman"/>
          <w:color w:val="auto"/>
          <w:highlight w:val="none"/>
          <w:lang w:eastAsia="zh-CN"/>
        </w:rPr>
        <w:t>湿地和</w:t>
      </w:r>
      <w:r>
        <w:rPr>
          <w:rFonts w:hint="default" w:ascii="Times New Roman" w:hAnsi="Times New Roman" w:cs="Times New Roman"/>
          <w:color w:val="auto"/>
          <w:highlight w:val="none"/>
        </w:rPr>
        <w:t>动植物科研监测方面的合作，进一步查清区内</w:t>
      </w:r>
      <w:r>
        <w:rPr>
          <w:rFonts w:hint="default" w:ascii="Times New Roman" w:hAnsi="Times New Roman" w:cs="Times New Roman"/>
          <w:color w:val="auto"/>
          <w:highlight w:val="none"/>
          <w:lang w:eastAsia="zh-CN"/>
        </w:rPr>
        <w:t>湿地和</w:t>
      </w:r>
      <w:r>
        <w:rPr>
          <w:rFonts w:hint="default" w:ascii="Times New Roman" w:hAnsi="Times New Roman" w:cs="Times New Roman"/>
          <w:color w:val="auto"/>
          <w:highlight w:val="none"/>
        </w:rPr>
        <w:t>动植物的</w:t>
      </w:r>
      <w:r>
        <w:rPr>
          <w:rFonts w:hint="default" w:ascii="Times New Roman" w:hAnsi="Times New Roman" w:cs="Times New Roman"/>
          <w:color w:val="auto"/>
          <w:highlight w:val="none"/>
          <w:lang w:eastAsia="zh-CN"/>
        </w:rPr>
        <w:t>本底</w:t>
      </w:r>
      <w:r>
        <w:rPr>
          <w:rFonts w:hint="default" w:ascii="Times New Roman" w:hAnsi="Times New Roman" w:cs="Times New Roman"/>
          <w:color w:val="auto"/>
          <w:highlight w:val="none"/>
        </w:rPr>
        <w:t>情况，受威胁的来源和程度，为保护区的管理提供科学依据，</w:t>
      </w:r>
      <w:r>
        <w:rPr>
          <w:rFonts w:hint="default" w:ascii="Times New Roman" w:hAnsi="Times New Roman" w:cs="Times New Roman"/>
          <w:color w:val="auto"/>
          <w:highlight w:val="none"/>
          <w:lang w:eastAsia="zh-CN"/>
        </w:rPr>
        <w:t>需要巡护道路的建设并兼顾科研监测通道建设。</w:t>
      </w:r>
    </w:p>
    <w:p w14:paraId="41E1AE33">
      <w:pPr>
        <w:numPr>
          <w:ilvl w:val="0"/>
          <w:numId w:val="0"/>
        </w:numPr>
        <w:ind w:firstLine="56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开发护湿生态管护员岗位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设置护湿生态管护员岗位</w:t>
      </w:r>
      <w:r>
        <w:rPr>
          <w:rFonts w:hint="default" w:ascii="Times New Roman" w:hAnsi="Times New Roman" w:cs="Times New Roman"/>
          <w:color w:val="auto"/>
          <w:highlight w:val="none"/>
          <w:lang w:val="en-US" w:eastAsia="zh-CN"/>
        </w:rPr>
        <w:t>200</w:t>
      </w:r>
      <w:r>
        <w:rPr>
          <w:rFonts w:hint="default" w:ascii="Times New Roman" w:hAnsi="Times New Roman" w:cs="Times New Roman"/>
          <w:color w:val="auto"/>
          <w:highlight w:val="none"/>
        </w:rPr>
        <w:t>个，优先聘用主动搬迁、主动转产</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原有居民</w:t>
      </w:r>
      <w:r>
        <w:rPr>
          <w:rFonts w:hint="default" w:ascii="Times New Roman" w:hAnsi="Times New Roman" w:cs="Times New Roman"/>
          <w:color w:val="auto"/>
          <w:highlight w:val="none"/>
        </w:rPr>
        <w:t>和积极参与</w:t>
      </w:r>
      <w:r>
        <w:rPr>
          <w:rFonts w:hint="default" w:ascii="Times New Roman" w:hAnsi="Times New Roman" w:cs="Times New Roman"/>
          <w:color w:val="auto"/>
          <w:highlight w:val="none"/>
          <w:lang w:val="en-US" w:eastAsia="zh-CN"/>
        </w:rPr>
        <w:t>保护区</w:t>
      </w:r>
      <w:r>
        <w:rPr>
          <w:rFonts w:hint="default" w:ascii="Times New Roman" w:hAnsi="Times New Roman" w:cs="Times New Roman"/>
          <w:color w:val="auto"/>
          <w:highlight w:val="none"/>
        </w:rPr>
        <w:t>生态保护的人员。</w:t>
      </w:r>
    </w:p>
    <w:p w14:paraId="27B6BFB9">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.1.6生态保护规划</w:t>
      </w:r>
    </w:p>
    <w:p w14:paraId="2F09815A">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加强湿地保护</w:t>
      </w:r>
    </w:p>
    <w:p w14:paraId="1E4B9A83">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完善湿地保护生态补偿机制。</w:t>
      </w:r>
      <w:r>
        <w:rPr>
          <w:rFonts w:hint="default" w:ascii="Times New Roman" w:hAnsi="Times New Roman" w:cs="Times New Roman"/>
          <w:color w:val="auto"/>
          <w:highlight w:val="none"/>
          <w:lang w:val="en-US" w:eastAsia="zh-CN"/>
        </w:rPr>
        <w:t>目前湿地保护生态补偿主要为资金补偿，国家湿地生态保护补助标准过低，要适当提高国家公园内湿地保护生态补偿标准，争取实行季节性限牧还湿补偿、还湿工程补偿、湿地管护补助资金，初步建立起完善的湿地生态效益补偿机制。</w:t>
      </w:r>
    </w:p>
    <w:p w14:paraId="085D71FB">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加强草地保护</w:t>
      </w:r>
    </w:p>
    <w:p w14:paraId="00855322">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部分关键地区有序实施禁牧。</w:t>
      </w:r>
      <w:r>
        <w:rPr>
          <w:rFonts w:hint="default" w:ascii="Times New Roman" w:hAnsi="Times New Roman" w:cs="Times New Roman"/>
          <w:color w:val="auto"/>
          <w:highlight w:val="none"/>
          <w:lang w:val="en-US" w:eastAsia="zh-CN"/>
        </w:rPr>
        <w:t>对植被盖度在50%以下、鲜草产量200公斤/亩以下、具有特殊生态功能、退化严重的草原实行禁牧，实现草畜平衡。</w:t>
      </w:r>
    </w:p>
    <w:p w14:paraId="7DE80624">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加强水生态保护</w:t>
      </w:r>
    </w:p>
    <w:p w14:paraId="1380D74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严格水域岸线管控。</w:t>
      </w:r>
      <w:r>
        <w:rPr>
          <w:rFonts w:hint="default" w:ascii="Times New Roman" w:hAnsi="Times New Roman" w:cs="Times New Roman"/>
          <w:color w:val="auto"/>
          <w:highlight w:val="none"/>
          <w:lang w:val="en-US" w:eastAsia="zh-CN"/>
        </w:rPr>
        <w:t>依法划定白河、黑河等规模以上河湖水域岸线管理范围，严格管控流经城镇河段岸线，全面禁止河湖周边采矿、采砂、渔猎等活动，对易形成河道漂浮堆积物的区域进行清理整治。加强涉河建设项目管理，杜绝乱占、乱采、乱堆、乱建等突出问题。</w:t>
      </w:r>
    </w:p>
    <w:p w14:paraId="67044696">
      <w:pPr>
        <w:numPr>
          <w:ilvl w:val="0"/>
          <w:numId w:val="0"/>
        </w:numPr>
        <w:ind w:firstLine="562" w:firstLineChars="20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加强涉河建设项目监管。</w:t>
      </w:r>
      <w:r>
        <w:rPr>
          <w:rFonts w:hint="default" w:ascii="Times New Roman" w:hAnsi="Times New Roman" w:cs="Times New Roman"/>
          <w:color w:val="auto"/>
          <w:highlight w:val="none"/>
          <w:lang w:val="en-US" w:eastAsia="zh-CN"/>
        </w:rPr>
        <w:t>严格涉河建设项目审批，积极落实政务服务一体化平台管理要求，规范涉河建设项目审批流程。对于以旅游发展或基础设施名义建设房屋建筑和商铺等问题，要加强审批复核。对涉河建设项目监管的重心要向事中、事后阶段倾斜，重点监督批建是否相符、防治补救措施是否落实等情况。</w:t>
      </w:r>
    </w:p>
    <w:p w14:paraId="45C1B2B0">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重要物种栖息地重建及修复</w:t>
      </w:r>
    </w:p>
    <w:p w14:paraId="31D6AA7E">
      <w:pPr>
        <w:pStyle w:val="8"/>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在重点湖泊沼泽区域，分别通过补充水生植物、设置人工巢穴等方式引导珍稀水禽，特别是候鸟类珍稀水禽留驻，促进不同种类水禽对空间的合理利用，从而达到珍稀水禽与环境的和谐。</w:t>
      </w:r>
    </w:p>
    <w:p w14:paraId="6D678A95">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招引设施建设</w:t>
      </w:r>
    </w:p>
    <w:p w14:paraId="186B6956">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重点区域配备招引设施，一是猛禽栖息架建设：在鼠（兔）害严重区域、沙化区域的山顶、山腰等处设置雕、大鵟、隼等猛禽栖架，吸引鼠（兔）天敌，有效进行生物防治。二是兽类巢穴建设：在适宜区域补充建设狼窝、狐狸窝等人工巢穴，为狼、狐狸等肉食性兽类提供栖息和繁衍场所，完善草原生态系统食物链，增强天敌种群的自然调控能力，进一步控制鼠（兔）等有害生物数量在重点区域配备相应设施。</w:t>
      </w:r>
    </w:p>
    <w:p w14:paraId="1C9510F0">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动物通道建设</w:t>
      </w:r>
    </w:p>
    <w:p w14:paraId="455BB0FE">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积极配合交通部门，在保护区部分地段，根据地形、野生动物种类及分布区、栖息地选择、家域、迁移习性等设置野生动物通道，减少道路对野生动物栖息地连接性造成的负面影响，同时增设警示牌。</w:t>
      </w:r>
    </w:p>
    <w:p w14:paraId="100E9A25">
      <w:pPr>
        <w:numPr>
          <w:ilvl w:val="0"/>
          <w:numId w:val="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区域特色植物恢复保护</w:t>
      </w:r>
    </w:p>
    <w:p w14:paraId="1260BD4C">
      <w:pPr>
        <w:pStyle w:val="8"/>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对红花绿绒蒿、羽叶点地梅、山莨菪（</w:t>
      </w:r>
      <w:r>
        <w:rPr>
          <w:rFonts w:hint="default" w:ascii="Times New Roman" w:hAnsi="Times New Roman" w:cs="Times New Roman"/>
          <w:i/>
          <w:iCs/>
          <w:color w:val="auto"/>
          <w:highlight w:val="none"/>
          <w:lang w:val="en-US" w:eastAsia="zh-CN"/>
        </w:rPr>
        <w:t>Anisodus tanguticus pascher</w:t>
      </w:r>
      <w:r>
        <w:rPr>
          <w:rFonts w:hint="default" w:ascii="Times New Roman" w:hAnsi="Times New Roman" w:cs="Times New Roman"/>
          <w:color w:val="auto"/>
          <w:highlight w:val="none"/>
          <w:lang w:val="en-US" w:eastAsia="zh-CN"/>
        </w:rPr>
        <w:t>）等国家重点保护野生植物和其他野生种群数量或者分布点极少的珍稀、濒危、保护、特有物种和极小种群，采取拯救性保护措施。</w:t>
      </w:r>
    </w:p>
    <w:p w14:paraId="5C81A81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生态保护工程见表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-1-7。</w:t>
      </w:r>
    </w:p>
    <w:p w14:paraId="7A391889">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7 生态保护</w:t>
      </w:r>
      <w:r>
        <w:rPr>
          <w:rFonts w:hint="default" w:ascii="Times New Roman" w:hAnsi="Times New Roman" w:cs="Times New Roman"/>
          <w:b/>
          <w:bCs/>
          <w:color w:val="auto"/>
          <w:highlight w:val="none"/>
        </w:rPr>
        <w:t>工程表</w:t>
      </w:r>
    </w:p>
    <w:tbl>
      <w:tblPr>
        <w:tblStyle w:val="24"/>
        <w:tblW w:w="7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459"/>
        <w:gridCol w:w="823"/>
        <w:gridCol w:w="966"/>
        <w:gridCol w:w="868"/>
        <w:gridCol w:w="948"/>
      </w:tblGrid>
      <w:tr w14:paraId="2659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vMerge w:val="restart"/>
            <w:vAlign w:val="center"/>
          </w:tcPr>
          <w:p w14:paraId="040D61B2">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序号</w:t>
            </w:r>
          </w:p>
        </w:tc>
        <w:tc>
          <w:tcPr>
            <w:tcW w:w="3459" w:type="dxa"/>
            <w:vMerge w:val="restart"/>
            <w:vAlign w:val="center"/>
          </w:tcPr>
          <w:p w14:paraId="77297D5F">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名称</w:t>
            </w:r>
          </w:p>
        </w:tc>
        <w:tc>
          <w:tcPr>
            <w:tcW w:w="823" w:type="dxa"/>
            <w:vMerge w:val="restart"/>
            <w:vAlign w:val="center"/>
          </w:tcPr>
          <w:p w14:paraId="0A0076BF">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单位</w:t>
            </w:r>
          </w:p>
        </w:tc>
        <w:tc>
          <w:tcPr>
            <w:tcW w:w="966" w:type="dxa"/>
            <w:vMerge w:val="restart"/>
            <w:vAlign w:val="center"/>
          </w:tcPr>
          <w:p w14:paraId="09CBCC22">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工程量</w:t>
            </w:r>
          </w:p>
        </w:tc>
        <w:tc>
          <w:tcPr>
            <w:tcW w:w="1816" w:type="dxa"/>
            <w:gridSpan w:val="2"/>
            <w:vAlign w:val="center"/>
          </w:tcPr>
          <w:p w14:paraId="649B92E1">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建设期限</w:t>
            </w:r>
          </w:p>
        </w:tc>
      </w:tr>
      <w:tr w14:paraId="65B8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13" w:type="dxa"/>
            <w:vMerge w:val="continue"/>
            <w:vAlign w:val="center"/>
          </w:tcPr>
          <w:p w14:paraId="2918E6DB">
            <w:pPr>
              <w:spacing w:line="240" w:lineRule="auto"/>
              <w:ind w:firstLine="0" w:firstLineChars="0"/>
              <w:jc w:val="center"/>
              <w:rPr>
                <w:rFonts w:hint="default" w:ascii="Times New Roman" w:hAnsi="Times New Roman" w:cs="Times New Roman"/>
                <w:b/>
                <w:bCs/>
                <w:color w:val="auto"/>
                <w:highlight w:val="none"/>
              </w:rPr>
            </w:pPr>
          </w:p>
        </w:tc>
        <w:tc>
          <w:tcPr>
            <w:tcW w:w="3459" w:type="dxa"/>
            <w:vMerge w:val="continue"/>
            <w:vAlign w:val="center"/>
          </w:tcPr>
          <w:p w14:paraId="6E6F40A7">
            <w:pPr>
              <w:spacing w:line="240" w:lineRule="auto"/>
              <w:ind w:firstLine="0" w:firstLineChars="0"/>
              <w:jc w:val="center"/>
              <w:rPr>
                <w:rFonts w:hint="default" w:ascii="Times New Roman" w:hAnsi="Times New Roman" w:cs="Times New Roman"/>
                <w:b/>
                <w:bCs/>
                <w:color w:val="auto"/>
                <w:highlight w:val="none"/>
              </w:rPr>
            </w:pPr>
          </w:p>
        </w:tc>
        <w:tc>
          <w:tcPr>
            <w:tcW w:w="823" w:type="dxa"/>
            <w:vMerge w:val="continue"/>
            <w:vAlign w:val="center"/>
          </w:tcPr>
          <w:p w14:paraId="0F2DE9D6">
            <w:pPr>
              <w:spacing w:line="240" w:lineRule="auto"/>
              <w:ind w:firstLine="0" w:firstLineChars="0"/>
              <w:jc w:val="center"/>
              <w:rPr>
                <w:rFonts w:hint="default" w:ascii="Times New Roman" w:hAnsi="Times New Roman" w:cs="Times New Roman"/>
                <w:b/>
                <w:bCs/>
                <w:color w:val="auto"/>
                <w:highlight w:val="none"/>
              </w:rPr>
            </w:pPr>
          </w:p>
        </w:tc>
        <w:tc>
          <w:tcPr>
            <w:tcW w:w="966" w:type="dxa"/>
            <w:vMerge w:val="continue"/>
            <w:vAlign w:val="center"/>
          </w:tcPr>
          <w:p w14:paraId="42EEE52B">
            <w:pPr>
              <w:spacing w:line="240" w:lineRule="auto"/>
              <w:ind w:firstLine="0" w:firstLineChars="0"/>
              <w:jc w:val="center"/>
              <w:rPr>
                <w:rFonts w:hint="default" w:ascii="Times New Roman" w:hAnsi="Times New Roman" w:cs="Times New Roman"/>
                <w:b/>
                <w:bCs/>
                <w:color w:val="auto"/>
                <w:highlight w:val="none"/>
              </w:rPr>
            </w:pPr>
          </w:p>
        </w:tc>
        <w:tc>
          <w:tcPr>
            <w:tcW w:w="868" w:type="dxa"/>
            <w:vAlign w:val="center"/>
          </w:tcPr>
          <w:p w14:paraId="3CAC8192">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近期</w:t>
            </w:r>
          </w:p>
        </w:tc>
        <w:tc>
          <w:tcPr>
            <w:tcW w:w="948" w:type="dxa"/>
            <w:vAlign w:val="center"/>
          </w:tcPr>
          <w:p w14:paraId="0445247E">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中长期</w:t>
            </w:r>
          </w:p>
        </w:tc>
      </w:tr>
      <w:tr w14:paraId="5669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vAlign w:val="center"/>
          </w:tcPr>
          <w:p w14:paraId="66930D5A">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3459" w:type="dxa"/>
            <w:vAlign w:val="center"/>
          </w:tcPr>
          <w:p w14:paraId="17F1F6E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建立湿地保护生态补偿机制</w:t>
            </w:r>
          </w:p>
        </w:tc>
        <w:tc>
          <w:tcPr>
            <w:tcW w:w="823" w:type="dxa"/>
            <w:vAlign w:val="center"/>
          </w:tcPr>
          <w:p w14:paraId="5D1DF4BF">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项</w:t>
            </w:r>
          </w:p>
        </w:tc>
        <w:tc>
          <w:tcPr>
            <w:tcW w:w="966" w:type="dxa"/>
            <w:vAlign w:val="center"/>
          </w:tcPr>
          <w:p w14:paraId="05C9650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868" w:type="dxa"/>
            <w:vAlign w:val="center"/>
          </w:tcPr>
          <w:p w14:paraId="33832BA6">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c>
          <w:tcPr>
            <w:tcW w:w="948" w:type="dxa"/>
            <w:vAlign w:val="center"/>
          </w:tcPr>
          <w:p w14:paraId="501F8014">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r>
      <w:tr w14:paraId="3CA0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vAlign w:val="center"/>
          </w:tcPr>
          <w:p w14:paraId="7A65D123">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3459" w:type="dxa"/>
            <w:vAlign w:val="center"/>
          </w:tcPr>
          <w:p w14:paraId="7A498CA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完善天然草原补偿机制</w:t>
            </w:r>
          </w:p>
        </w:tc>
        <w:tc>
          <w:tcPr>
            <w:tcW w:w="823" w:type="dxa"/>
            <w:vAlign w:val="center"/>
          </w:tcPr>
          <w:p w14:paraId="482FD7D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项</w:t>
            </w:r>
          </w:p>
        </w:tc>
        <w:tc>
          <w:tcPr>
            <w:tcW w:w="966" w:type="dxa"/>
            <w:vAlign w:val="center"/>
          </w:tcPr>
          <w:p w14:paraId="131859B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868" w:type="dxa"/>
            <w:vAlign w:val="center"/>
          </w:tcPr>
          <w:p w14:paraId="5CE9BF8D">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c>
          <w:tcPr>
            <w:tcW w:w="948" w:type="dxa"/>
            <w:vAlign w:val="center"/>
          </w:tcPr>
          <w:p w14:paraId="2405BEBE">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r>
      <w:tr w14:paraId="4BDC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shd w:val="clear" w:color="auto" w:fill="auto"/>
            <w:vAlign w:val="center"/>
          </w:tcPr>
          <w:p w14:paraId="1AA81097">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rPr>
              <w:t>3</w:t>
            </w:r>
          </w:p>
        </w:tc>
        <w:tc>
          <w:tcPr>
            <w:tcW w:w="3459" w:type="dxa"/>
            <w:vAlign w:val="center"/>
          </w:tcPr>
          <w:p w14:paraId="606B903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部分关键地区有序实施全面禁牧</w:t>
            </w:r>
          </w:p>
        </w:tc>
        <w:tc>
          <w:tcPr>
            <w:tcW w:w="823" w:type="dxa"/>
            <w:vAlign w:val="center"/>
          </w:tcPr>
          <w:p w14:paraId="0F3824F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公顷</w:t>
            </w:r>
          </w:p>
        </w:tc>
        <w:tc>
          <w:tcPr>
            <w:tcW w:w="966" w:type="dxa"/>
            <w:vAlign w:val="center"/>
          </w:tcPr>
          <w:p w14:paraId="2BE67CF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200</w:t>
            </w:r>
          </w:p>
        </w:tc>
        <w:tc>
          <w:tcPr>
            <w:tcW w:w="868" w:type="dxa"/>
            <w:shd w:val="clear" w:color="auto" w:fill="auto"/>
            <w:vAlign w:val="center"/>
          </w:tcPr>
          <w:p w14:paraId="066F27AF">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8" w:type="dxa"/>
            <w:shd w:val="clear" w:color="auto" w:fill="auto"/>
            <w:vAlign w:val="center"/>
          </w:tcPr>
          <w:p w14:paraId="0446F319">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2D80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shd w:val="clear" w:color="auto" w:fill="auto"/>
            <w:vAlign w:val="center"/>
          </w:tcPr>
          <w:p w14:paraId="63A0B86F">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w:t>
            </w:r>
          </w:p>
        </w:tc>
        <w:tc>
          <w:tcPr>
            <w:tcW w:w="3459" w:type="dxa"/>
            <w:shd w:val="clear" w:color="auto" w:fill="auto"/>
            <w:vAlign w:val="center"/>
          </w:tcPr>
          <w:p w14:paraId="61ABA43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重要物种栖息地重建与修复</w:t>
            </w:r>
          </w:p>
        </w:tc>
        <w:tc>
          <w:tcPr>
            <w:tcW w:w="823" w:type="dxa"/>
            <w:shd w:val="clear" w:color="auto" w:fill="auto"/>
            <w:vAlign w:val="center"/>
          </w:tcPr>
          <w:p w14:paraId="5F9001A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公顷</w:t>
            </w:r>
          </w:p>
        </w:tc>
        <w:tc>
          <w:tcPr>
            <w:tcW w:w="966" w:type="dxa"/>
            <w:shd w:val="clear" w:color="auto" w:fill="auto"/>
            <w:vAlign w:val="center"/>
          </w:tcPr>
          <w:p w14:paraId="41CD57A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100</w:t>
            </w:r>
          </w:p>
        </w:tc>
        <w:tc>
          <w:tcPr>
            <w:tcW w:w="868" w:type="dxa"/>
            <w:shd w:val="clear" w:color="auto" w:fill="auto"/>
            <w:vAlign w:val="center"/>
          </w:tcPr>
          <w:p w14:paraId="3E26CD36">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8" w:type="dxa"/>
            <w:shd w:val="clear" w:color="auto" w:fill="auto"/>
            <w:vAlign w:val="center"/>
          </w:tcPr>
          <w:p w14:paraId="2B628800">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0043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shd w:val="clear" w:color="auto" w:fill="auto"/>
            <w:vAlign w:val="center"/>
          </w:tcPr>
          <w:p w14:paraId="1D80A958">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5</w:t>
            </w:r>
          </w:p>
        </w:tc>
        <w:tc>
          <w:tcPr>
            <w:tcW w:w="3459" w:type="dxa"/>
            <w:shd w:val="clear" w:color="auto" w:fill="auto"/>
            <w:vAlign w:val="center"/>
          </w:tcPr>
          <w:p w14:paraId="0E05C61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招引设施建设</w:t>
            </w:r>
          </w:p>
        </w:tc>
        <w:tc>
          <w:tcPr>
            <w:tcW w:w="823" w:type="dxa"/>
            <w:shd w:val="clear" w:color="auto" w:fill="auto"/>
            <w:vAlign w:val="center"/>
          </w:tcPr>
          <w:p w14:paraId="0260F4F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个</w:t>
            </w:r>
          </w:p>
        </w:tc>
        <w:tc>
          <w:tcPr>
            <w:tcW w:w="966" w:type="dxa"/>
            <w:shd w:val="clear" w:color="auto" w:fill="auto"/>
            <w:vAlign w:val="center"/>
          </w:tcPr>
          <w:p w14:paraId="18A9F21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100</w:t>
            </w:r>
          </w:p>
        </w:tc>
        <w:tc>
          <w:tcPr>
            <w:tcW w:w="868" w:type="dxa"/>
            <w:shd w:val="clear" w:color="auto" w:fill="auto"/>
            <w:vAlign w:val="center"/>
          </w:tcPr>
          <w:p w14:paraId="2EDA8008">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8" w:type="dxa"/>
            <w:shd w:val="clear" w:color="auto" w:fill="auto"/>
            <w:vAlign w:val="center"/>
          </w:tcPr>
          <w:p w14:paraId="3DF97A63">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5F02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shd w:val="clear" w:color="auto" w:fill="auto"/>
            <w:vAlign w:val="center"/>
          </w:tcPr>
          <w:p w14:paraId="7986B2D1">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6</w:t>
            </w:r>
          </w:p>
        </w:tc>
        <w:tc>
          <w:tcPr>
            <w:tcW w:w="3459" w:type="dxa"/>
            <w:shd w:val="clear" w:color="auto" w:fill="auto"/>
            <w:vAlign w:val="center"/>
          </w:tcPr>
          <w:p w14:paraId="7CAC997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动物通道建设</w:t>
            </w:r>
          </w:p>
        </w:tc>
        <w:tc>
          <w:tcPr>
            <w:tcW w:w="823" w:type="dxa"/>
            <w:shd w:val="clear" w:color="auto" w:fill="auto"/>
            <w:vAlign w:val="center"/>
          </w:tcPr>
          <w:p w14:paraId="52BDBB8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Km</w:t>
            </w:r>
          </w:p>
        </w:tc>
        <w:tc>
          <w:tcPr>
            <w:tcW w:w="966" w:type="dxa"/>
            <w:shd w:val="clear" w:color="auto" w:fill="auto"/>
            <w:vAlign w:val="center"/>
          </w:tcPr>
          <w:p w14:paraId="07898A3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10</w:t>
            </w:r>
          </w:p>
        </w:tc>
        <w:tc>
          <w:tcPr>
            <w:tcW w:w="868" w:type="dxa"/>
            <w:shd w:val="clear" w:color="auto" w:fill="auto"/>
            <w:vAlign w:val="center"/>
          </w:tcPr>
          <w:p w14:paraId="4C5BF8A5">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8" w:type="dxa"/>
            <w:shd w:val="clear" w:color="auto" w:fill="auto"/>
            <w:vAlign w:val="center"/>
          </w:tcPr>
          <w:p w14:paraId="0E85F32A">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7D3F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shd w:val="clear" w:color="auto" w:fill="auto"/>
            <w:vAlign w:val="center"/>
          </w:tcPr>
          <w:p w14:paraId="2D6AAB52">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7</w:t>
            </w:r>
          </w:p>
        </w:tc>
        <w:tc>
          <w:tcPr>
            <w:tcW w:w="3459" w:type="dxa"/>
            <w:shd w:val="clear" w:color="auto" w:fill="auto"/>
            <w:vAlign w:val="center"/>
          </w:tcPr>
          <w:p w14:paraId="2715D49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区域特色植物恢复保护</w:t>
            </w:r>
          </w:p>
        </w:tc>
        <w:tc>
          <w:tcPr>
            <w:tcW w:w="823" w:type="dxa"/>
            <w:shd w:val="clear" w:color="auto" w:fill="auto"/>
            <w:vAlign w:val="center"/>
          </w:tcPr>
          <w:p w14:paraId="43051A7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项</w:t>
            </w:r>
          </w:p>
        </w:tc>
        <w:tc>
          <w:tcPr>
            <w:tcW w:w="966" w:type="dxa"/>
            <w:shd w:val="clear" w:color="auto" w:fill="auto"/>
            <w:vAlign w:val="center"/>
          </w:tcPr>
          <w:p w14:paraId="7A52A9B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868" w:type="dxa"/>
            <w:shd w:val="clear" w:color="auto" w:fill="auto"/>
            <w:vAlign w:val="center"/>
          </w:tcPr>
          <w:p w14:paraId="32070739">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8" w:type="dxa"/>
            <w:shd w:val="clear" w:color="auto" w:fill="auto"/>
            <w:vAlign w:val="center"/>
          </w:tcPr>
          <w:p w14:paraId="1C7273DF">
            <w:pPr>
              <w:spacing w:line="240" w:lineRule="auto"/>
              <w:ind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r>
    </w:tbl>
    <w:p w14:paraId="5F915894">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.1.</w:t>
      </w:r>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正面清单管理要求</w:t>
      </w:r>
    </w:p>
    <w:p w14:paraId="5476FCFE">
      <w:pPr>
        <w:numPr>
          <w:ilvl w:val="0"/>
          <w:numId w:val="0"/>
        </w:numPr>
        <w:ind w:firstLine="56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严格遵循自然保护地管控正面清单制度，根据《中华人民共和国自然保护区条例》（2026年修订）内容，核心保护区可实施为保护自然保护区开展的调查监测、生态修复、管护巡护等活动，科研观测、基础测绘、文物和其他文化遗产保护、防灾减灾、应急救援活动，以及国家机关依法履行执法职责确需开展的活动；原有居民必要的生产生活活动，以及确需保留、无法避让的已有重要基础设施的运行、维护、改造；必须且无法避让、以生态环境无害化方式穿越地下、水下或者空中的线性基础设施建设；为维护国家安全、实施国家重大战略确需开展的活动，以及无法避让的国家重大项目建设；法律、行政法规规定或者国务院批准的其他活动。一般控制区可实施核心保护区允许开展的活动；符合国土空间规划且无法避让的重要基础设施的建设、运行和维护；古生物化石调查发掘，基础地质调查，战略性矿产资源远景调查和规定范围内的战略性矿产资源勘查；珍稀濒危野生动植物的野化、繁殖，非破坏性的标本采集活动；与自然保护区保护目标一致的人工商品林抚育、树种更新等森林经营活动；科普宣传、生态旅游、教育文化体育等公共服务活动；法律、行政法规规定或者国务院批准的其他活动。</w:t>
      </w:r>
    </w:p>
    <w:p w14:paraId="3B8F4ADC">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清单内所有活动依法需要办理相关手续的，有关单位和个人应当依法办理；涉及修筑设施的，还应当经国务院林业草原主管部门或者所在地省、自治区、直辖市人民政府林业草原主管部门同意，但原有居民必要的生产生活活动、原有线性基础设施的运行维护活动以及自然保护区管理机构依据自然保护区规划修筑管护巡护、科研观测、科普宣传、防灾减灾等设施的除外。</w:t>
      </w:r>
    </w:p>
    <w:p w14:paraId="1A575977">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自然保护区开展调查监测、科研观测、标本采集的单位和个人，应当按照自然保护区管理机构的要求，提交相关活动成果。在自然保护区开展活动，应当采取必要措施，避免或者减少对自然生态系统、生态廊道、重要栖息地以及自然和人文景观的不利影响。自然保护区管理机构应当根据实际情况和需要，明确开展相关活动的边界、强度以及应当采取的保护性措施等。</w:t>
      </w:r>
    </w:p>
    <w:p w14:paraId="304E0105">
      <w:pPr>
        <w:pStyle w:val="3"/>
        <w:rPr>
          <w:rFonts w:hint="default" w:ascii="Times New Roman" w:hAnsi="Times New Roman" w:cs="Times New Roman"/>
          <w:color w:val="auto"/>
          <w:highlight w:val="none"/>
        </w:rPr>
      </w:pPr>
      <w:bookmarkStart w:id="25" w:name="_Toc24116"/>
      <w:bookmarkStart w:id="26" w:name="_Toc14769"/>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.2科研</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监测规划</w:t>
      </w:r>
      <w:bookmarkEnd w:id="25"/>
      <w:bookmarkEnd w:id="26"/>
    </w:p>
    <w:p w14:paraId="0EB47023">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科研和监测任务</w:t>
      </w:r>
    </w:p>
    <w:p w14:paraId="20AAA576">
      <w:pPr>
        <w:pStyle w:val="5"/>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.2.</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科研</w:t>
      </w:r>
      <w:r>
        <w:rPr>
          <w:rFonts w:hint="default" w:ascii="Times New Roman" w:hAnsi="Times New Roman" w:cs="Times New Roman"/>
          <w:color w:val="auto"/>
          <w:highlight w:val="none"/>
          <w:lang w:val="en-US" w:eastAsia="zh-CN"/>
        </w:rPr>
        <w:t>任务</w:t>
      </w:r>
      <w:r>
        <w:rPr>
          <w:rFonts w:hint="default" w:ascii="Times New Roman" w:hAnsi="Times New Roman" w:cs="Times New Roman"/>
          <w:color w:val="auto"/>
          <w:highlight w:val="none"/>
        </w:rPr>
        <w:t xml:space="preserve"> </w:t>
      </w:r>
    </w:p>
    <w:p w14:paraId="40969CF1">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保护区的科研工作一般可分为</w:t>
      </w:r>
      <w:r>
        <w:rPr>
          <w:rFonts w:hint="default" w:ascii="Times New Roman" w:hAnsi="Times New Roman" w:cs="Times New Roman"/>
          <w:color w:val="auto"/>
          <w:highlight w:val="none"/>
          <w:lang w:val="en-US" w:eastAsia="zh-CN"/>
        </w:rPr>
        <w:t>本底</w:t>
      </w:r>
      <w:r>
        <w:rPr>
          <w:rFonts w:hint="default" w:ascii="Times New Roman" w:hAnsi="Times New Roman" w:cs="Times New Roman"/>
          <w:color w:val="auto"/>
          <w:highlight w:val="none"/>
          <w:lang w:eastAsia="zh-CN"/>
        </w:rPr>
        <w:t>资源调查、</w:t>
      </w:r>
      <w:r>
        <w:rPr>
          <w:rFonts w:hint="default" w:ascii="Times New Roman" w:hAnsi="Times New Roman" w:cs="Times New Roman"/>
          <w:color w:val="auto"/>
          <w:highlight w:val="none"/>
        </w:rPr>
        <w:t>专项调查和</w:t>
      </w:r>
      <w:r>
        <w:rPr>
          <w:rFonts w:hint="default" w:ascii="Times New Roman" w:hAnsi="Times New Roman" w:cs="Times New Roman"/>
          <w:color w:val="auto"/>
          <w:highlight w:val="none"/>
          <w:lang w:eastAsia="zh-CN"/>
        </w:rPr>
        <w:t>专项研究等</w:t>
      </w:r>
      <w:r>
        <w:rPr>
          <w:rFonts w:hint="default" w:ascii="Times New Roman" w:hAnsi="Times New Roman" w:cs="Times New Roman"/>
          <w:color w:val="auto"/>
          <w:highlight w:val="none"/>
        </w:rPr>
        <w:t>方面。保护区科研人员以基础数据调查为主，根据保护管理需要，进行常规性科研工作，获取基础资料、数据，为专题性科学研究打下基础。保护区专题性科研主要由保护区科研部门牵头与国内外科研单位、大专院校、相关国际组织共同合作进行。通过这些项目的实施，提高保护区科技人员的科技素质和业务水平。根据</w:t>
      </w:r>
      <w:r>
        <w:rPr>
          <w:rFonts w:hint="default" w:ascii="Times New Roman" w:hAnsi="Times New Roman" w:cs="Times New Roman"/>
          <w:color w:val="auto"/>
          <w:highlight w:val="none"/>
          <w:lang w:eastAsia="zh-CN"/>
        </w:rPr>
        <w:t>若尔盖保护区</w:t>
      </w:r>
      <w:r>
        <w:rPr>
          <w:rFonts w:hint="default" w:ascii="Times New Roman" w:hAnsi="Times New Roman" w:cs="Times New Roman"/>
          <w:color w:val="auto"/>
          <w:highlight w:val="none"/>
        </w:rPr>
        <w:t>科学综合考察结果，提出以下科研项目：</w:t>
      </w:r>
    </w:p>
    <w:p w14:paraId="18F3AB37">
      <w:pPr>
        <w:numPr>
          <w:ilvl w:val="0"/>
          <w:numId w:val="5"/>
        </w:num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本底</w:t>
      </w:r>
      <w:r>
        <w:rPr>
          <w:rFonts w:hint="default" w:ascii="Times New Roman" w:hAnsi="Times New Roman" w:cs="Times New Roman"/>
          <w:color w:val="auto"/>
          <w:highlight w:val="none"/>
          <w:lang w:eastAsia="zh-CN"/>
        </w:rPr>
        <w:t>资源</w:t>
      </w:r>
      <w:r>
        <w:rPr>
          <w:rFonts w:hint="default" w:ascii="Times New Roman" w:hAnsi="Times New Roman" w:cs="Times New Roman"/>
          <w:color w:val="auto"/>
          <w:highlight w:val="none"/>
        </w:rPr>
        <w:t>调查</w:t>
      </w:r>
    </w:p>
    <w:p w14:paraId="7FDCB7CE">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eastAsia="zh-CN"/>
        </w:rPr>
        <w:t>高寒湿地分布特征及动态变化调查：</w:t>
      </w:r>
      <w:r>
        <w:rPr>
          <w:rFonts w:hint="default" w:ascii="Times New Roman" w:hAnsi="Times New Roman" w:cs="Times New Roman"/>
          <w:color w:val="auto"/>
          <w:highlight w:val="none"/>
        </w:rPr>
        <w:t>查明湿地类型、面积与空间格局，揭示其退化或恢复的动态演变规律。</w:t>
      </w:r>
    </w:p>
    <w:p w14:paraId="13EF6EA3">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②</w:t>
      </w:r>
      <w:r>
        <w:rPr>
          <w:rFonts w:hint="default" w:ascii="Times New Roman" w:hAnsi="Times New Roman" w:cs="Times New Roman"/>
          <w:color w:val="auto"/>
          <w:highlight w:val="none"/>
          <w:lang w:val="en-US" w:eastAsia="zh-CN"/>
        </w:rPr>
        <w:t>野生动物多样性调查：</w:t>
      </w:r>
      <w:r>
        <w:rPr>
          <w:rFonts w:hint="default" w:ascii="Times New Roman" w:hAnsi="Times New Roman" w:cs="Times New Roman"/>
          <w:color w:val="auto"/>
          <w:highlight w:val="none"/>
        </w:rPr>
        <w:t>系统掌握鸟类、兽类等重点物种的组成、种群数量及珍稀濒危物种分布状况。</w:t>
      </w:r>
    </w:p>
    <w:p w14:paraId="53AFF4E5">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③</w:t>
      </w:r>
      <w:r>
        <w:rPr>
          <w:rFonts w:hint="default" w:ascii="Times New Roman" w:hAnsi="Times New Roman" w:cs="Times New Roman"/>
          <w:color w:val="auto"/>
          <w:highlight w:val="none"/>
          <w:lang w:val="en-US" w:eastAsia="zh-CN"/>
        </w:rPr>
        <w:t>野生植物多样性调查：</w:t>
      </w:r>
      <w:r>
        <w:rPr>
          <w:rFonts w:hint="default" w:ascii="Times New Roman" w:hAnsi="Times New Roman" w:cs="Times New Roman"/>
          <w:color w:val="auto"/>
          <w:highlight w:val="none"/>
        </w:rPr>
        <w:t>调查保护区野生植物种类、区系、珍稀濒危植物种群及分布，构建资源数据库，编制保护名录，为科学管护提供依据。</w:t>
      </w:r>
    </w:p>
    <w:p w14:paraId="28CAD800">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④</w:t>
      </w:r>
      <w:r>
        <w:rPr>
          <w:rFonts w:hint="default" w:ascii="Times New Roman" w:hAnsi="Times New Roman" w:cs="Times New Roman"/>
          <w:color w:val="auto"/>
          <w:highlight w:val="none"/>
          <w:lang w:val="en-US" w:eastAsia="zh-CN"/>
        </w:rPr>
        <w:t>社会经济状况调查：</w:t>
      </w:r>
      <w:r>
        <w:rPr>
          <w:rFonts w:hint="default" w:ascii="Times New Roman" w:hAnsi="Times New Roman" w:cs="Times New Roman"/>
          <w:color w:val="auto"/>
          <w:highlight w:val="none"/>
        </w:rPr>
        <w:t>摸清区内及周边社区的人口结构、牧业生产、能源利用与经济收入等基础底数。</w:t>
      </w:r>
    </w:p>
    <w:p w14:paraId="5B10532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⑤</w:t>
      </w:r>
      <w:r>
        <w:rPr>
          <w:rFonts w:hint="default" w:ascii="Times New Roman" w:hAnsi="Times New Roman" w:cs="Times New Roman"/>
          <w:color w:val="auto"/>
          <w:highlight w:val="none"/>
          <w:lang w:val="en-US" w:eastAsia="zh-CN"/>
        </w:rPr>
        <w:t>环境威胁因素调查：</w:t>
      </w:r>
      <w:r>
        <w:rPr>
          <w:rFonts w:hint="default" w:ascii="Times New Roman" w:hAnsi="Times New Roman" w:cs="Times New Roman"/>
          <w:color w:val="auto"/>
          <w:highlight w:val="none"/>
        </w:rPr>
        <w:t>识别草原鼠虫害、超载过牧、道路围栏阻隔及旅游干扰等主要胁迫因子。</w:t>
      </w:r>
    </w:p>
    <w:p w14:paraId="0C356D92">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⑥</w:t>
      </w:r>
      <w:r>
        <w:rPr>
          <w:rFonts w:hint="default" w:ascii="Times New Roman" w:hAnsi="Times New Roman" w:cs="Times New Roman"/>
          <w:color w:val="auto"/>
          <w:highlight w:val="none"/>
        </w:rPr>
        <w:t>保护区</w:t>
      </w:r>
      <w:r>
        <w:rPr>
          <w:rFonts w:hint="default" w:ascii="Times New Roman" w:hAnsi="Times New Roman" w:cs="Times New Roman"/>
          <w:color w:val="auto"/>
          <w:highlight w:val="none"/>
          <w:lang w:eastAsia="zh-CN"/>
        </w:rPr>
        <w:t>本底资源</w:t>
      </w:r>
      <w:r>
        <w:rPr>
          <w:rFonts w:hint="default" w:ascii="Times New Roman" w:hAnsi="Times New Roman" w:cs="Times New Roman"/>
          <w:color w:val="auto"/>
          <w:highlight w:val="none"/>
          <w:lang w:val="en-US" w:eastAsia="zh-CN"/>
        </w:rPr>
        <w:t>调查</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开展保护区本底资源调查，</w:t>
      </w:r>
      <w:r>
        <w:rPr>
          <w:rFonts w:hint="default" w:ascii="Times New Roman" w:hAnsi="Times New Roman" w:cs="Times New Roman"/>
          <w:color w:val="auto"/>
          <w:highlight w:val="none"/>
        </w:rPr>
        <w:t>建立以珍稀频危动物为主的动物及其栖息地系统、高寒湿地生态系统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森林生态系统、草地生态系统的资源数据库，在</w:t>
      </w:r>
      <w:r>
        <w:rPr>
          <w:rFonts w:hint="default" w:ascii="Times New Roman" w:hAnsi="Times New Roman" w:cs="Times New Roman"/>
          <w:color w:val="auto"/>
          <w:highlight w:val="none"/>
          <w:lang w:eastAsia="zh-CN"/>
        </w:rPr>
        <w:t>开展</w:t>
      </w:r>
      <w:r>
        <w:rPr>
          <w:rFonts w:hint="default" w:ascii="Times New Roman" w:hAnsi="Times New Roman" w:cs="Times New Roman"/>
          <w:color w:val="auto"/>
          <w:highlight w:val="none"/>
        </w:rPr>
        <w:t>科学考察的基础上，有针对性的进行</w:t>
      </w:r>
      <w:r>
        <w:rPr>
          <w:rFonts w:hint="default" w:ascii="Times New Roman" w:hAnsi="Times New Roman" w:cs="Times New Roman"/>
          <w:color w:val="auto"/>
          <w:highlight w:val="none"/>
          <w:lang w:eastAsia="zh-CN"/>
        </w:rPr>
        <w:t>动态</w:t>
      </w:r>
      <w:r>
        <w:rPr>
          <w:rFonts w:hint="default" w:ascii="Times New Roman" w:hAnsi="Times New Roman" w:cs="Times New Roman"/>
          <w:color w:val="auto"/>
          <w:highlight w:val="none"/>
        </w:rPr>
        <w:t>补充调查，充实和完善资源数据库。</w:t>
      </w:r>
    </w:p>
    <w:p w14:paraId="5EE45D01">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保护区本底资源调查内容见表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-2-1。</w:t>
      </w:r>
    </w:p>
    <w:p w14:paraId="4499EA15">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lang w:eastAsia="zh-CN"/>
        </w:rPr>
        <w:t>保护区本底资源调查内容</w:t>
      </w:r>
      <w:r>
        <w:rPr>
          <w:rFonts w:hint="default" w:ascii="Times New Roman" w:hAnsi="Times New Roman" w:cs="Times New Roman"/>
          <w:b/>
          <w:bCs/>
          <w:color w:val="auto"/>
          <w:highlight w:val="none"/>
        </w:rPr>
        <w:t>表</w:t>
      </w:r>
    </w:p>
    <w:tbl>
      <w:tblPr>
        <w:tblStyle w:val="24"/>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798"/>
        <w:gridCol w:w="1040"/>
        <w:gridCol w:w="1108"/>
        <w:gridCol w:w="1265"/>
        <w:gridCol w:w="1170"/>
      </w:tblGrid>
      <w:tr w14:paraId="54D3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jc w:val="center"/>
        </w:trPr>
        <w:tc>
          <w:tcPr>
            <w:tcW w:w="1035" w:type="dxa"/>
            <w:vMerge w:val="restart"/>
            <w:vAlign w:val="center"/>
          </w:tcPr>
          <w:p w14:paraId="05A6C4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序号</w:t>
            </w:r>
          </w:p>
        </w:tc>
        <w:tc>
          <w:tcPr>
            <w:tcW w:w="2798" w:type="dxa"/>
            <w:vMerge w:val="restart"/>
            <w:vAlign w:val="center"/>
          </w:tcPr>
          <w:p w14:paraId="6B9DF2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名称</w:t>
            </w:r>
          </w:p>
        </w:tc>
        <w:tc>
          <w:tcPr>
            <w:tcW w:w="1040" w:type="dxa"/>
            <w:vMerge w:val="restart"/>
            <w:vAlign w:val="center"/>
          </w:tcPr>
          <w:p w14:paraId="1B2C95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单位</w:t>
            </w:r>
          </w:p>
        </w:tc>
        <w:tc>
          <w:tcPr>
            <w:tcW w:w="1108" w:type="dxa"/>
            <w:vMerge w:val="restart"/>
            <w:vAlign w:val="center"/>
          </w:tcPr>
          <w:p w14:paraId="57F8FE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工程量</w:t>
            </w:r>
          </w:p>
        </w:tc>
        <w:tc>
          <w:tcPr>
            <w:tcW w:w="2435" w:type="dxa"/>
            <w:gridSpan w:val="2"/>
            <w:vAlign w:val="center"/>
          </w:tcPr>
          <w:p w14:paraId="4B8134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lang w:eastAsia="zh-CN"/>
              </w:rPr>
              <w:t>实施</w:t>
            </w:r>
            <w:r>
              <w:rPr>
                <w:rFonts w:hint="default" w:ascii="Times New Roman" w:hAnsi="Times New Roman" w:eastAsia="宋体" w:cs="Times New Roman"/>
                <w:b/>
                <w:bCs/>
                <w:color w:val="auto"/>
                <w:sz w:val="18"/>
                <w:szCs w:val="18"/>
                <w:highlight w:val="none"/>
              </w:rPr>
              <w:t>期限</w:t>
            </w:r>
          </w:p>
        </w:tc>
      </w:tr>
      <w:tr w14:paraId="525C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5" w:type="dxa"/>
            <w:vMerge w:val="continue"/>
            <w:vAlign w:val="center"/>
          </w:tcPr>
          <w:p w14:paraId="51E52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2798" w:type="dxa"/>
            <w:vMerge w:val="continue"/>
            <w:vAlign w:val="center"/>
          </w:tcPr>
          <w:p w14:paraId="67D19E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1040" w:type="dxa"/>
            <w:vMerge w:val="continue"/>
            <w:vAlign w:val="center"/>
          </w:tcPr>
          <w:p w14:paraId="1BD7C4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1108" w:type="dxa"/>
            <w:vMerge w:val="continue"/>
            <w:vAlign w:val="center"/>
          </w:tcPr>
          <w:p w14:paraId="044818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1265" w:type="dxa"/>
            <w:vAlign w:val="center"/>
          </w:tcPr>
          <w:p w14:paraId="0520FC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18"/>
                <w:szCs w:val="18"/>
                <w:highlight w:val="none"/>
                <w:lang w:eastAsia="zh-CN"/>
              </w:rPr>
              <w:t>近期</w:t>
            </w:r>
          </w:p>
        </w:tc>
        <w:tc>
          <w:tcPr>
            <w:tcW w:w="1170" w:type="dxa"/>
            <w:vAlign w:val="center"/>
          </w:tcPr>
          <w:p w14:paraId="56B556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18"/>
                <w:szCs w:val="18"/>
                <w:highlight w:val="none"/>
                <w:lang w:eastAsia="zh-CN"/>
              </w:rPr>
              <w:t>中长期</w:t>
            </w:r>
          </w:p>
        </w:tc>
      </w:tr>
      <w:tr w14:paraId="1703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5" w:type="dxa"/>
            <w:vAlign w:val="center"/>
          </w:tcPr>
          <w:p w14:paraId="6370EE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2798" w:type="dxa"/>
            <w:vAlign w:val="center"/>
          </w:tcPr>
          <w:p w14:paraId="26B73F3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高寒湿地分布特征及动态变化调查</w:t>
            </w:r>
          </w:p>
        </w:tc>
        <w:tc>
          <w:tcPr>
            <w:tcW w:w="1040" w:type="dxa"/>
            <w:vAlign w:val="center"/>
          </w:tcPr>
          <w:p w14:paraId="1497DAF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1108" w:type="dxa"/>
            <w:vAlign w:val="center"/>
          </w:tcPr>
          <w:p w14:paraId="5EA07EC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6B446BD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70" w:type="dxa"/>
            <w:vAlign w:val="center"/>
          </w:tcPr>
          <w:p w14:paraId="138A25B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52E7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5" w:type="dxa"/>
            <w:vAlign w:val="center"/>
          </w:tcPr>
          <w:p w14:paraId="57FE64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w:t>
            </w:r>
          </w:p>
        </w:tc>
        <w:tc>
          <w:tcPr>
            <w:tcW w:w="2798" w:type="dxa"/>
            <w:vAlign w:val="center"/>
          </w:tcPr>
          <w:p w14:paraId="1EA2B84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野生动物多样性调查</w:t>
            </w:r>
          </w:p>
        </w:tc>
        <w:tc>
          <w:tcPr>
            <w:tcW w:w="1040" w:type="dxa"/>
            <w:vAlign w:val="center"/>
          </w:tcPr>
          <w:p w14:paraId="6C2EB6F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1108" w:type="dxa"/>
            <w:vAlign w:val="center"/>
          </w:tcPr>
          <w:p w14:paraId="00A63F6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1889545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70" w:type="dxa"/>
            <w:vAlign w:val="center"/>
          </w:tcPr>
          <w:p w14:paraId="71CA23B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41E3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5" w:type="dxa"/>
            <w:vAlign w:val="center"/>
          </w:tcPr>
          <w:p w14:paraId="54A7FD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3</w:t>
            </w:r>
          </w:p>
        </w:tc>
        <w:tc>
          <w:tcPr>
            <w:tcW w:w="2798" w:type="dxa"/>
            <w:vAlign w:val="center"/>
          </w:tcPr>
          <w:p w14:paraId="7E2208E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野生植物多样性调查</w:t>
            </w:r>
          </w:p>
        </w:tc>
        <w:tc>
          <w:tcPr>
            <w:tcW w:w="1040" w:type="dxa"/>
            <w:vAlign w:val="center"/>
          </w:tcPr>
          <w:p w14:paraId="50FAD51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1108" w:type="dxa"/>
            <w:vAlign w:val="center"/>
          </w:tcPr>
          <w:p w14:paraId="20F386D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558CE75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70" w:type="dxa"/>
            <w:vAlign w:val="center"/>
          </w:tcPr>
          <w:p w14:paraId="4BA5E97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483C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5" w:type="dxa"/>
            <w:vAlign w:val="center"/>
          </w:tcPr>
          <w:p w14:paraId="34E0D2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w:t>
            </w:r>
          </w:p>
        </w:tc>
        <w:tc>
          <w:tcPr>
            <w:tcW w:w="2798" w:type="dxa"/>
            <w:shd w:val="clear" w:color="auto" w:fill="auto"/>
            <w:vAlign w:val="center"/>
          </w:tcPr>
          <w:p w14:paraId="22E0220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社会经济状况调查</w:t>
            </w:r>
          </w:p>
        </w:tc>
        <w:tc>
          <w:tcPr>
            <w:tcW w:w="1040" w:type="dxa"/>
            <w:vAlign w:val="center"/>
          </w:tcPr>
          <w:p w14:paraId="344ADD3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1108" w:type="dxa"/>
            <w:vAlign w:val="center"/>
          </w:tcPr>
          <w:p w14:paraId="4562F50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w:t>
            </w:r>
          </w:p>
        </w:tc>
        <w:tc>
          <w:tcPr>
            <w:tcW w:w="1265" w:type="dxa"/>
            <w:vAlign w:val="center"/>
          </w:tcPr>
          <w:p w14:paraId="19EBFA6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70" w:type="dxa"/>
            <w:vAlign w:val="center"/>
          </w:tcPr>
          <w:p w14:paraId="7E0F9D5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0226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35" w:type="dxa"/>
            <w:vAlign w:val="center"/>
          </w:tcPr>
          <w:p w14:paraId="482478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5</w:t>
            </w:r>
          </w:p>
        </w:tc>
        <w:tc>
          <w:tcPr>
            <w:tcW w:w="2798" w:type="dxa"/>
            <w:shd w:val="clear" w:color="auto" w:fill="auto"/>
            <w:vAlign w:val="center"/>
          </w:tcPr>
          <w:p w14:paraId="493254C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环境威胁因素调查</w:t>
            </w:r>
          </w:p>
        </w:tc>
        <w:tc>
          <w:tcPr>
            <w:tcW w:w="1040" w:type="dxa"/>
            <w:vAlign w:val="center"/>
          </w:tcPr>
          <w:p w14:paraId="4E2061E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1108" w:type="dxa"/>
            <w:vAlign w:val="center"/>
          </w:tcPr>
          <w:p w14:paraId="11B3C61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w:t>
            </w:r>
          </w:p>
        </w:tc>
        <w:tc>
          <w:tcPr>
            <w:tcW w:w="1265" w:type="dxa"/>
            <w:vAlign w:val="center"/>
          </w:tcPr>
          <w:p w14:paraId="19124C0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70" w:type="dxa"/>
            <w:vAlign w:val="center"/>
          </w:tcPr>
          <w:p w14:paraId="36E5D7D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54D7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35" w:type="dxa"/>
            <w:vAlign w:val="center"/>
          </w:tcPr>
          <w:p w14:paraId="7A1FB8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6</w:t>
            </w:r>
          </w:p>
        </w:tc>
        <w:tc>
          <w:tcPr>
            <w:tcW w:w="2798" w:type="dxa"/>
            <w:shd w:val="clear" w:color="auto" w:fill="auto"/>
            <w:vAlign w:val="center"/>
          </w:tcPr>
          <w:p w14:paraId="7298C6E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保护区本底资源调查</w:t>
            </w:r>
          </w:p>
        </w:tc>
        <w:tc>
          <w:tcPr>
            <w:tcW w:w="1040" w:type="dxa"/>
            <w:shd w:val="clear" w:color="auto" w:fill="auto"/>
            <w:vAlign w:val="center"/>
          </w:tcPr>
          <w:p w14:paraId="724351D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1108" w:type="dxa"/>
            <w:shd w:val="clear" w:color="auto" w:fill="auto"/>
            <w:vAlign w:val="center"/>
          </w:tcPr>
          <w:p w14:paraId="6BA083D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rPr>
              <w:t>1</w:t>
            </w:r>
          </w:p>
        </w:tc>
        <w:tc>
          <w:tcPr>
            <w:tcW w:w="1265" w:type="dxa"/>
            <w:shd w:val="clear" w:color="auto" w:fill="auto"/>
            <w:vAlign w:val="center"/>
          </w:tcPr>
          <w:p w14:paraId="6A368BA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70" w:type="dxa"/>
            <w:shd w:val="clear" w:color="auto" w:fill="auto"/>
            <w:vAlign w:val="center"/>
          </w:tcPr>
          <w:p w14:paraId="15BF9AB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bl>
    <w:p w14:paraId="31C1B96B">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（2）专项调查</w:t>
      </w:r>
    </w:p>
    <w:p w14:paraId="25BA2C27">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eastAsia="zh-CN"/>
        </w:rPr>
        <w:t>保护区珍稀濒危野生动物调查：查明黑颈鹤、草原雕等国家重点保护物种的种群数量及分布。</w:t>
      </w:r>
    </w:p>
    <w:p w14:paraId="7F710797">
      <w:pPr>
        <w:pStyle w:val="9"/>
        <w:rPr>
          <w:rFonts w:hint="default" w:ascii="Times New Roman" w:hAnsi="Times New Roman" w:eastAsia="仿宋" w:cs="Times New Roman"/>
          <w:color w:val="auto"/>
          <w:kern w:val="2"/>
          <w:sz w:val="28"/>
          <w:szCs w:val="24"/>
          <w:highlight w:val="none"/>
          <w:lang w:val="en-US" w:eastAsia="zh-CN" w:bidi="ar-SA"/>
        </w:rPr>
      </w:pPr>
      <w:r>
        <w:rPr>
          <w:rFonts w:hint="default" w:ascii="Times New Roman" w:hAnsi="Times New Roman" w:cs="Times New Roman"/>
          <w:color w:val="auto"/>
          <w:highlight w:val="none"/>
        </w:rPr>
        <w:t>②</w:t>
      </w:r>
      <w:r>
        <w:rPr>
          <w:rFonts w:hint="default" w:ascii="Times New Roman" w:hAnsi="Times New Roman" w:cs="Times New Roman"/>
          <w:color w:val="auto"/>
          <w:highlight w:val="none"/>
          <w:lang w:val="en-US" w:eastAsia="zh-CN"/>
        </w:rPr>
        <w:t>黑颈鹤分布、季节活动范围及其栖息地的调查：</w:t>
      </w:r>
      <w:r>
        <w:rPr>
          <w:rFonts w:hint="default" w:ascii="Times New Roman" w:hAnsi="Times New Roman" w:eastAsia="仿宋" w:cs="Times New Roman"/>
          <w:color w:val="auto"/>
          <w:kern w:val="2"/>
          <w:sz w:val="28"/>
          <w:szCs w:val="24"/>
          <w:highlight w:val="none"/>
          <w:lang w:val="en-US" w:eastAsia="zh-CN" w:bidi="ar-SA"/>
        </w:rPr>
        <w:t>掌握黑颈鹤繁殖期、迁徙期及越冬期的空间分布与栖息地利用特征。</w:t>
      </w:r>
    </w:p>
    <w:p w14:paraId="67082B23">
      <w:pPr>
        <w:pStyle w:val="9"/>
        <w:rPr>
          <w:rFonts w:hint="default" w:ascii="Times New Roman" w:hAnsi="Times New Roman" w:eastAsia="仿宋" w:cs="Times New Roman"/>
          <w:color w:val="auto"/>
          <w:kern w:val="2"/>
          <w:sz w:val="28"/>
          <w:szCs w:val="24"/>
          <w:highlight w:val="none"/>
          <w:lang w:val="en-US" w:eastAsia="zh-CN" w:bidi="ar-SA"/>
        </w:rPr>
      </w:pPr>
      <w:r>
        <w:rPr>
          <w:rFonts w:hint="default" w:ascii="Times New Roman" w:hAnsi="Times New Roman" w:cs="Times New Roman"/>
          <w:color w:val="auto"/>
          <w:highlight w:val="none"/>
        </w:rPr>
        <w:t>③</w:t>
      </w:r>
      <w:r>
        <w:rPr>
          <w:rFonts w:hint="default" w:ascii="Times New Roman" w:hAnsi="Times New Roman" w:cs="Times New Roman"/>
          <w:color w:val="auto"/>
          <w:highlight w:val="none"/>
          <w:lang w:val="en-US" w:eastAsia="zh-CN"/>
        </w:rPr>
        <w:t>保护区黑颈鹤及猛禽专项调查：</w:t>
      </w:r>
      <w:r>
        <w:rPr>
          <w:rFonts w:hint="default" w:ascii="Times New Roman" w:hAnsi="Times New Roman" w:eastAsia="仿宋" w:cs="Times New Roman"/>
          <w:color w:val="auto"/>
          <w:kern w:val="2"/>
          <w:sz w:val="28"/>
          <w:szCs w:val="24"/>
          <w:highlight w:val="none"/>
          <w:lang w:val="en-US" w:eastAsia="zh-CN" w:bidi="ar-SA"/>
        </w:rPr>
        <w:t>系统调查黑颈鹤与草原雕、大鵟等猛禽的种群动态及种间关系。</w:t>
      </w:r>
    </w:p>
    <w:p w14:paraId="19F8D99C">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④</w:t>
      </w:r>
      <w:r>
        <w:rPr>
          <w:rFonts w:hint="default" w:ascii="Times New Roman" w:hAnsi="Times New Roman" w:cs="Times New Roman"/>
          <w:color w:val="auto"/>
          <w:highlight w:val="none"/>
          <w:lang w:val="en-US" w:eastAsia="zh-CN"/>
        </w:rPr>
        <w:t>保护区兽类专项调查：系统调查国家重点保护兽类的种群数量、分布及栖息地。</w:t>
      </w:r>
    </w:p>
    <w:p w14:paraId="2E04CDBA">
      <w:pPr>
        <w:pStyle w:val="9"/>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rPr>
        <w:t>⑤保护区泥炭专项调查</w:t>
      </w:r>
      <w:r>
        <w:rPr>
          <w:rFonts w:hint="default" w:ascii="Times New Roman" w:hAnsi="Times New Roman" w:cs="Times New Roman"/>
          <w:color w:val="auto"/>
          <w:highlight w:val="none"/>
          <w:lang w:eastAsia="zh-CN"/>
        </w:rPr>
        <w:t>：泥炭分布面积与厚度、有机质含量与分解度、水文条件（地下水位）、植被类型及碳储量评估，为湿地保护提供依据。</w:t>
      </w:r>
    </w:p>
    <w:p w14:paraId="6845945B">
      <w:pPr>
        <w:pStyle w:val="9"/>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⑥</w:t>
      </w:r>
      <w:r>
        <w:rPr>
          <w:rFonts w:hint="default" w:ascii="Times New Roman" w:hAnsi="Times New Roman" w:cs="Times New Roman"/>
          <w:color w:val="auto"/>
          <w:highlight w:val="none"/>
        </w:rPr>
        <w:t>重点湖泊专项调查</w:t>
      </w:r>
      <w:r>
        <w:rPr>
          <w:rFonts w:hint="default" w:ascii="Times New Roman" w:hAnsi="Times New Roman" w:cs="Times New Roman"/>
          <w:color w:val="auto"/>
          <w:highlight w:val="none"/>
          <w:lang w:eastAsia="zh-CN"/>
        </w:rPr>
        <w:t>：湖泊水质（pH、总磷、总氮）、底泥性状、水生生物（浮游动植物、底栖动物）及湿地植被覆盖度，评估生态健康状况。</w:t>
      </w:r>
    </w:p>
    <w:p w14:paraId="31B8338B">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保护区植被专项调查：植被类型与群系组成、植物种类与区系特征、植被盖度与生物量、植物群落结构及分布格局。调查旨在摸清植被本底资源，评估湿地生态系统健康状况，为生物多样性保护与科学管理提供基础依据。</w:t>
      </w:r>
    </w:p>
    <w:p w14:paraId="12F4C17C">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⑧保护区网格调查：将保护区全域划分为若干个1km×1km（或根据实际需要调整网格大小）的连续网格单元，逐网格开展系统调查。网格调查应同时涵盖生态环境本底和社区社会经济两大维度。</w:t>
      </w:r>
    </w:p>
    <w:p w14:paraId="12640445">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专项调查内容见表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-2-2。</w:t>
      </w:r>
    </w:p>
    <w:p w14:paraId="72398D77">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eastAsia="zh-CN"/>
        </w:rPr>
        <w:t>专项调查内容</w:t>
      </w:r>
      <w:r>
        <w:rPr>
          <w:rFonts w:hint="default" w:ascii="Times New Roman" w:hAnsi="Times New Roman" w:cs="Times New Roman"/>
          <w:b/>
          <w:bCs/>
          <w:color w:val="auto"/>
          <w:highlight w:val="none"/>
        </w:rPr>
        <w:t>表</w:t>
      </w:r>
    </w:p>
    <w:tbl>
      <w:tblPr>
        <w:tblStyle w:val="24"/>
        <w:tblpPr w:leftFromText="180" w:rightFromText="180" w:vertAnchor="text" w:horzAnchor="page" w:tblpX="2010" w:tblpY="260"/>
        <w:tblOverlap w:val="never"/>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216"/>
        <w:gridCol w:w="780"/>
        <w:gridCol w:w="962"/>
        <w:gridCol w:w="1265"/>
        <w:gridCol w:w="1169"/>
      </w:tblGrid>
      <w:tr w14:paraId="028C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691" w:type="dxa"/>
            <w:vMerge w:val="restart"/>
            <w:vAlign w:val="center"/>
          </w:tcPr>
          <w:p w14:paraId="1584AA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序号</w:t>
            </w:r>
          </w:p>
        </w:tc>
        <w:tc>
          <w:tcPr>
            <w:tcW w:w="4216" w:type="dxa"/>
            <w:vMerge w:val="restart"/>
            <w:vAlign w:val="center"/>
          </w:tcPr>
          <w:p w14:paraId="4968EE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名称</w:t>
            </w:r>
          </w:p>
        </w:tc>
        <w:tc>
          <w:tcPr>
            <w:tcW w:w="780" w:type="dxa"/>
            <w:vMerge w:val="restart"/>
            <w:vAlign w:val="center"/>
          </w:tcPr>
          <w:p w14:paraId="57372F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单位</w:t>
            </w:r>
          </w:p>
        </w:tc>
        <w:tc>
          <w:tcPr>
            <w:tcW w:w="962" w:type="dxa"/>
            <w:vMerge w:val="restart"/>
            <w:vAlign w:val="center"/>
          </w:tcPr>
          <w:p w14:paraId="49F0E1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工程量</w:t>
            </w:r>
          </w:p>
        </w:tc>
        <w:tc>
          <w:tcPr>
            <w:tcW w:w="2434" w:type="dxa"/>
            <w:gridSpan w:val="2"/>
            <w:vAlign w:val="center"/>
          </w:tcPr>
          <w:p w14:paraId="44F3BD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lang w:eastAsia="zh-CN"/>
              </w:rPr>
              <w:t>实施</w:t>
            </w:r>
            <w:r>
              <w:rPr>
                <w:rFonts w:hint="default" w:ascii="Times New Roman" w:hAnsi="Times New Roman" w:eastAsia="宋体" w:cs="Times New Roman"/>
                <w:b/>
                <w:bCs/>
                <w:color w:val="auto"/>
                <w:sz w:val="18"/>
                <w:szCs w:val="18"/>
                <w:highlight w:val="none"/>
              </w:rPr>
              <w:t>期限</w:t>
            </w:r>
          </w:p>
        </w:tc>
      </w:tr>
      <w:tr w14:paraId="0FFC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691" w:type="dxa"/>
            <w:vMerge w:val="continue"/>
            <w:vAlign w:val="center"/>
          </w:tcPr>
          <w:p w14:paraId="51E141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4216" w:type="dxa"/>
            <w:vMerge w:val="continue"/>
            <w:vAlign w:val="center"/>
          </w:tcPr>
          <w:p w14:paraId="2C8537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780" w:type="dxa"/>
            <w:vMerge w:val="continue"/>
            <w:vAlign w:val="center"/>
          </w:tcPr>
          <w:p w14:paraId="27EAA6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962" w:type="dxa"/>
            <w:vMerge w:val="continue"/>
            <w:vAlign w:val="center"/>
          </w:tcPr>
          <w:p w14:paraId="58C1B9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sz w:val="18"/>
                <w:szCs w:val="18"/>
                <w:highlight w:val="none"/>
              </w:rPr>
            </w:pPr>
          </w:p>
        </w:tc>
        <w:tc>
          <w:tcPr>
            <w:tcW w:w="1265" w:type="dxa"/>
            <w:vAlign w:val="center"/>
          </w:tcPr>
          <w:p w14:paraId="3B6AF2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18"/>
                <w:szCs w:val="18"/>
                <w:highlight w:val="none"/>
                <w:lang w:eastAsia="zh-CN"/>
              </w:rPr>
              <w:t>近期</w:t>
            </w:r>
          </w:p>
        </w:tc>
        <w:tc>
          <w:tcPr>
            <w:tcW w:w="1169" w:type="dxa"/>
            <w:vAlign w:val="center"/>
          </w:tcPr>
          <w:p w14:paraId="3C0E44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18"/>
                <w:szCs w:val="18"/>
                <w:highlight w:val="none"/>
                <w:lang w:eastAsia="zh-CN"/>
              </w:rPr>
              <w:t>中长期</w:t>
            </w:r>
          </w:p>
        </w:tc>
      </w:tr>
      <w:tr w14:paraId="5464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3EF118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1</w:t>
            </w:r>
          </w:p>
        </w:tc>
        <w:tc>
          <w:tcPr>
            <w:tcW w:w="4216" w:type="dxa"/>
            <w:vAlign w:val="center"/>
          </w:tcPr>
          <w:p w14:paraId="41EC851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保护区珍稀濒危野生动物调查</w:t>
            </w:r>
          </w:p>
        </w:tc>
        <w:tc>
          <w:tcPr>
            <w:tcW w:w="780" w:type="dxa"/>
            <w:vAlign w:val="center"/>
          </w:tcPr>
          <w:p w14:paraId="4D074F6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vAlign w:val="center"/>
          </w:tcPr>
          <w:p w14:paraId="716ADBE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1265" w:type="dxa"/>
            <w:vAlign w:val="center"/>
          </w:tcPr>
          <w:p w14:paraId="3D2437C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vAlign w:val="center"/>
          </w:tcPr>
          <w:p w14:paraId="0D4979D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5470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195E72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w:t>
            </w:r>
          </w:p>
        </w:tc>
        <w:tc>
          <w:tcPr>
            <w:tcW w:w="4216" w:type="dxa"/>
            <w:vAlign w:val="center"/>
          </w:tcPr>
          <w:p w14:paraId="05CA1A8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黑颈鹤分布、季节活动范围及其栖息地的调查</w:t>
            </w:r>
          </w:p>
        </w:tc>
        <w:tc>
          <w:tcPr>
            <w:tcW w:w="780" w:type="dxa"/>
            <w:vAlign w:val="center"/>
          </w:tcPr>
          <w:p w14:paraId="52E002D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vAlign w:val="center"/>
          </w:tcPr>
          <w:p w14:paraId="1E5DC3B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7B6A8D6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vAlign w:val="center"/>
          </w:tcPr>
          <w:p w14:paraId="711D42B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0E21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7A60D6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3</w:t>
            </w:r>
          </w:p>
        </w:tc>
        <w:tc>
          <w:tcPr>
            <w:tcW w:w="4216" w:type="dxa"/>
            <w:vAlign w:val="center"/>
          </w:tcPr>
          <w:p w14:paraId="406EFA6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保护区黑颈鹤及猛禽专项调查</w:t>
            </w:r>
          </w:p>
        </w:tc>
        <w:tc>
          <w:tcPr>
            <w:tcW w:w="780" w:type="dxa"/>
            <w:vAlign w:val="center"/>
          </w:tcPr>
          <w:p w14:paraId="7857E39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vAlign w:val="center"/>
          </w:tcPr>
          <w:p w14:paraId="3509684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6B34AD0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vAlign w:val="center"/>
          </w:tcPr>
          <w:p w14:paraId="4D1E29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4EA2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057E4F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w:t>
            </w:r>
          </w:p>
        </w:tc>
        <w:tc>
          <w:tcPr>
            <w:tcW w:w="4216" w:type="dxa"/>
            <w:vAlign w:val="center"/>
          </w:tcPr>
          <w:p w14:paraId="7973BA4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保护区兽类专项调查</w:t>
            </w:r>
          </w:p>
        </w:tc>
        <w:tc>
          <w:tcPr>
            <w:tcW w:w="780" w:type="dxa"/>
            <w:vAlign w:val="center"/>
          </w:tcPr>
          <w:p w14:paraId="0E0D450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vAlign w:val="center"/>
          </w:tcPr>
          <w:p w14:paraId="341C8F8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6AB79FB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vAlign w:val="center"/>
          </w:tcPr>
          <w:p w14:paraId="713BFF8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2342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1" w:type="dxa"/>
            <w:vAlign w:val="center"/>
          </w:tcPr>
          <w:p w14:paraId="25818B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5</w:t>
            </w:r>
          </w:p>
        </w:tc>
        <w:tc>
          <w:tcPr>
            <w:tcW w:w="4216" w:type="dxa"/>
            <w:vAlign w:val="center"/>
          </w:tcPr>
          <w:p w14:paraId="115223C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保护区泥炭专项调查</w:t>
            </w:r>
          </w:p>
        </w:tc>
        <w:tc>
          <w:tcPr>
            <w:tcW w:w="780" w:type="dxa"/>
            <w:vAlign w:val="center"/>
          </w:tcPr>
          <w:p w14:paraId="1C11988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vAlign w:val="center"/>
          </w:tcPr>
          <w:p w14:paraId="270D328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5BA0A18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vAlign w:val="center"/>
          </w:tcPr>
          <w:p w14:paraId="4E6D940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2925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91" w:type="dxa"/>
            <w:vAlign w:val="center"/>
          </w:tcPr>
          <w:p w14:paraId="6E7F8C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6</w:t>
            </w:r>
          </w:p>
        </w:tc>
        <w:tc>
          <w:tcPr>
            <w:tcW w:w="4216" w:type="dxa"/>
            <w:vAlign w:val="center"/>
          </w:tcPr>
          <w:p w14:paraId="1896873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重点湖泊专项调查</w:t>
            </w:r>
          </w:p>
        </w:tc>
        <w:tc>
          <w:tcPr>
            <w:tcW w:w="780" w:type="dxa"/>
            <w:vAlign w:val="center"/>
          </w:tcPr>
          <w:p w14:paraId="4F35040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vAlign w:val="center"/>
          </w:tcPr>
          <w:p w14:paraId="03B9005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1265" w:type="dxa"/>
            <w:vAlign w:val="center"/>
          </w:tcPr>
          <w:p w14:paraId="575A542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vAlign w:val="center"/>
          </w:tcPr>
          <w:p w14:paraId="0BBEAD7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05C8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91" w:type="dxa"/>
            <w:vAlign w:val="center"/>
          </w:tcPr>
          <w:p w14:paraId="3FC49E30">
            <w:pPr>
              <w:keepNext w:val="0"/>
              <w:keepLines w:val="0"/>
              <w:pageBreakBefore w:val="0"/>
              <w:widowControl w:val="0"/>
              <w:suppressLineNumbers w:val="0"/>
              <w:kinsoku/>
              <w:wordWrap/>
              <w:overflowPunct/>
              <w:topLinePunct w:val="0"/>
              <w:autoSpaceDE/>
              <w:autoSpaceDN/>
              <w:bidi w:val="0"/>
              <w:adjustRightInd/>
              <w:snapToGrid/>
              <w:spacing w:line="240" w:lineRule="auto"/>
              <w:ind w:firstLine="180" w:firstLineChars="10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7</w:t>
            </w:r>
          </w:p>
        </w:tc>
        <w:tc>
          <w:tcPr>
            <w:tcW w:w="4216" w:type="dxa"/>
            <w:vAlign w:val="center"/>
          </w:tcPr>
          <w:p w14:paraId="692215A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保护区植被专项调查</w:t>
            </w:r>
          </w:p>
        </w:tc>
        <w:tc>
          <w:tcPr>
            <w:tcW w:w="780" w:type="dxa"/>
            <w:shd w:val="clear" w:color="auto" w:fill="auto"/>
            <w:vAlign w:val="center"/>
          </w:tcPr>
          <w:p w14:paraId="37E9A4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shd w:val="clear" w:color="auto" w:fill="auto"/>
            <w:vAlign w:val="center"/>
          </w:tcPr>
          <w:p w14:paraId="1D83E85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w:t>
            </w:r>
          </w:p>
        </w:tc>
        <w:tc>
          <w:tcPr>
            <w:tcW w:w="1265" w:type="dxa"/>
            <w:shd w:val="clear" w:color="auto" w:fill="auto"/>
            <w:vAlign w:val="center"/>
          </w:tcPr>
          <w:p w14:paraId="79AE577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shd w:val="clear" w:color="auto" w:fill="auto"/>
            <w:vAlign w:val="center"/>
          </w:tcPr>
          <w:p w14:paraId="6B99EC5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r w14:paraId="6E34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91" w:type="dxa"/>
            <w:vAlign w:val="center"/>
          </w:tcPr>
          <w:p w14:paraId="7648349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 xml:space="preserve"> 8</w:t>
            </w:r>
          </w:p>
        </w:tc>
        <w:tc>
          <w:tcPr>
            <w:tcW w:w="4216" w:type="dxa"/>
            <w:vAlign w:val="center"/>
          </w:tcPr>
          <w:p w14:paraId="097F35B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网格调查</w:t>
            </w:r>
          </w:p>
        </w:tc>
        <w:tc>
          <w:tcPr>
            <w:tcW w:w="780" w:type="dxa"/>
            <w:shd w:val="clear" w:color="auto" w:fill="auto"/>
            <w:vAlign w:val="center"/>
          </w:tcPr>
          <w:p w14:paraId="71C2F52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项</w:t>
            </w:r>
          </w:p>
        </w:tc>
        <w:tc>
          <w:tcPr>
            <w:tcW w:w="962" w:type="dxa"/>
            <w:shd w:val="clear" w:color="auto" w:fill="auto"/>
            <w:vAlign w:val="center"/>
          </w:tcPr>
          <w:p w14:paraId="68D37BE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w:t>
            </w:r>
          </w:p>
        </w:tc>
        <w:tc>
          <w:tcPr>
            <w:tcW w:w="1265" w:type="dxa"/>
            <w:shd w:val="clear" w:color="auto" w:fill="auto"/>
            <w:vAlign w:val="center"/>
          </w:tcPr>
          <w:p w14:paraId="10031F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1169" w:type="dxa"/>
            <w:shd w:val="clear" w:color="auto" w:fill="auto"/>
            <w:vAlign w:val="center"/>
          </w:tcPr>
          <w:p w14:paraId="13F1C1B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r>
    </w:tbl>
    <w:p w14:paraId="063368D4">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专项研究</w:t>
      </w:r>
    </w:p>
    <w:p w14:paraId="4F084683">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val="en-US" w:eastAsia="zh-CN"/>
        </w:rPr>
        <w:t>草原湿地碳汇功能评估及潜力研究：评估草原湿地生态系统碳储量现状，分析植被、土壤碳库特征，预测未来碳汇潜力，为制定增汇减排策略、推动区域生态价值转化提供科学依据。</w:t>
      </w:r>
    </w:p>
    <w:p w14:paraId="29210B6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②保护区生态功能效益调查研究：评估保护区水源涵养、固碳释氧、生物多样性维持等生态功能，量化其生态服务价值，为生态补偿政策制定和区域绿色发展提供科学依据。</w:t>
      </w:r>
    </w:p>
    <w:p w14:paraId="24796168">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③保护区防沙治沙研究：调查保护区土地沙化现状与驱动因素，筛选适宜高寒地区的治沙技术模式，评估治理成效，提出沙化土地修复与植被恢复优化方案。</w:t>
      </w:r>
    </w:p>
    <w:p w14:paraId="531A2A0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④保护区湿地退化机理研究：分析气候变化与人为干扰对湿地退化的驱动作用，揭示泥炭层萎缩、植被退化的内在机理，为湿地修复与保护策略制定提供理论支撑。</w:t>
      </w:r>
    </w:p>
    <w:p w14:paraId="71832CB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⑤保护区居民生计转型及社区共管机制研究：调查保护区原住民生产生活方式，分析生态保护政策对生计的影响，探索替代产业与社区共管模式，实现保护与发展的协调共赢。</w:t>
      </w:r>
    </w:p>
    <w:p w14:paraId="113AEB9A">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⑥生态价值实现关键路径：研究湿地草原生态产品价值核算方法，探索碳汇交易、生态补偿、绿色产业等转化路径，推动生态优势向经济优势有效转化。</w:t>
      </w:r>
    </w:p>
    <w:p w14:paraId="72CD463C">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⑦气候变化对若尔盖湿地草原生态系统的影响：分析气温升高、降水格局变化对湿地水文、植被物候及碳循环的影响，预测未来变化趋势，提出适应性管理对策。</w:t>
      </w:r>
    </w:p>
    <w:p w14:paraId="4821C60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⑧湿地草原自然生态系统承载力：评估湿地草原在放牧、旅游等人为扰动下的生态阈值，确定合理的资源利用强度，为区域可持续发展提供科学红线。</w:t>
      </w:r>
    </w:p>
    <w:p w14:paraId="4E460A68">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⑨保护区管护水平及其发展研究：评估保护区管理机构能力、制度建设及巡护监测水平，分析存在问题，提出管护体系优化与发展提升建议。</w:t>
      </w:r>
    </w:p>
    <w:p w14:paraId="1EDD7EFA">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⑩黑颈鹤动态变化和迁徙路线研究：监测黑颈鹤种群数量、繁殖成效及迁徙动态，利用卫星追踪等技术揭示迁徙路线与停歇地，为栖息地保护提供科学支撑。</w:t>
      </w:r>
    </w:p>
    <w:p w14:paraId="0AD52B1D">
      <w:pPr>
        <w:pStyle w:val="9"/>
        <w:rPr>
          <w:rFonts w:hint="default" w:ascii="Times New Roman" w:hAnsi="Times New Roman" w:eastAsia="仿宋" w:cs="Times New Roman"/>
          <w:color w:val="auto"/>
          <w:kern w:val="2"/>
          <w:sz w:val="28"/>
          <w:szCs w:val="24"/>
          <w:highlight w:val="none"/>
          <w:lang w:val="en-US" w:eastAsia="zh-CN" w:bidi="ar-SA"/>
        </w:rPr>
      </w:pPr>
      <w:r>
        <w:rPr>
          <w:rFonts w:hint="default" w:ascii="Times New Roman" w:hAnsi="Times New Roman" w:cs="Times New Roman"/>
          <w:color w:val="auto"/>
          <w:sz w:val="24"/>
          <w:szCs w:val="22"/>
          <w:highlight w:val="none"/>
          <w:lang w:val="en-US" w:eastAsia="zh-CN"/>
        </w:rPr>
        <w:fldChar w:fldCharType="begin"/>
      </w:r>
      <w:r>
        <w:rPr>
          <w:rFonts w:hint="default" w:ascii="Times New Roman" w:hAnsi="Times New Roman" w:cs="Times New Roman"/>
          <w:color w:val="auto"/>
          <w:sz w:val="24"/>
          <w:szCs w:val="22"/>
          <w:highlight w:val="none"/>
          <w:lang w:val="en-US" w:eastAsia="zh-CN"/>
        </w:rPr>
        <w:instrText xml:space="preserve"> EQ \o\ac(</w:instrText>
      </w:r>
      <w:r>
        <w:rPr>
          <w:rFonts w:hint="eastAsia" w:ascii="Times New Roman" w:hAnsi="Times New Roman" w:eastAsia="仿宋" w:cs="Times New Roman"/>
          <w:color w:val="auto"/>
          <w:kern w:val="2"/>
          <w:position w:val="-4"/>
          <w:sz w:val="36"/>
          <w:szCs w:val="22"/>
          <w:highlight w:val="none"/>
          <w:lang w:val="en-US" w:eastAsia="zh-CN" w:bidi="ar-SA"/>
        </w:rPr>
        <w:instrText xml:space="preserve">○</w:instrText>
      </w:r>
      <w:r>
        <w:rPr>
          <w:rFonts w:hint="default" w:ascii="Times New Roman" w:hAnsi="Times New Roman" w:cs="Times New Roman"/>
          <w:color w:val="auto"/>
          <w:position w:val="0"/>
          <w:sz w:val="24"/>
          <w:szCs w:val="22"/>
          <w:highlight w:val="none"/>
          <w:lang w:val="en-US" w:eastAsia="zh-CN"/>
        </w:rPr>
        <w:instrText xml:space="preserve">,11)</w:instrText>
      </w:r>
      <w:r>
        <w:rPr>
          <w:rFonts w:hint="default" w:ascii="Times New Roman" w:hAnsi="Times New Roman" w:cs="Times New Roman"/>
          <w:color w:val="auto"/>
          <w:sz w:val="24"/>
          <w:szCs w:val="22"/>
          <w:highlight w:val="none"/>
          <w:lang w:val="en-US" w:eastAsia="zh-CN"/>
        </w:rPr>
        <w:fldChar w:fldCharType="end"/>
      </w:r>
      <w:r>
        <w:rPr>
          <w:rFonts w:hint="default" w:ascii="Times New Roman" w:hAnsi="Times New Roman" w:cs="Times New Roman"/>
          <w:color w:val="auto"/>
          <w:highlight w:val="none"/>
        </w:rPr>
        <w:t>黑颈鹤等珍稀野生动物保护生物学</w:t>
      </w:r>
      <w:r>
        <w:rPr>
          <w:rFonts w:hint="default" w:ascii="Times New Roman" w:hAnsi="Times New Roman" w:cs="Times New Roman"/>
          <w:color w:val="auto"/>
          <w:highlight w:val="none"/>
          <w:lang w:eastAsia="zh-CN"/>
        </w:rPr>
        <w:t>：</w:t>
      </w:r>
      <w:r>
        <w:rPr>
          <w:rFonts w:hint="default" w:ascii="Times New Roman" w:hAnsi="Times New Roman" w:eastAsia="仿宋" w:cs="Times New Roman"/>
          <w:color w:val="auto"/>
          <w:kern w:val="2"/>
          <w:sz w:val="28"/>
          <w:szCs w:val="24"/>
          <w:highlight w:val="none"/>
          <w:lang w:val="en-US" w:eastAsia="zh-CN" w:bidi="ar-SA"/>
        </w:rPr>
        <w:t>研究黑颈鹤等珍稀物种的繁殖生态、食性选择及栖息地需求，评估致危因素，提出针对性保护策略与管理措施。</w:t>
      </w:r>
    </w:p>
    <w:p w14:paraId="745CB9C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2"/>
          <w:highlight w:val="none"/>
          <w:lang w:val="en-US" w:eastAsia="zh-CN"/>
        </w:rPr>
        <w:fldChar w:fldCharType="begin"/>
      </w:r>
      <w:r>
        <w:rPr>
          <w:rFonts w:hint="default" w:ascii="Times New Roman" w:hAnsi="Times New Roman" w:cs="Times New Roman"/>
          <w:color w:val="auto"/>
          <w:sz w:val="24"/>
          <w:szCs w:val="22"/>
          <w:highlight w:val="none"/>
          <w:lang w:val="en-US" w:eastAsia="zh-CN"/>
        </w:rPr>
        <w:instrText xml:space="preserve"> EQ \o\ac(</w:instrText>
      </w:r>
      <w:r>
        <w:rPr>
          <w:rFonts w:hint="eastAsia" w:ascii="Times New Roman" w:hAnsi="Times New Roman" w:eastAsia="仿宋" w:cs="Times New Roman"/>
          <w:color w:val="auto"/>
          <w:kern w:val="2"/>
          <w:position w:val="-4"/>
          <w:sz w:val="36"/>
          <w:szCs w:val="22"/>
          <w:highlight w:val="none"/>
          <w:lang w:val="en-US" w:eastAsia="zh-CN" w:bidi="ar-SA"/>
        </w:rPr>
        <w:instrText xml:space="preserve">○</w:instrText>
      </w:r>
      <w:r>
        <w:rPr>
          <w:rFonts w:hint="default" w:ascii="Times New Roman" w:hAnsi="Times New Roman" w:cs="Times New Roman"/>
          <w:color w:val="auto"/>
          <w:sz w:val="24"/>
          <w:szCs w:val="22"/>
          <w:highlight w:val="none"/>
          <w:lang w:val="en-US" w:eastAsia="zh-CN"/>
        </w:rPr>
        <w:instrText xml:space="preserve">,12)</w:instrText>
      </w:r>
      <w:r>
        <w:rPr>
          <w:rFonts w:hint="default" w:ascii="Times New Roman" w:hAnsi="Times New Roman" w:cs="Times New Roman"/>
          <w:color w:val="auto"/>
          <w:sz w:val="24"/>
          <w:szCs w:val="22"/>
          <w:highlight w:val="none"/>
          <w:lang w:val="en-US" w:eastAsia="zh-CN"/>
        </w:rPr>
        <w:fldChar w:fldCharType="end"/>
      </w:r>
      <w:r>
        <w:rPr>
          <w:rFonts w:hint="default" w:ascii="Times New Roman" w:hAnsi="Times New Roman" w:cs="Times New Roman"/>
          <w:color w:val="auto"/>
          <w:highlight w:val="none"/>
        </w:rPr>
        <w:t>生态旅游资源可持续利用研究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评估保护区生态旅游资源禀赋，分析旅游开发对湿地环境的影响，提出环境承载力约束下的可持续利用模式与管理机制。</w:t>
      </w:r>
    </w:p>
    <w:p w14:paraId="3EDEFC2C">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专项研究内容详见表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-2-3。</w:t>
      </w:r>
    </w:p>
    <w:p w14:paraId="2419345B">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lang w:eastAsia="zh-CN"/>
        </w:rPr>
        <w:t>保护区专项研究内容</w:t>
      </w:r>
      <w:r>
        <w:rPr>
          <w:rFonts w:hint="default" w:ascii="Times New Roman" w:hAnsi="Times New Roman" w:cs="Times New Roman"/>
          <w:b/>
          <w:bCs/>
          <w:color w:val="auto"/>
          <w:highlight w:val="none"/>
        </w:rPr>
        <w:t>表</w:t>
      </w:r>
    </w:p>
    <w:tbl>
      <w:tblPr>
        <w:tblStyle w:val="24"/>
        <w:tblW w:w="8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4123"/>
        <w:gridCol w:w="765"/>
        <w:gridCol w:w="945"/>
        <w:gridCol w:w="645"/>
        <w:gridCol w:w="833"/>
      </w:tblGrid>
      <w:tr w14:paraId="1269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blHeader/>
          <w:jc w:val="center"/>
        </w:trPr>
        <w:tc>
          <w:tcPr>
            <w:tcW w:w="735" w:type="dxa"/>
            <w:vMerge w:val="restart"/>
            <w:vAlign w:val="center"/>
          </w:tcPr>
          <w:p w14:paraId="7872F2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4123" w:type="dxa"/>
            <w:vMerge w:val="restart"/>
            <w:vAlign w:val="center"/>
          </w:tcPr>
          <w:p w14:paraId="0400B9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765" w:type="dxa"/>
            <w:vMerge w:val="restart"/>
            <w:vAlign w:val="center"/>
          </w:tcPr>
          <w:p w14:paraId="034E9A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945" w:type="dxa"/>
            <w:vMerge w:val="restart"/>
            <w:vAlign w:val="center"/>
          </w:tcPr>
          <w:p w14:paraId="52103A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1478" w:type="dxa"/>
            <w:gridSpan w:val="2"/>
            <w:vAlign w:val="center"/>
          </w:tcPr>
          <w:p w14:paraId="68A1F8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lang w:eastAsia="zh-CN"/>
              </w:rPr>
              <w:t>实施</w:t>
            </w:r>
            <w:r>
              <w:rPr>
                <w:rFonts w:hint="default" w:ascii="Times New Roman" w:hAnsi="Times New Roman" w:cs="Times New Roman" w:eastAsiaTheme="minorEastAsia"/>
                <w:b/>
                <w:bCs/>
                <w:color w:val="auto"/>
                <w:sz w:val="18"/>
                <w:szCs w:val="18"/>
                <w:highlight w:val="none"/>
              </w:rPr>
              <w:t>期限</w:t>
            </w:r>
          </w:p>
        </w:tc>
      </w:tr>
      <w:tr w14:paraId="659C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735" w:type="dxa"/>
            <w:vMerge w:val="continue"/>
            <w:vAlign w:val="center"/>
          </w:tcPr>
          <w:p w14:paraId="37D5C6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4123" w:type="dxa"/>
            <w:vMerge w:val="continue"/>
            <w:vAlign w:val="center"/>
          </w:tcPr>
          <w:p w14:paraId="69681C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765" w:type="dxa"/>
            <w:vMerge w:val="continue"/>
            <w:vAlign w:val="center"/>
          </w:tcPr>
          <w:p w14:paraId="161E1F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45" w:type="dxa"/>
            <w:vMerge w:val="continue"/>
            <w:vAlign w:val="center"/>
          </w:tcPr>
          <w:p w14:paraId="5D2BCC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645" w:type="dxa"/>
            <w:vAlign w:val="center"/>
          </w:tcPr>
          <w:p w14:paraId="5237C3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833" w:type="dxa"/>
            <w:vAlign w:val="center"/>
          </w:tcPr>
          <w:p w14:paraId="18F16F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1360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60627F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4123" w:type="dxa"/>
            <w:vAlign w:val="center"/>
          </w:tcPr>
          <w:p w14:paraId="3ADA420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草原湿地碳汇潜力研究</w:t>
            </w:r>
          </w:p>
        </w:tc>
        <w:tc>
          <w:tcPr>
            <w:tcW w:w="765" w:type="dxa"/>
            <w:vAlign w:val="center"/>
          </w:tcPr>
          <w:p w14:paraId="55A6C27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486EBEC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6CFC8D7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4224EC2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C67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14B695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2</w:t>
            </w:r>
          </w:p>
        </w:tc>
        <w:tc>
          <w:tcPr>
            <w:tcW w:w="4123" w:type="dxa"/>
            <w:vAlign w:val="center"/>
          </w:tcPr>
          <w:p w14:paraId="54814C1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保护区生态功能效益调查研究</w:t>
            </w:r>
          </w:p>
        </w:tc>
        <w:tc>
          <w:tcPr>
            <w:tcW w:w="765" w:type="dxa"/>
            <w:vAlign w:val="center"/>
          </w:tcPr>
          <w:p w14:paraId="06FA2D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3D350EF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26956D2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2E3D434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486F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0F64DF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w:t>
            </w:r>
          </w:p>
        </w:tc>
        <w:tc>
          <w:tcPr>
            <w:tcW w:w="4123" w:type="dxa"/>
            <w:vAlign w:val="center"/>
          </w:tcPr>
          <w:p w14:paraId="70BDD6B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保护区防沙治沙研究</w:t>
            </w:r>
          </w:p>
        </w:tc>
        <w:tc>
          <w:tcPr>
            <w:tcW w:w="765" w:type="dxa"/>
            <w:vAlign w:val="center"/>
          </w:tcPr>
          <w:p w14:paraId="57B9647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4901854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25C6C5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030F428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4AD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Align w:val="center"/>
          </w:tcPr>
          <w:p w14:paraId="51ED5F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4123" w:type="dxa"/>
            <w:vAlign w:val="center"/>
          </w:tcPr>
          <w:p w14:paraId="307D7C1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保护区湿地退化机理研究</w:t>
            </w:r>
          </w:p>
        </w:tc>
        <w:tc>
          <w:tcPr>
            <w:tcW w:w="765" w:type="dxa"/>
            <w:vAlign w:val="center"/>
          </w:tcPr>
          <w:p w14:paraId="0025999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31E581F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2A5915F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6998D79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6D2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7A1CBB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4123" w:type="dxa"/>
            <w:vAlign w:val="center"/>
          </w:tcPr>
          <w:p w14:paraId="0742588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保护区居民生计转型及社区共管机制研究</w:t>
            </w:r>
          </w:p>
        </w:tc>
        <w:tc>
          <w:tcPr>
            <w:tcW w:w="765" w:type="dxa"/>
            <w:vAlign w:val="center"/>
          </w:tcPr>
          <w:p w14:paraId="44A4963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654238A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4FBBD7C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32FD36D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B05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34951F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4123" w:type="dxa"/>
            <w:vAlign w:val="center"/>
          </w:tcPr>
          <w:p w14:paraId="4E54F5D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生态价值实现关键路径</w:t>
            </w:r>
          </w:p>
        </w:tc>
        <w:tc>
          <w:tcPr>
            <w:tcW w:w="765" w:type="dxa"/>
            <w:vAlign w:val="center"/>
          </w:tcPr>
          <w:p w14:paraId="6F6DA04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6012555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54A7E6C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06804A8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A25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552993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4123" w:type="dxa"/>
            <w:vAlign w:val="center"/>
          </w:tcPr>
          <w:p w14:paraId="3DD34DB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气候变化对若尔盖湿地草原生态系统的影响</w:t>
            </w:r>
          </w:p>
        </w:tc>
        <w:tc>
          <w:tcPr>
            <w:tcW w:w="765" w:type="dxa"/>
            <w:vAlign w:val="center"/>
          </w:tcPr>
          <w:p w14:paraId="6694392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6719681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6EDEDA0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0D7764F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FEA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5EDF8C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w:t>
            </w:r>
          </w:p>
        </w:tc>
        <w:tc>
          <w:tcPr>
            <w:tcW w:w="4123" w:type="dxa"/>
            <w:vAlign w:val="center"/>
          </w:tcPr>
          <w:p w14:paraId="4728E0B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湿地草原自然生态系统承载力</w:t>
            </w:r>
          </w:p>
        </w:tc>
        <w:tc>
          <w:tcPr>
            <w:tcW w:w="765" w:type="dxa"/>
            <w:vAlign w:val="center"/>
          </w:tcPr>
          <w:p w14:paraId="4832B5C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1E487E1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7648D37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19CCB3C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B4A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6775EF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9</w:t>
            </w:r>
          </w:p>
        </w:tc>
        <w:tc>
          <w:tcPr>
            <w:tcW w:w="4123" w:type="dxa"/>
            <w:vAlign w:val="center"/>
          </w:tcPr>
          <w:p w14:paraId="330BF11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保护区管护水平及其发展研究</w:t>
            </w:r>
          </w:p>
        </w:tc>
        <w:tc>
          <w:tcPr>
            <w:tcW w:w="765" w:type="dxa"/>
            <w:vAlign w:val="center"/>
          </w:tcPr>
          <w:p w14:paraId="675DE1C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6FC208C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vAlign w:val="center"/>
          </w:tcPr>
          <w:p w14:paraId="6D95CCD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vAlign w:val="center"/>
          </w:tcPr>
          <w:p w14:paraId="71C8F6F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4890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124B18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10</w:t>
            </w:r>
          </w:p>
        </w:tc>
        <w:tc>
          <w:tcPr>
            <w:tcW w:w="4123" w:type="dxa"/>
            <w:vAlign w:val="center"/>
          </w:tcPr>
          <w:p w14:paraId="7C25AD1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黑颈鹤动态变化和迁徙路线研究</w:t>
            </w:r>
          </w:p>
        </w:tc>
        <w:tc>
          <w:tcPr>
            <w:tcW w:w="765" w:type="dxa"/>
            <w:vAlign w:val="center"/>
          </w:tcPr>
          <w:p w14:paraId="5829432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72AE325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shd w:val="clear" w:color="auto" w:fill="auto"/>
            <w:vAlign w:val="center"/>
          </w:tcPr>
          <w:p w14:paraId="6B5A347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shd w:val="clear" w:color="auto" w:fill="auto"/>
            <w:vAlign w:val="center"/>
          </w:tcPr>
          <w:p w14:paraId="08F133A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2E6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6635F4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11</w:t>
            </w:r>
          </w:p>
        </w:tc>
        <w:tc>
          <w:tcPr>
            <w:tcW w:w="4123" w:type="dxa"/>
            <w:vAlign w:val="center"/>
          </w:tcPr>
          <w:p w14:paraId="0FD4715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黑颈鹤等珍稀野生动物保护生物学</w:t>
            </w:r>
          </w:p>
        </w:tc>
        <w:tc>
          <w:tcPr>
            <w:tcW w:w="765" w:type="dxa"/>
            <w:vAlign w:val="center"/>
          </w:tcPr>
          <w:p w14:paraId="5CE8E4C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2C61F4D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shd w:val="clear" w:color="auto" w:fill="auto"/>
            <w:vAlign w:val="center"/>
          </w:tcPr>
          <w:p w14:paraId="3C12F22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shd w:val="clear" w:color="auto" w:fill="auto"/>
            <w:vAlign w:val="center"/>
          </w:tcPr>
          <w:p w14:paraId="6F051B4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B21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vAlign w:val="center"/>
          </w:tcPr>
          <w:p w14:paraId="7FA09B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12</w:t>
            </w:r>
          </w:p>
        </w:tc>
        <w:tc>
          <w:tcPr>
            <w:tcW w:w="4123" w:type="dxa"/>
            <w:vAlign w:val="center"/>
          </w:tcPr>
          <w:p w14:paraId="208F0AB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生态旅游资源可持续利用研究</w:t>
            </w:r>
          </w:p>
        </w:tc>
        <w:tc>
          <w:tcPr>
            <w:tcW w:w="765" w:type="dxa"/>
            <w:vAlign w:val="center"/>
          </w:tcPr>
          <w:p w14:paraId="6D0DFF1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945" w:type="dxa"/>
            <w:vAlign w:val="center"/>
          </w:tcPr>
          <w:p w14:paraId="5528626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w:t>
            </w:r>
          </w:p>
        </w:tc>
        <w:tc>
          <w:tcPr>
            <w:tcW w:w="645" w:type="dxa"/>
            <w:shd w:val="clear" w:color="auto" w:fill="auto"/>
            <w:vAlign w:val="center"/>
          </w:tcPr>
          <w:p w14:paraId="5116AC8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p>
        </w:tc>
        <w:tc>
          <w:tcPr>
            <w:tcW w:w="833" w:type="dxa"/>
            <w:shd w:val="clear" w:color="auto" w:fill="auto"/>
            <w:vAlign w:val="center"/>
          </w:tcPr>
          <w:p w14:paraId="65A65DE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7576A375">
      <w:pPr>
        <w:pStyle w:val="5"/>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.2.</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监测</w:t>
      </w:r>
      <w:r>
        <w:rPr>
          <w:rFonts w:hint="default" w:ascii="Times New Roman" w:hAnsi="Times New Roman" w:cs="Times New Roman"/>
          <w:color w:val="auto"/>
          <w:highlight w:val="none"/>
          <w:lang w:val="en-US" w:eastAsia="zh-CN"/>
        </w:rPr>
        <w:t>任务</w:t>
      </w:r>
    </w:p>
    <w:p w14:paraId="14DC496B">
      <w:pPr>
        <w:numPr>
          <w:ilvl w:val="0"/>
          <w:numId w:val="6"/>
        </w:num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常规监测</w:t>
      </w:r>
    </w:p>
    <w:p w14:paraId="7882F604">
      <w:pPr>
        <w:numPr>
          <w:ilvl w:val="0"/>
          <w:numId w:val="0"/>
        </w:numPr>
        <w:ind w:firstLine="56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val="en-US" w:eastAsia="zh-CN"/>
        </w:rPr>
        <w:t>生态环境监测：</w:t>
      </w:r>
      <w:r>
        <w:rPr>
          <w:rFonts w:hint="default" w:ascii="Times New Roman" w:hAnsi="Times New Roman" w:cs="Times New Roman"/>
          <w:color w:val="auto"/>
          <w:highlight w:val="none"/>
          <w:lang w:eastAsia="zh-CN"/>
        </w:rPr>
        <w:t>开展保护区内的水文、水质、土壤、气象等</w:t>
      </w:r>
      <w:r>
        <w:rPr>
          <w:rFonts w:hint="default" w:ascii="Times New Roman" w:hAnsi="Times New Roman" w:cs="Times New Roman"/>
          <w:color w:val="auto"/>
          <w:highlight w:val="none"/>
          <w:lang w:val="en-US" w:eastAsia="zh-CN"/>
        </w:rPr>
        <w:t>生态环境</w:t>
      </w:r>
      <w:r>
        <w:rPr>
          <w:rFonts w:hint="default" w:ascii="Times New Roman" w:hAnsi="Times New Roman" w:cs="Times New Roman"/>
          <w:color w:val="auto"/>
          <w:highlight w:val="none"/>
        </w:rPr>
        <w:t>常年性监测</w:t>
      </w:r>
      <w:r>
        <w:rPr>
          <w:rFonts w:hint="default" w:ascii="Times New Roman" w:hAnsi="Times New Roman" w:cs="Times New Roman"/>
          <w:color w:val="auto"/>
          <w:highlight w:val="none"/>
          <w:lang w:eastAsia="zh-CN"/>
        </w:rPr>
        <w:t>，及时掌握水文、气象等的动态变化状况</w:t>
      </w:r>
      <w:r>
        <w:rPr>
          <w:rFonts w:hint="default" w:ascii="Times New Roman" w:hAnsi="Times New Roman" w:cs="Times New Roman"/>
          <w:color w:val="auto"/>
          <w:highlight w:val="none"/>
        </w:rPr>
        <w:t>。</w:t>
      </w:r>
    </w:p>
    <w:p w14:paraId="76AC5CE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②威胁因素监测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主要包括</w:t>
      </w:r>
      <w:r>
        <w:rPr>
          <w:rFonts w:hint="default" w:ascii="Times New Roman" w:hAnsi="Times New Roman" w:cs="Times New Roman"/>
          <w:color w:val="auto"/>
          <w:highlight w:val="none"/>
        </w:rPr>
        <w:t>排水沟渠、过度放牧、气候变暖</w:t>
      </w:r>
      <w:r>
        <w:rPr>
          <w:rFonts w:hint="default" w:ascii="Times New Roman" w:hAnsi="Times New Roman" w:cs="Times New Roman"/>
          <w:color w:val="auto"/>
          <w:highlight w:val="none"/>
          <w:lang w:val="en-US" w:eastAsia="zh-CN"/>
        </w:rPr>
        <w:t>等情况监测。</w:t>
      </w:r>
    </w:p>
    <w:p w14:paraId="02ED2173">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③疫源疫病病虫害监测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主要包括</w:t>
      </w:r>
      <w:r>
        <w:rPr>
          <w:rFonts w:hint="default" w:ascii="Times New Roman" w:hAnsi="Times New Roman" w:cs="Times New Roman"/>
          <w:color w:val="auto"/>
          <w:highlight w:val="none"/>
        </w:rPr>
        <w:t>鸟类疫源疫病监测、</w:t>
      </w:r>
      <w:r>
        <w:rPr>
          <w:rFonts w:hint="default" w:ascii="Times New Roman" w:hAnsi="Times New Roman" w:cs="Times New Roman"/>
          <w:color w:val="auto"/>
          <w:highlight w:val="none"/>
          <w:lang w:val="en-US" w:eastAsia="zh-CN"/>
        </w:rPr>
        <w:t>草原</w:t>
      </w:r>
      <w:r>
        <w:rPr>
          <w:rFonts w:hint="default" w:ascii="Times New Roman" w:hAnsi="Times New Roman" w:cs="Times New Roman"/>
          <w:color w:val="auto"/>
          <w:highlight w:val="none"/>
        </w:rPr>
        <w:t>有害生物普查、外来入侵物种排查及病原</w:t>
      </w:r>
      <w:r>
        <w:rPr>
          <w:rFonts w:hint="default" w:ascii="Times New Roman" w:hAnsi="Times New Roman" w:cs="Times New Roman"/>
          <w:color w:val="auto"/>
          <w:highlight w:val="none"/>
          <w:lang w:val="en-US" w:eastAsia="zh-CN"/>
        </w:rPr>
        <w:t>情况监测</w:t>
      </w:r>
      <w:r>
        <w:rPr>
          <w:rFonts w:hint="default" w:ascii="Times New Roman" w:hAnsi="Times New Roman" w:cs="Times New Roman"/>
          <w:color w:val="auto"/>
          <w:highlight w:val="none"/>
          <w:lang w:eastAsia="zh-CN"/>
        </w:rPr>
        <w:t>。</w:t>
      </w:r>
    </w:p>
    <w:p w14:paraId="72819051">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④鼠害监测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包括</w:t>
      </w:r>
      <w:r>
        <w:rPr>
          <w:rFonts w:hint="default" w:ascii="Times New Roman" w:hAnsi="Times New Roman" w:cs="Times New Roman"/>
          <w:color w:val="auto"/>
          <w:highlight w:val="none"/>
        </w:rPr>
        <w:t>高原鼠兔密度、分布范围、危害程度及防治效果。</w:t>
      </w:r>
    </w:p>
    <w:p w14:paraId="7C165FF1">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⑤土地沙化监测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沙化面积、扩展速度、植被盖度及风蚀程度。</w:t>
      </w:r>
    </w:p>
    <w:p w14:paraId="55C03EF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⑥草原年度动态监测：</w:t>
      </w:r>
      <w:r>
        <w:rPr>
          <w:rFonts w:hint="default" w:ascii="Times New Roman" w:hAnsi="Times New Roman" w:cs="Times New Roman"/>
          <w:color w:val="auto"/>
          <w:highlight w:val="none"/>
        </w:rPr>
        <w:t>草原面积、产草量、植被盖度、退化程度、载畜量及生态状况年度变化。</w:t>
      </w:r>
    </w:p>
    <w:p w14:paraId="711A91F3">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⑦水土流失监测：</w:t>
      </w:r>
      <w:r>
        <w:rPr>
          <w:rFonts w:hint="default" w:ascii="Times New Roman" w:hAnsi="Times New Roman" w:cs="Times New Roman"/>
          <w:color w:val="auto"/>
          <w:highlight w:val="none"/>
        </w:rPr>
        <w:t>流失面积、侵蚀强度、土壤有机质及植被覆盖率。</w:t>
      </w:r>
    </w:p>
    <w:p w14:paraId="5588F4CF">
      <w:pPr>
        <w:ind w:firstLine="56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⑧辐射环境监测：</w:t>
      </w:r>
      <w:r>
        <w:rPr>
          <w:rFonts w:hint="default" w:ascii="Times New Roman" w:hAnsi="Times New Roman" w:cs="Times New Roman"/>
          <w:color w:val="auto"/>
          <w:highlight w:val="none"/>
          <w:lang w:val="en-US" w:eastAsia="zh-CN"/>
        </w:rPr>
        <w:t>系统掌握保护区的环境放射性水平</w:t>
      </w:r>
      <w:r>
        <w:rPr>
          <w:rFonts w:hint="eastAsia" w:ascii="Times New Roman" w:hAnsi="Times New Roman" w:cs="Times New Roman"/>
          <w:color w:val="auto"/>
          <w:highlight w:val="none"/>
          <w:lang w:val="en-US" w:eastAsia="zh-CN"/>
        </w:rPr>
        <w:t>，包括</w:t>
      </w:r>
      <w:r>
        <w:rPr>
          <w:rFonts w:hint="default" w:ascii="Times New Roman" w:hAnsi="Times New Roman" w:cs="Times New Roman"/>
          <w:color w:val="auto"/>
          <w:highlight w:val="none"/>
          <w:lang w:val="en-US" w:eastAsia="zh-CN"/>
        </w:rPr>
        <w:t>空气吸收剂量率</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γ辐射剂量率和氡析出率</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天然放射性核素和人工放射性核素含量</w:t>
      </w:r>
      <w:r>
        <w:rPr>
          <w:rFonts w:hint="eastAsia" w:ascii="Times New Roman" w:hAnsi="Times New Roman" w:cs="Times New Roman"/>
          <w:color w:val="auto"/>
          <w:highlight w:val="none"/>
          <w:lang w:val="en-US" w:eastAsia="zh-CN"/>
        </w:rPr>
        <w:t>等内容。</w:t>
      </w:r>
    </w:p>
    <w:p w14:paraId="0ED98E84">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常规</w:t>
      </w:r>
      <w:r>
        <w:rPr>
          <w:rFonts w:hint="default" w:ascii="Times New Roman" w:hAnsi="Times New Roman" w:cs="Times New Roman"/>
          <w:color w:val="auto"/>
          <w:highlight w:val="none"/>
          <w:lang w:eastAsia="zh-CN"/>
        </w:rPr>
        <w:t>监测内容详见表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-2-4。</w:t>
      </w:r>
    </w:p>
    <w:p w14:paraId="376CCE5F">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2-4</w:t>
      </w:r>
      <w:r>
        <w:rPr>
          <w:rFonts w:hint="default" w:ascii="Times New Roman" w:hAnsi="Times New Roman" w:cs="Times New Roman"/>
          <w:b/>
          <w:bCs/>
          <w:color w:val="auto"/>
          <w:highlight w:val="none"/>
          <w:lang w:eastAsia="zh-CN"/>
        </w:rPr>
        <w:t>保护区</w:t>
      </w:r>
      <w:r>
        <w:rPr>
          <w:rFonts w:hint="default" w:ascii="Times New Roman" w:hAnsi="Times New Roman" w:cs="Times New Roman"/>
          <w:b/>
          <w:bCs/>
          <w:color w:val="auto"/>
          <w:highlight w:val="none"/>
          <w:lang w:val="en-US" w:eastAsia="zh-CN"/>
        </w:rPr>
        <w:t>常规</w:t>
      </w:r>
      <w:r>
        <w:rPr>
          <w:rFonts w:hint="default" w:ascii="Times New Roman" w:hAnsi="Times New Roman" w:cs="Times New Roman"/>
          <w:b/>
          <w:bCs/>
          <w:color w:val="auto"/>
          <w:highlight w:val="none"/>
          <w:lang w:eastAsia="zh-CN"/>
        </w:rPr>
        <w:t>监测内容</w:t>
      </w:r>
      <w:r>
        <w:rPr>
          <w:rFonts w:hint="default" w:ascii="Times New Roman" w:hAnsi="Times New Roman" w:cs="Times New Roman"/>
          <w:b/>
          <w:bCs/>
          <w:color w:val="auto"/>
          <w:highlight w:val="none"/>
        </w:rPr>
        <w:t>表</w:t>
      </w:r>
    </w:p>
    <w:tbl>
      <w:tblPr>
        <w:tblStyle w:val="24"/>
        <w:tblW w:w="7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2921"/>
        <w:gridCol w:w="943"/>
        <w:gridCol w:w="1003"/>
        <w:gridCol w:w="1041"/>
        <w:gridCol w:w="1161"/>
      </w:tblGrid>
      <w:tr w14:paraId="2FEF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758" w:type="dxa"/>
            <w:vMerge w:val="restart"/>
            <w:vAlign w:val="center"/>
          </w:tcPr>
          <w:p w14:paraId="31CB12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2921" w:type="dxa"/>
            <w:vMerge w:val="restart"/>
            <w:vAlign w:val="center"/>
          </w:tcPr>
          <w:p w14:paraId="47B35D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943" w:type="dxa"/>
            <w:vMerge w:val="restart"/>
            <w:vAlign w:val="center"/>
          </w:tcPr>
          <w:p w14:paraId="48DC7E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003" w:type="dxa"/>
            <w:vMerge w:val="restart"/>
            <w:vAlign w:val="center"/>
          </w:tcPr>
          <w:p w14:paraId="41EDA6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202" w:type="dxa"/>
            <w:gridSpan w:val="2"/>
            <w:vAlign w:val="center"/>
          </w:tcPr>
          <w:p w14:paraId="6FA623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45DA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758" w:type="dxa"/>
            <w:vMerge w:val="continue"/>
            <w:vAlign w:val="center"/>
          </w:tcPr>
          <w:p w14:paraId="29F230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2921" w:type="dxa"/>
            <w:vMerge w:val="continue"/>
            <w:vAlign w:val="center"/>
          </w:tcPr>
          <w:p w14:paraId="016AD3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43" w:type="dxa"/>
            <w:vMerge w:val="continue"/>
            <w:vAlign w:val="center"/>
          </w:tcPr>
          <w:p w14:paraId="651EC3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03" w:type="dxa"/>
            <w:vMerge w:val="continue"/>
            <w:vAlign w:val="center"/>
          </w:tcPr>
          <w:p w14:paraId="265FD0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41" w:type="dxa"/>
            <w:vAlign w:val="center"/>
          </w:tcPr>
          <w:p w14:paraId="3B813E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161" w:type="dxa"/>
            <w:vAlign w:val="center"/>
          </w:tcPr>
          <w:p w14:paraId="203D60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3073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57C665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2921" w:type="dxa"/>
            <w:vAlign w:val="center"/>
          </w:tcPr>
          <w:p w14:paraId="38324E9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生态环境监测</w:t>
            </w:r>
          </w:p>
        </w:tc>
        <w:tc>
          <w:tcPr>
            <w:tcW w:w="943" w:type="dxa"/>
            <w:vAlign w:val="center"/>
          </w:tcPr>
          <w:p w14:paraId="0E1948E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137ACF8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1751802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43B1457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037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B66C6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2921" w:type="dxa"/>
            <w:vAlign w:val="center"/>
          </w:tcPr>
          <w:p w14:paraId="56D074A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威胁因素监测</w:t>
            </w:r>
          </w:p>
        </w:tc>
        <w:tc>
          <w:tcPr>
            <w:tcW w:w="943" w:type="dxa"/>
            <w:vAlign w:val="center"/>
          </w:tcPr>
          <w:p w14:paraId="2405FBC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7B4AD9E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663838F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001BCDD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439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4DC20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2921" w:type="dxa"/>
            <w:vAlign w:val="center"/>
          </w:tcPr>
          <w:p w14:paraId="02A6A06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疫源疫病病虫害监测</w:t>
            </w:r>
          </w:p>
        </w:tc>
        <w:tc>
          <w:tcPr>
            <w:tcW w:w="943" w:type="dxa"/>
            <w:vAlign w:val="center"/>
          </w:tcPr>
          <w:p w14:paraId="7275D66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1AAF654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5C837CE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7FF6728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57D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07BB5D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2921" w:type="dxa"/>
            <w:vAlign w:val="center"/>
          </w:tcPr>
          <w:p w14:paraId="6A379D8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鼠害监测</w:t>
            </w:r>
          </w:p>
        </w:tc>
        <w:tc>
          <w:tcPr>
            <w:tcW w:w="943" w:type="dxa"/>
            <w:vAlign w:val="center"/>
          </w:tcPr>
          <w:p w14:paraId="56CA6D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6604F8C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0"/>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0EF4C22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2F5D3EB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CA5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49BD6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2921" w:type="dxa"/>
            <w:vAlign w:val="center"/>
          </w:tcPr>
          <w:p w14:paraId="250B899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土地沙化监测</w:t>
            </w:r>
          </w:p>
        </w:tc>
        <w:tc>
          <w:tcPr>
            <w:tcW w:w="943" w:type="dxa"/>
            <w:vAlign w:val="center"/>
          </w:tcPr>
          <w:p w14:paraId="755F42A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6A837EF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0"/>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5A70193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4512B0D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573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0DB07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2921" w:type="dxa"/>
            <w:vAlign w:val="center"/>
          </w:tcPr>
          <w:p w14:paraId="28316EE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草原年度动态监测</w:t>
            </w:r>
          </w:p>
        </w:tc>
        <w:tc>
          <w:tcPr>
            <w:tcW w:w="943" w:type="dxa"/>
            <w:shd w:val="clear" w:color="auto" w:fill="auto"/>
            <w:vAlign w:val="center"/>
          </w:tcPr>
          <w:p w14:paraId="02D0EB3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shd w:val="clear" w:color="auto" w:fill="auto"/>
            <w:vAlign w:val="center"/>
          </w:tcPr>
          <w:p w14:paraId="0E93F15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w:t>
            </w:r>
          </w:p>
        </w:tc>
        <w:tc>
          <w:tcPr>
            <w:tcW w:w="1041" w:type="dxa"/>
            <w:shd w:val="clear" w:color="auto" w:fill="auto"/>
            <w:vAlign w:val="center"/>
          </w:tcPr>
          <w:p w14:paraId="36B6E6B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1CBD5F4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567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853DC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2921" w:type="dxa"/>
            <w:vAlign w:val="center"/>
          </w:tcPr>
          <w:p w14:paraId="40C4C2F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水土流失监测</w:t>
            </w:r>
          </w:p>
        </w:tc>
        <w:tc>
          <w:tcPr>
            <w:tcW w:w="943" w:type="dxa"/>
            <w:shd w:val="clear" w:color="auto" w:fill="auto"/>
            <w:vAlign w:val="center"/>
          </w:tcPr>
          <w:p w14:paraId="5B1225F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shd w:val="clear" w:color="auto" w:fill="auto"/>
            <w:vAlign w:val="center"/>
          </w:tcPr>
          <w:p w14:paraId="5E20C73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w:t>
            </w:r>
          </w:p>
        </w:tc>
        <w:tc>
          <w:tcPr>
            <w:tcW w:w="1041" w:type="dxa"/>
            <w:shd w:val="clear" w:color="auto" w:fill="auto"/>
            <w:vAlign w:val="center"/>
          </w:tcPr>
          <w:p w14:paraId="6D89F71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3A99345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45EC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57623C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eastAsia" w:ascii="Times New Roman" w:hAnsi="Times New Roman" w:cs="Times New Roman" w:eastAsiaTheme="minorEastAsia"/>
                <w:color w:val="auto"/>
                <w:sz w:val="18"/>
                <w:szCs w:val="18"/>
                <w:highlight w:val="none"/>
                <w:lang w:val="en-US" w:eastAsia="zh-CN"/>
              </w:rPr>
              <w:t>8</w:t>
            </w:r>
          </w:p>
        </w:tc>
        <w:tc>
          <w:tcPr>
            <w:tcW w:w="2921" w:type="dxa"/>
            <w:vAlign w:val="center"/>
          </w:tcPr>
          <w:p w14:paraId="43C847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eastAsia" w:ascii="Times New Roman" w:hAnsi="Times New Roman" w:cs="Times New Roman" w:eastAsiaTheme="minorEastAsia"/>
                <w:i w:val="0"/>
                <w:color w:val="auto"/>
                <w:kern w:val="0"/>
                <w:sz w:val="18"/>
                <w:szCs w:val="18"/>
                <w:highlight w:val="none"/>
                <w:u w:val="none"/>
                <w:lang w:val="en-US" w:eastAsia="zh-CN" w:bidi="ar"/>
              </w:rPr>
              <w:t>辐射环境监测</w:t>
            </w:r>
          </w:p>
        </w:tc>
        <w:tc>
          <w:tcPr>
            <w:tcW w:w="943" w:type="dxa"/>
            <w:shd w:val="clear" w:color="auto" w:fill="auto"/>
            <w:vAlign w:val="center"/>
          </w:tcPr>
          <w:p w14:paraId="58A2A35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shd w:val="clear" w:color="auto" w:fill="auto"/>
            <w:vAlign w:val="center"/>
          </w:tcPr>
          <w:p w14:paraId="55DFDB3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shd w:val="clear" w:color="auto" w:fill="auto"/>
            <w:vAlign w:val="center"/>
          </w:tcPr>
          <w:p w14:paraId="19ED906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76286CD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5D9E63E4">
      <w:pPr>
        <w:ind w:firstLine="560"/>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专项监测</w:t>
      </w:r>
    </w:p>
    <w:p w14:paraId="743264C5">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①国际重要湿地监测</w:t>
      </w:r>
      <w:r>
        <w:rPr>
          <w:rFonts w:hint="default" w:ascii="Times New Roman" w:hAnsi="Times New Roman" w:cs="Times New Roman"/>
          <w:color w:val="auto"/>
          <w:highlight w:val="none"/>
          <w:lang w:eastAsia="zh-CN"/>
        </w:rPr>
        <w:t>：重点监测湿地水文、植被及水鸟栖息地变化，评估湿地生态状况与保护管理成效。通过定期调查与遥感技术，掌握湿地面积、水质及生物多样性动态，为履行国际公约提供数据支撑</w:t>
      </w:r>
      <w:r>
        <w:rPr>
          <w:rFonts w:hint="default" w:ascii="Times New Roman" w:hAnsi="Times New Roman" w:cs="Times New Roman"/>
          <w:color w:val="auto"/>
          <w:highlight w:val="none"/>
        </w:rPr>
        <w:t>。</w:t>
      </w:r>
    </w:p>
    <w:p w14:paraId="1566018B">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②泥炭沼泽碳库资源调查监测：主要对保护区内的泥炭沼泽分布、厚度、有机碳含量及水位变化进行系统调查，评估碳库储量与固碳功能。结合钻探与遥感手段，监测泥炭层稳定性及气候、人为活动对碳释放的潜在影响。</w:t>
      </w:r>
    </w:p>
    <w:p w14:paraId="39AD9A82">
      <w:pPr>
        <w:ind w:firstLine="560"/>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rPr>
        <w:t>③黑颈鹤等鸟类迁徙繁殖及种群数量专项监测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采用卫星追踪与地面观测结合的方法，记录黑颈鹤迁徙路线、停歇地及繁殖地利用情况。通过定期的种群数量调查与巢位监测，分析繁殖成功率及环境干扰对种群动态的影响。</w:t>
      </w:r>
    </w:p>
    <w:p w14:paraId="415633D1">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④水生生物监测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对保护区湖泊、河流等水域中的浮游生物、底栖动物及鱼类群落结构进行调查，评估水生态系统健康与生物多样性变化。结合水质理化指标，分析水生生物对水文调控及外来物种入侵的响应机制</w:t>
      </w:r>
      <w:r>
        <w:rPr>
          <w:rFonts w:hint="default" w:ascii="Times New Roman" w:hAnsi="Times New Roman" w:cs="Times New Roman"/>
          <w:color w:val="auto"/>
          <w:highlight w:val="none"/>
        </w:rPr>
        <w:t>。</w:t>
      </w:r>
    </w:p>
    <w:p w14:paraId="0A997C5F">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⑤</w:t>
      </w:r>
      <w:r>
        <w:rPr>
          <w:rFonts w:hint="default" w:ascii="Times New Roman" w:hAnsi="Times New Roman" w:cs="Times New Roman"/>
          <w:color w:val="auto"/>
          <w:highlight w:val="none"/>
          <w:lang w:eastAsia="zh-CN"/>
        </w:rPr>
        <w:t>原住民游牧活动对生态和环境影响监测：监测放牧强度、草场利用格局及牲畜数量变化，分析其对湿地植被、土壤结构及水源涵养功能的影响。通过对比围栏内外生态指标，评估游牧活动与生物多样性保护之间的平衡关系。</w:t>
      </w:r>
    </w:p>
    <w:p w14:paraId="2E7ED7C9">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⑥生态旅游对保护区及黑颈鹤繁殖地影响监测：重点监测旅游路线、游客密度及行为对黑颈鹤繁殖成功率、栖息地利用及惊扰频率的影响。结合噪声、垃圾与植被破坏等指标，评估旅游活动对湿地生态系统的累积干扰效应。</w:t>
      </w:r>
    </w:p>
    <w:p w14:paraId="48AA5A2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年度湿地监测：利用高分辨率卫星遥感影像，结合实地验证样点，对保护区内湿地类型、面积、分布及植被覆盖变化进行动态解译与比对分析。重点监测水体扩展与萎缩、沼泽退化、沙化及人类活动干扰等状况，评估湿地生态格局的年际演变趋势。</w:t>
      </w:r>
    </w:p>
    <w:p w14:paraId="1E14F20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⑧地下水位监测：长期观测水位时空动态变化，分析其受降雨、蒸发及排水影响的季节性规律；核算水量平衡，明确降雨为主要补给源；评估水位变化对湿地植被和生态健康的影响，为退化防治提供科学依据。</w:t>
      </w:r>
    </w:p>
    <w:p w14:paraId="549887D7">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专项监测内容详见表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-2-5。</w:t>
      </w:r>
    </w:p>
    <w:p w14:paraId="7B3A50EB">
      <w:pPr>
        <w:pStyle w:val="9"/>
        <w:rPr>
          <w:rFonts w:hint="default" w:ascii="Times New Roman" w:hAnsi="Times New Roman" w:cs="Times New Roman"/>
          <w:color w:val="auto"/>
          <w:highlight w:val="none"/>
          <w:lang w:val="en-US" w:eastAsia="zh-CN"/>
        </w:rPr>
      </w:pPr>
    </w:p>
    <w:p w14:paraId="5AA9D433">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2-5</w:t>
      </w:r>
      <w:r>
        <w:rPr>
          <w:rFonts w:hint="default" w:ascii="Times New Roman" w:hAnsi="Times New Roman" w:cs="Times New Roman"/>
          <w:b/>
          <w:bCs/>
          <w:color w:val="auto"/>
          <w:highlight w:val="none"/>
          <w:lang w:eastAsia="zh-CN"/>
        </w:rPr>
        <w:t>保护区专项监测内容</w:t>
      </w:r>
      <w:r>
        <w:rPr>
          <w:rFonts w:hint="default" w:ascii="Times New Roman" w:hAnsi="Times New Roman" w:cs="Times New Roman"/>
          <w:b/>
          <w:bCs/>
          <w:color w:val="auto"/>
          <w:highlight w:val="none"/>
        </w:rPr>
        <w:t>表</w:t>
      </w:r>
    </w:p>
    <w:tbl>
      <w:tblPr>
        <w:tblStyle w:val="24"/>
        <w:tblW w:w="8793" w:type="dxa"/>
        <w:tblInd w:w="2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3783"/>
        <w:gridCol w:w="943"/>
        <w:gridCol w:w="1003"/>
        <w:gridCol w:w="1041"/>
        <w:gridCol w:w="1161"/>
      </w:tblGrid>
      <w:tr w14:paraId="2109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862" w:type="dxa"/>
            <w:vMerge w:val="restart"/>
            <w:vAlign w:val="center"/>
          </w:tcPr>
          <w:p w14:paraId="0B72BC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3783" w:type="dxa"/>
            <w:vMerge w:val="restart"/>
            <w:vAlign w:val="center"/>
          </w:tcPr>
          <w:p w14:paraId="63166A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943" w:type="dxa"/>
            <w:vMerge w:val="restart"/>
            <w:vAlign w:val="center"/>
          </w:tcPr>
          <w:p w14:paraId="3D1E7F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003" w:type="dxa"/>
            <w:vMerge w:val="restart"/>
            <w:vAlign w:val="center"/>
          </w:tcPr>
          <w:p w14:paraId="0DA862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202" w:type="dxa"/>
            <w:gridSpan w:val="2"/>
            <w:vAlign w:val="center"/>
          </w:tcPr>
          <w:p w14:paraId="298831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2E40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 w:type="dxa"/>
            <w:vMerge w:val="continue"/>
            <w:vAlign w:val="center"/>
          </w:tcPr>
          <w:p w14:paraId="20096A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3783" w:type="dxa"/>
            <w:vMerge w:val="continue"/>
            <w:vAlign w:val="center"/>
          </w:tcPr>
          <w:p w14:paraId="634800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43" w:type="dxa"/>
            <w:vMerge w:val="continue"/>
            <w:vAlign w:val="center"/>
          </w:tcPr>
          <w:p w14:paraId="76B749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03" w:type="dxa"/>
            <w:vMerge w:val="continue"/>
            <w:vAlign w:val="center"/>
          </w:tcPr>
          <w:p w14:paraId="6ABE73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41" w:type="dxa"/>
            <w:vAlign w:val="center"/>
          </w:tcPr>
          <w:p w14:paraId="376EF5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161" w:type="dxa"/>
            <w:vAlign w:val="center"/>
          </w:tcPr>
          <w:p w14:paraId="7E904D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29AF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499FC2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3783" w:type="dxa"/>
            <w:vAlign w:val="center"/>
          </w:tcPr>
          <w:p w14:paraId="35EE8EC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国际重要湿地监测</w:t>
            </w:r>
          </w:p>
        </w:tc>
        <w:tc>
          <w:tcPr>
            <w:tcW w:w="943" w:type="dxa"/>
            <w:vAlign w:val="center"/>
          </w:tcPr>
          <w:p w14:paraId="2460AC4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14642BF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3C3F74D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6BE7ACC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F6A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D2BF2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3783" w:type="dxa"/>
            <w:vAlign w:val="center"/>
          </w:tcPr>
          <w:p w14:paraId="102C7C3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泥炭沼泽碳库资源调查监测</w:t>
            </w:r>
          </w:p>
        </w:tc>
        <w:tc>
          <w:tcPr>
            <w:tcW w:w="943" w:type="dxa"/>
            <w:vAlign w:val="center"/>
          </w:tcPr>
          <w:p w14:paraId="7913AAD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79CD53D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3F2E336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48E7785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691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44F73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3783" w:type="dxa"/>
            <w:vAlign w:val="center"/>
          </w:tcPr>
          <w:p w14:paraId="3084673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黑颈鹤等鸟类迁徙繁殖及种群数量专项监测</w:t>
            </w:r>
          </w:p>
        </w:tc>
        <w:tc>
          <w:tcPr>
            <w:tcW w:w="943" w:type="dxa"/>
            <w:vAlign w:val="center"/>
          </w:tcPr>
          <w:p w14:paraId="146E6CD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0321906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1CFB7D0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31FC29E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1DB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5CC9B8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3783" w:type="dxa"/>
            <w:vAlign w:val="center"/>
          </w:tcPr>
          <w:p w14:paraId="1F9716B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水生生物监测</w:t>
            </w:r>
          </w:p>
        </w:tc>
        <w:tc>
          <w:tcPr>
            <w:tcW w:w="943" w:type="dxa"/>
            <w:vAlign w:val="center"/>
          </w:tcPr>
          <w:p w14:paraId="5DE1485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15A6204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0"/>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1973F1A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6B9039F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4AF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61B51C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3783" w:type="dxa"/>
            <w:vAlign w:val="center"/>
          </w:tcPr>
          <w:p w14:paraId="1337275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原住民游牧活动对生态和环境影响监测</w:t>
            </w:r>
          </w:p>
        </w:tc>
        <w:tc>
          <w:tcPr>
            <w:tcW w:w="943" w:type="dxa"/>
            <w:vAlign w:val="center"/>
          </w:tcPr>
          <w:p w14:paraId="5D42640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71B153B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0"/>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7B7A2D1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5C52091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403C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49B2D2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3783" w:type="dxa"/>
            <w:vAlign w:val="center"/>
          </w:tcPr>
          <w:p w14:paraId="4D2F8AC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生态旅游对保护区及黑颈鹤繁殖地影响监测</w:t>
            </w:r>
          </w:p>
        </w:tc>
        <w:tc>
          <w:tcPr>
            <w:tcW w:w="943" w:type="dxa"/>
            <w:vAlign w:val="center"/>
          </w:tcPr>
          <w:p w14:paraId="4E3D2E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226546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vAlign w:val="center"/>
          </w:tcPr>
          <w:p w14:paraId="0BCA528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3712B4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955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0F8EFE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3783" w:type="dxa"/>
            <w:vAlign w:val="center"/>
          </w:tcPr>
          <w:p w14:paraId="6B883F7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年度湿地监测</w:t>
            </w:r>
          </w:p>
        </w:tc>
        <w:tc>
          <w:tcPr>
            <w:tcW w:w="943" w:type="dxa"/>
            <w:shd w:val="clear" w:color="auto" w:fill="auto"/>
            <w:vAlign w:val="center"/>
          </w:tcPr>
          <w:p w14:paraId="39CD406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shd w:val="clear" w:color="auto" w:fill="auto"/>
            <w:vAlign w:val="center"/>
          </w:tcPr>
          <w:p w14:paraId="1C1478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w:t>
            </w:r>
          </w:p>
        </w:tc>
        <w:tc>
          <w:tcPr>
            <w:tcW w:w="1041" w:type="dxa"/>
            <w:shd w:val="clear" w:color="auto" w:fill="auto"/>
            <w:vAlign w:val="center"/>
          </w:tcPr>
          <w:p w14:paraId="7283B6E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05AAE5A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CA6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426CD0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w:t>
            </w:r>
          </w:p>
        </w:tc>
        <w:tc>
          <w:tcPr>
            <w:tcW w:w="3783" w:type="dxa"/>
            <w:vAlign w:val="center"/>
          </w:tcPr>
          <w:p w14:paraId="4F57A66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地下水位监测</w:t>
            </w:r>
          </w:p>
        </w:tc>
        <w:tc>
          <w:tcPr>
            <w:tcW w:w="943" w:type="dxa"/>
            <w:shd w:val="clear" w:color="auto" w:fill="auto"/>
            <w:vAlign w:val="center"/>
          </w:tcPr>
          <w:p w14:paraId="6F78F25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shd w:val="clear" w:color="auto" w:fill="auto"/>
            <w:vAlign w:val="center"/>
          </w:tcPr>
          <w:p w14:paraId="53B1847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041" w:type="dxa"/>
            <w:shd w:val="clear" w:color="auto" w:fill="auto"/>
            <w:vAlign w:val="center"/>
          </w:tcPr>
          <w:p w14:paraId="723FFE8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6608E2E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215774C3">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科研和监测工程</w:t>
      </w:r>
    </w:p>
    <w:p w14:paraId="561C4F3C">
      <w:pPr>
        <w:pStyle w:val="5"/>
        <w:keepNext w:val="0"/>
        <w:keepLines w:val="0"/>
        <w:pageBreakBefore w:val="0"/>
        <w:widowControl w:val="0"/>
        <w:kinsoku/>
        <w:wordWrap/>
        <w:overflowPunct/>
        <w:topLinePunct w:val="0"/>
        <w:autoSpaceDE/>
        <w:autoSpaceDN/>
        <w:bidi w:val="0"/>
        <w:adjustRightInd/>
        <w:snapToGrid/>
        <w:textAlignment w:val="auto"/>
        <w:outlineLvl w:val="3"/>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.2.</w:t>
      </w:r>
      <w:r>
        <w:rPr>
          <w:rFonts w:hint="eastAsia" w:ascii="Times New Roman" w:hAnsi="Times New Roman" w:cs="Times New Roman"/>
          <w:color w:val="auto"/>
          <w:highlight w:val="none"/>
          <w:lang w:val="en-US" w:eastAsia="zh-CN"/>
        </w:rPr>
        <w:t>2.1</w:t>
      </w:r>
      <w:r>
        <w:rPr>
          <w:rFonts w:hint="default" w:ascii="Times New Roman" w:hAnsi="Times New Roman" w:cs="Times New Roman"/>
          <w:color w:val="auto"/>
          <w:highlight w:val="none"/>
          <w:lang w:val="en-US" w:eastAsia="zh-CN"/>
        </w:rPr>
        <w:t>科研监测点</w:t>
      </w:r>
    </w:p>
    <w:p w14:paraId="477BA546">
      <w:pPr>
        <w:numPr>
          <w:ilvl w:val="0"/>
          <w:numId w:val="7"/>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生物多样性监测塔</w:t>
      </w:r>
    </w:p>
    <w:p w14:paraId="2216DC0D">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目前若尔盖已建有若尔盖高原湿地生态系统研究站，形成了以湿地草原为重点、辐射黄河源区的能量-水分-碳循环综合监测网络。建议依托现有研究站平台，在保护喀哈尔乔区域典型泥炭沼泽、湖泊湿地等生境增设5个湿地生物多样性监测塔台。主要用于构建“空—天—地”一体化监测网络，其核心监测内容涵盖生物多样性、生态环境及人为干扰三大方面。在生物监测上，塔台依托高清摄像与声纹识别系统，重点记录鸟类（如黑颈鹤、东方白鹳）的种类、数量及行为，并可捕捉狼等哺乳动物的活动影像。在环境监测上，塔台集成了气象、水文及水质传感器，实时采集温度、湿度、水位、pH值等指标，以评估湿地健康状态。此外，借助AI视觉识别与红外热成像，塔台还能自动识别并预警非法开垦、盗采泥炭、违规放牧等生态破坏行为，并对水位异常或火情等突发状况发出警报。部分科研塔台还配备碳通量仪器，用于测量湿地与大气间的二氧化碳交换，评估其碳汇功能。</w:t>
      </w:r>
    </w:p>
    <w:p w14:paraId="100AAA03">
      <w:pPr>
        <w:numPr>
          <w:ilvl w:val="0"/>
          <w:numId w:val="7"/>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气象自动观测站</w:t>
      </w:r>
    </w:p>
    <w:p w14:paraId="080D0D88">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保护区现有4个气象站，在喀哈尔乔区域增设3个6要素自动气象站，实现温度、湿度、风速风向、气压、降水量、太阳辐射的自动连续观测。设备需配备太阳能供电系统和4G无线传输模块，数据实时上传至云平台。重点监测高原湿地小气候变化规律及其对黑颈鹤等珍稀鸟类迁徙行为的影响，为生态预警和气候适应策略研究提供气象数据支撑。</w:t>
      </w:r>
    </w:p>
    <w:p w14:paraId="095B774E">
      <w:pPr>
        <w:numPr>
          <w:ilvl w:val="0"/>
          <w:numId w:val="7"/>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水质水文监测点</w:t>
      </w:r>
    </w:p>
    <w:p w14:paraId="3080C22A">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喀哈尔乔区域主要河流进出水口和湖泊典型断面补充3个水质水文监测点，配备多参数水质分析仪、雷达水位计和便携式流速仪。重点开展每月1次水质采样分析和高水位期加密监测，依托已有的11个水文水质监测站，系统掌握湿地水体富营养化程度变化趋势，评估水文情势变化对湿地生态系统的影响，为湿地水资源调度与管理提供决策依据。</w:t>
      </w:r>
    </w:p>
    <w:p w14:paraId="24DB82E3">
      <w:pPr>
        <w:numPr>
          <w:ilvl w:val="0"/>
          <w:numId w:val="7"/>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固定大样地</w:t>
      </w:r>
    </w:p>
    <w:p w14:paraId="06D58AC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目前保护区已基于生态大数据实施精准选址，围绕黑颈鹤栖息习性在觅食区、繁殖地布设了20个红外相机，并依托红外影像数据精准识别了物种活动热点10处。建议在此基础上，按照生态系统类型和植被分布格局系统布设20个长期固定监测样地，涵盖生物量监测样地、草原鼠虫害监测样地、外来入侵物种监测样地和景观格局监测样地。生物量样地需设置分层植被调查样方，配备便携式光合仪和根系采样器；鼠虫害样地采用无人机航拍结合地面样方调查，重点监测高原鼢鼠等鼠害密度与危害等级。通过年度定期复查，与现有的红外影像数据形成“天地空”一体化监测体系，掌握湿地-草甸生态系统结构与功能的动态变化规律。</w:t>
      </w:r>
    </w:p>
    <w:p w14:paraId="63A2D9F4">
      <w:pPr>
        <w:numPr>
          <w:ilvl w:val="0"/>
          <w:numId w:val="7"/>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鸟类观测台</w:t>
      </w:r>
    </w:p>
    <w:p w14:paraId="57F88760">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黑颈鹤集中繁殖区和迁徙停歇地补充建设2座隐蔽式鸟类观测台，配备80倍单筒望远镜、专业长焦单反相机和具有物种识别功能的高清监控摄像头。观测台内部设置观察记录区和小型科普展示区，实现黑颈鹤繁殖行为、种群数量、雏鸟成活率的长期监测。监测数据可与现有红外影像数据整合，同步记录斑头雁、赤麻鸭等伴生鸟类活动规律，为鸟类栖息地保护和精细化管理提供数据支撑。</w:t>
      </w:r>
    </w:p>
    <w:p w14:paraId="01A0582B">
      <w:pPr>
        <w:numPr>
          <w:ilvl w:val="0"/>
          <w:numId w:val="0"/>
        </w:numPr>
        <w:ind w:firstLine="562" w:firstLineChars="20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2-6</w:t>
      </w:r>
      <w:r>
        <w:rPr>
          <w:rFonts w:hint="default" w:ascii="Times New Roman" w:hAnsi="Times New Roman" w:cs="Times New Roman"/>
          <w:b/>
          <w:bCs/>
          <w:color w:val="auto"/>
          <w:highlight w:val="none"/>
          <w:lang w:eastAsia="zh-CN"/>
        </w:rPr>
        <w:t>保护区</w:t>
      </w:r>
      <w:r>
        <w:rPr>
          <w:rFonts w:hint="default" w:ascii="Times New Roman" w:hAnsi="Times New Roman" w:cs="Times New Roman"/>
          <w:b/>
          <w:bCs/>
          <w:color w:val="auto"/>
          <w:highlight w:val="none"/>
          <w:lang w:val="en-US" w:eastAsia="zh-CN"/>
        </w:rPr>
        <w:t>科研项目</w:t>
      </w:r>
      <w:r>
        <w:rPr>
          <w:rFonts w:hint="default" w:ascii="Times New Roman" w:hAnsi="Times New Roman" w:cs="Times New Roman"/>
          <w:b/>
          <w:bCs/>
          <w:color w:val="auto"/>
          <w:highlight w:val="none"/>
        </w:rPr>
        <w:t>表</w:t>
      </w:r>
    </w:p>
    <w:tbl>
      <w:tblPr>
        <w:tblStyle w:val="24"/>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3072"/>
        <w:gridCol w:w="942"/>
        <w:gridCol w:w="1001"/>
        <w:gridCol w:w="1039"/>
        <w:gridCol w:w="1160"/>
      </w:tblGrid>
      <w:tr w14:paraId="3A1D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Merge w:val="restart"/>
            <w:vAlign w:val="center"/>
          </w:tcPr>
          <w:p w14:paraId="165990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3072" w:type="dxa"/>
            <w:vMerge w:val="restart"/>
            <w:vAlign w:val="center"/>
          </w:tcPr>
          <w:p w14:paraId="62B2AD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942" w:type="dxa"/>
            <w:vMerge w:val="restart"/>
            <w:vAlign w:val="center"/>
          </w:tcPr>
          <w:p w14:paraId="155F78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001" w:type="dxa"/>
            <w:vMerge w:val="restart"/>
            <w:vAlign w:val="center"/>
          </w:tcPr>
          <w:p w14:paraId="141E7D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199" w:type="dxa"/>
            <w:gridSpan w:val="2"/>
            <w:vAlign w:val="center"/>
          </w:tcPr>
          <w:p w14:paraId="32CD8C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7E92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723" w:type="dxa"/>
            <w:vMerge w:val="continue"/>
            <w:vAlign w:val="center"/>
          </w:tcPr>
          <w:p w14:paraId="2797AD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3072" w:type="dxa"/>
            <w:vMerge w:val="continue"/>
            <w:vAlign w:val="center"/>
          </w:tcPr>
          <w:p w14:paraId="0E065D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42" w:type="dxa"/>
            <w:vMerge w:val="continue"/>
            <w:vAlign w:val="center"/>
          </w:tcPr>
          <w:p w14:paraId="6B8922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01" w:type="dxa"/>
            <w:vMerge w:val="continue"/>
            <w:vAlign w:val="center"/>
          </w:tcPr>
          <w:p w14:paraId="56946D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39" w:type="dxa"/>
            <w:vAlign w:val="center"/>
          </w:tcPr>
          <w:p w14:paraId="0EE1CD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160" w:type="dxa"/>
            <w:vAlign w:val="center"/>
          </w:tcPr>
          <w:p w14:paraId="14EE4B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1E95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Align w:val="center"/>
          </w:tcPr>
          <w:p w14:paraId="5D5EF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3072" w:type="dxa"/>
            <w:vAlign w:val="center"/>
          </w:tcPr>
          <w:p w14:paraId="5720F6D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生物多样性监测塔</w:t>
            </w:r>
          </w:p>
        </w:tc>
        <w:tc>
          <w:tcPr>
            <w:tcW w:w="942" w:type="dxa"/>
            <w:vAlign w:val="center"/>
          </w:tcPr>
          <w:p w14:paraId="2FFCDF9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座</w:t>
            </w:r>
          </w:p>
        </w:tc>
        <w:tc>
          <w:tcPr>
            <w:tcW w:w="1001" w:type="dxa"/>
            <w:vAlign w:val="center"/>
          </w:tcPr>
          <w:p w14:paraId="446002A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5</w:t>
            </w:r>
          </w:p>
        </w:tc>
        <w:tc>
          <w:tcPr>
            <w:tcW w:w="1039" w:type="dxa"/>
            <w:vAlign w:val="center"/>
          </w:tcPr>
          <w:p w14:paraId="3187F5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0" w:type="dxa"/>
            <w:vAlign w:val="center"/>
          </w:tcPr>
          <w:p w14:paraId="312B49D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C8E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Align w:val="center"/>
          </w:tcPr>
          <w:p w14:paraId="2BF8D1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3072" w:type="dxa"/>
            <w:vAlign w:val="center"/>
          </w:tcPr>
          <w:p w14:paraId="494E783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气象自动观测站</w:t>
            </w:r>
          </w:p>
        </w:tc>
        <w:tc>
          <w:tcPr>
            <w:tcW w:w="942" w:type="dxa"/>
            <w:vAlign w:val="center"/>
          </w:tcPr>
          <w:p w14:paraId="7E5585A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1" w:type="dxa"/>
            <w:vAlign w:val="center"/>
          </w:tcPr>
          <w:p w14:paraId="205A7A0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039" w:type="dxa"/>
            <w:vAlign w:val="center"/>
          </w:tcPr>
          <w:p w14:paraId="7DFEED1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0" w:type="dxa"/>
            <w:vAlign w:val="center"/>
          </w:tcPr>
          <w:p w14:paraId="7A493B5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6AD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Align w:val="center"/>
          </w:tcPr>
          <w:p w14:paraId="310A26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3072" w:type="dxa"/>
            <w:vAlign w:val="center"/>
          </w:tcPr>
          <w:p w14:paraId="2145031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水质水文监测点</w:t>
            </w:r>
          </w:p>
        </w:tc>
        <w:tc>
          <w:tcPr>
            <w:tcW w:w="942" w:type="dxa"/>
            <w:vAlign w:val="center"/>
          </w:tcPr>
          <w:p w14:paraId="0DD83DE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1" w:type="dxa"/>
            <w:vAlign w:val="center"/>
          </w:tcPr>
          <w:p w14:paraId="16DB1FE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039" w:type="dxa"/>
            <w:vAlign w:val="center"/>
          </w:tcPr>
          <w:p w14:paraId="36822C5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0" w:type="dxa"/>
            <w:vAlign w:val="center"/>
          </w:tcPr>
          <w:p w14:paraId="16F6A41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ACB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Align w:val="center"/>
          </w:tcPr>
          <w:p w14:paraId="5A339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3072" w:type="dxa"/>
            <w:vAlign w:val="center"/>
          </w:tcPr>
          <w:p w14:paraId="140CDB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固定大样地</w:t>
            </w:r>
          </w:p>
        </w:tc>
        <w:tc>
          <w:tcPr>
            <w:tcW w:w="942" w:type="dxa"/>
            <w:vAlign w:val="center"/>
          </w:tcPr>
          <w:p w14:paraId="23C927B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1" w:type="dxa"/>
            <w:vAlign w:val="center"/>
          </w:tcPr>
          <w:p w14:paraId="56E88FA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w:t>
            </w:r>
          </w:p>
        </w:tc>
        <w:tc>
          <w:tcPr>
            <w:tcW w:w="1039" w:type="dxa"/>
            <w:vAlign w:val="center"/>
          </w:tcPr>
          <w:p w14:paraId="2D62510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0" w:type="dxa"/>
            <w:vAlign w:val="center"/>
          </w:tcPr>
          <w:p w14:paraId="6BFBCD0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685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Align w:val="center"/>
          </w:tcPr>
          <w:p w14:paraId="103E75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3072" w:type="dxa"/>
            <w:vAlign w:val="center"/>
          </w:tcPr>
          <w:p w14:paraId="4346271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鸟类观测台</w:t>
            </w:r>
          </w:p>
        </w:tc>
        <w:tc>
          <w:tcPr>
            <w:tcW w:w="942" w:type="dxa"/>
            <w:vAlign w:val="center"/>
          </w:tcPr>
          <w:p w14:paraId="09CE573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1" w:type="dxa"/>
            <w:vAlign w:val="center"/>
          </w:tcPr>
          <w:p w14:paraId="18B984F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1039" w:type="dxa"/>
            <w:vAlign w:val="center"/>
          </w:tcPr>
          <w:p w14:paraId="4A062C9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0" w:type="dxa"/>
            <w:vAlign w:val="center"/>
          </w:tcPr>
          <w:p w14:paraId="42F5C68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74E16CCC">
      <w:pPr>
        <w:pStyle w:val="5"/>
        <w:keepNext w:val="0"/>
        <w:keepLines w:val="0"/>
        <w:pageBreakBefore w:val="0"/>
        <w:widowControl w:val="0"/>
        <w:kinsoku/>
        <w:wordWrap/>
        <w:overflowPunct/>
        <w:topLinePunct w:val="0"/>
        <w:autoSpaceDE/>
        <w:autoSpaceDN/>
        <w:bidi w:val="0"/>
        <w:adjustRightInd/>
        <w:snapToGrid/>
        <w:textAlignment w:val="auto"/>
        <w:outlineLvl w:val="3"/>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4.2.2.2</w:t>
      </w:r>
      <w:r>
        <w:rPr>
          <w:rFonts w:hint="default" w:ascii="Times New Roman" w:hAnsi="Times New Roman" w:cs="Times New Roman"/>
          <w:color w:val="auto"/>
          <w:highlight w:val="none"/>
          <w:lang w:val="en-US" w:eastAsia="zh-CN"/>
        </w:rPr>
        <w:t>野外监测设施</w:t>
      </w:r>
    </w:p>
    <w:p w14:paraId="7348ACBD">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AI识别功能超高清红外相机</w:t>
      </w:r>
    </w:p>
    <w:p w14:paraId="11761527">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尔盖保护区目前已系统化布设红外相机20台，累计梳理有效影像数据5160条，精准识别物种活动热点10处、黑颈鹤繁殖巢位6个。建议在此基础上大幅加密布设至200台具有AI识别功能的超高清红外相机，覆盖黑颈鹤核心觅食区、繁殖地及重要兽类迁徙廊道等关键节点。</w:t>
      </w:r>
    </w:p>
    <w:p w14:paraId="03AAED07">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低功耗智能感知杆</w:t>
      </w:r>
    </w:p>
    <w:p w14:paraId="619A1B97">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低功耗智能感知杆的核心作用是为在野外部署电子设备提供物理载体和能源网络。它内置的太阳能供电系统和4G/NB-IoT通信模块，解决了湿地深处无电无网的难题，确保红外摄像头和声纹设备能7×24小时长期稳定运行。同时一根杆可以搭载高清摄像头、环境传感器、鸟类声纹识别仪、甚至广播喇叭等多种设备，实现“一杆多能”；通过低功耗芯片、智能休眠和太阳能供电，能在野外无电网、超低温（如-30℃）等恶劣环境下，靠电池续航3-8年无需频繁维护。在保护区内结合AI识别功能超高清红外相机布设200个。</w:t>
      </w:r>
    </w:p>
    <w:p w14:paraId="03D796DE">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鸟类声纹识别系统</w:t>
      </w:r>
    </w:p>
    <w:p w14:paraId="1E843032">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保护区不同生境类型（沼泽、湖泊、草甸）布设6套鸟类声纹智能识别系统。系统由高灵敏度麦克风阵列、录音设备和AI识别终端组成，能够自动捕捉并分析环境中的鸟类鸣叫声，通过比对预存的声纹数据库实现物种快速识别。重点监测黑颈鹤、斑头雁、赤麻鸭等湿地鸟类的鸣叫频次、活动节律及繁殖期行为变化。系统部署时需考虑地形地貌和气候条件，确保设备安全性和隐蔽性。该系统与红外相机形成“视听互补”监测体系，可在夜间或植被遮挡条件下有效补充视觉监测盲区。</w:t>
      </w:r>
    </w:p>
    <w:p w14:paraId="64F71CE4">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物候自动观测相机</w:t>
      </w:r>
    </w:p>
    <w:p w14:paraId="4965A93B">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保护区典型植被类型区（沼泽草甸、高寒草甸、湖畔植被带）布设10套物候自动观测相机。相机需具备定时拍摄、云端自动上传功能，可设置每小时或每日固定时间自动拍摄植被样方照片。重点记录黑颈鹤食源植物的萌芽、开花、结实、枯黄等关键物候期，结合气象数据分析气候变化对物候的影响及其对黑颈鹤食物资源可得性的连锁效应。物候数据与卫星遥感植被指数相互印证，为栖息地质量评估提供地面验证数据。</w:t>
      </w:r>
    </w:p>
    <w:p w14:paraId="385AF266">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专业级无人机</w:t>
      </w:r>
    </w:p>
    <w:p w14:paraId="3A55AE53">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补充采购2架行业级无人机，配备多光谱相机、热红外成像仪和高清变焦相机。主要用于黑颈鹤巢位普查、湿地植被覆盖分类、草原鼠虫害监测、人为干扰排查等任务，实现对地表植被长势、草畜平衡状态、湿地变化、草地沙化等的监测评估。</w:t>
      </w:r>
    </w:p>
    <w:p w14:paraId="3B3B9B57">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功能型无人船</w:t>
      </w:r>
    </w:p>
    <w:p w14:paraId="65F16B7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购2艘无人船，集成自动驾驶、环境感知和任务执行能力，能够自主完成水质监测、生态巡护、污染清理等多种任务，船上搭载的高清摄像头上可看鸟类，下可探水底。利用AI图像识别技术，能自动识别水鸟种类，也能看清并分辨水下的鱼类、植被情况，为生物多样性监测提供一手数据。结合无人机和机器狗，可建设“陆、水、空”立体监控网络，科学保护湿地。</w:t>
      </w:r>
    </w:p>
    <w:p w14:paraId="242AC655">
      <w:pPr>
        <w:numPr>
          <w:ilvl w:val="0"/>
          <w:numId w:val="8"/>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其他野外监测设备</w:t>
      </w:r>
    </w:p>
    <w:p w14:paraId="71CE7E1B">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满足各个保护站科研人员对黑颈鹤等珍稀鸟类进行精细化行为观察和影像记录的需求，建议配备4台专业级长焦相机、5套智能摄影云台、10架望远镜、电动皮划艇2艘，同时配合鸟类环志工作，识别关键迁徙廊道和停歇点，为跨境联合保护和栖息地管理提供精准数据支撑。</w:t>
      </w:r>
    </w:p>
    <w:p w14:paraId="1D8299D4">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2-7</w:t>
      </w:r>
      <w:r>
        <w:rPr>
          <w:rFonts w:hint="default" w:ascii="Times New Roman" w:hAnsi="Times New Roman" w:cs="Times New Roman"/>
          <w:b/>
          <w:bCs/>
          <w:color w:val="auto"/>
          <w:highlight w:val="none"/>
          <w:lang w:eastAsia="zh-CN"/>
        </w:rPr>
        <w:t>保护区</w:t>
      </w:r>
      <w:r>
        <w:rPr>
          <w:rFonts w:hint="default" w:ascii="Times New Roman" w:hAnsi="Times New Roman" w:cs="Times New Roman"/>
          <w:b/>
          <w:bCs/>
          <w:color w:val="auto"/>
          <w:highlight w:val="none"/>
          <w:lang w:val="en-US" w:eastAsia="zh-CN"/>
        </w:rPr>
        <w:t>野外监测设施设备</w:t>
      </w:r>
      <w:r>
        <w:rPr>
          <w:rFonts w:hint="default" w:ascii="Times New Roman" w:hAnsi="Times New Roman" w:cs="Times New Roman"/>
          <w:b/>
          <w:bCs/>
          <w:color w:val="auto"/>
          <w:highlight w:val="none"/>
        </w:rPr>
        <w:t>表</w:t>
      </w:r>
    </w:p>
    <w:tbl>
      <w:tblPr>
        <w:tblStyle w:val="24"/>
        <w:tblW w:w="7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2938"/>
        <w:gridCol w:w="943"/>
        <w:gridCol w:w="1003"/>
        <w:gridCol w:w="1041"/>
        <w:gridCol w:w="1161"/>
      </w:tblGrid>
      <w:tr w14:paraId="46E9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879" w:type="dxa"/>
            <w:vMerge w:val="restart"/>
            <w:vAlign w:val="center"/>
          </w:tcPr>
          <w:p w14:paraId="0349B6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2938" w:type="dxa"/>
            <w:vMerge w:val="restart"/>
            <w:vAlign w:val="center"/>
          </w:tcPr>
          <w:p w14:paraId="791123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943" w:type="dxa"/>
            <w:vMerge w:val="restart"/>
            <w:vAlign w:val="center"/>
          </w:tcPr>
          <w:p w14:paraId="580B8C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003" w:type="dxa"/>
            <w:vMerge w:val="restart"/>
            <w:vAlign w:val="center"/>
          </w:tcPr>
          <w:p w14:paraId="2EF5FE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202" w:type="dxa"/>
            <w:gridSpan w:val="2"/>
            <w:vAlign w:val="center"/>
          </w:tcPr>
          <w:p w14:paraId="51F324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0632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9" w:type="dxa"/>
            <w:vMerge w:val="continue"/>
            <w:vAlign w:val="center"/>
          </w:tcPr>
          <w:p w14:paraId="3773A2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2938" w:type="dxa"/>
            <w:vMerge w:val="continue"/>
            <w:vAlign w:val="center"/>
          </w:tcPr>
          <w:p w14:paraId="4B869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43" w:type="dxa"/>
            <w:vMerge w:val="continue"/>
            <w:vAlign w:val="center"/>
          </w:tcPr>
          <w:p w14:paraId="4228E8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03" w:type="dxa"/>
            <w:vMerge w:val="continue"/>
            <w:vAlign w:val="center"/>
          </w:tcPr>
          <w:p w14:paraId="3C8A7F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41" w:type="dxa"/>
            <w:vAlign w:val="center"/>
          </w:tcPr>
          <w:p w14:paraId="1B3EC8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161" w:type="dxa"/>
            <w:vAlign w:val="center"/>
          </w:tcPr>
          <w:p w14:paraId="167F36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4D74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79" w:type="dxa"/>
            <w:vAlign w:val="center"/>
          </w:tcPr>
          <w:p w14:paraId="2004BF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2938" w:type="dxa"/>
            <w:vAlign w:val="center"/>
          </w:tcPr>
          <w:p w14:paraId="4742696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AI识别功能超高清红外相机</w:t>
            </w:r>
          </w:p>
        </w:tc>
        <w:tc>
          <w:tcPr>
            <w:tcW w:w="943" w:type="dxa"/>
            <w:vAlign w:val="center"/>
          </w:tcPr>
          <w:p w14:paraId="3BDF666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3" w:type="dxa"/>
            <w:vAlign w:val="center"/>
          </w:tcPr>
          <w:p w14:paraId="0BA5C47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200</w:t>
            </w:r>
          </w:p>
        </w:tc>
        <w:tc>
          <w:tcPr>
            <w:tcW w:w="1041" w:type="dxa"/>
            <w:vAlign w:val="center"/>
          </w:tcPr>
          <w:p w14:paraId="5580667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6C36FA7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86E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6FACE9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2938" w:type="dxa"/>
            <w:vAlign w:val="center"/>
          </w:tcPr>
          <w:p w14:paraId="409C95C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低功耗智能感知杆</w:t>
            </w:r>
          </w:p>
        </w:tc>
        <w:tc>
          <w:tcPr>
            <w:tcW w:w="943" w:type="dxa"/>
            <w:vAlign w:val="center"/>
          </w:tcPr>
          <w:p w14:paraId="6165079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3" w:type="dxa"/>
            <w:vAlign w:val="center"/>
          </w:tcPr>
          <w:p w14:paraId="1461E50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200</w:t>
            </w:r>
          </w:p>
        </w:tc>
        <w:tc>
          <w:tcPr>
            <w:tcW w:w="1041" w:type="dxa"/>
            <w:vAlign w:val="center"/>
          </w:tcPr>
          <w:p w14:paraId="03AEC96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523B101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74D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6B260A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2938" w:type="dxa"/>
            <w:vAlign w:val="center"/>
          </w:tcPr>
          <w:p w14:paraId="72F35A5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鸟类声纹识别系统</w:t>
            </w:r>
          </w:p>
        </w:tc>
        <w:tc>
          <w:tcPr>
            <w:tcW w:w="943" w:type="dxa"/>
            <w:vAlign w:val="center"/>
          </w:tcPr>
          <w:p w14:paraId="6340B61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1003" w:type="dxa"/>
            <w:vAlign w:val="center"/>
          </w:tcPr>
          <w:p w14:paraId="1942DA7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6</w:t>
            </w:r>
          </w:p>
        </w:tc>
        <w:tc>
          <w:tcPr>
            <w:tcW w:w="1041" w:type="dxa"/>
            <w:vAlign w:val="center"/>
          </w:tcPr>
          <w:p w14:paraId="49C949F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06E2972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0F3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65A094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2938" w:type="dxa"/>
            <w:vAlign w:val="center"/>
          </w:tcPr>
          <w:p w14:paraId="386C8E4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物候自动观测相机</w:t>
            </w:r>
          </w:p>
        </w:tc>
        <w:tc>
          <w:tcPr>
            <w:tcW w:w="943" w:type="dxa"/>
            <w:vAlign w:val="center"/>
          </w:tcPr>
          <w:p w14:paraId="5116EAE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3" w:type="dxa"/>
            <w:vAlign w:val="center"/>
          </w:tcPr>
          <w:p w14:paraId="5D421B1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1041" w:type="dxa"/>
            <w:vAlign w:val="center"/>
          </w:tcPr>
          <w:p w14:paraId="342E2D0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0DFD115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784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72C7DE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2938" w:type="dxa"/>
            <w:vAlign w:val="center"/>
          </w:tcPr>
          <w:p w14:paraId="49260B4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专业级无人机</w:t>
            </w:r>
          </w:p>
        </w:tc>
        <w:tc>
          <w:tcPr>
            <w:tcW w:w="943" w:type="dxa"/>
            <w:vAlign w:val="center"/>
          </w:tcPr>
          <w:p w14:paraId="543F712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架</w:t>
            </w:r>
          </w:p>
        </w:tc>
        <w:tc>
          <w:tcPr>
            <w:tcW w:w="1003" w:type="dxa"/>
            <w:vAlign w:val="center"/>
          </w:tcPr>
          <w:p w14:paraId="41F8982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1041" w:type="dxa"/>
            <w:vAlign w:val="center"/>
          </w:tcPr>
          <w:p w14:paraId="2CC7947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40BB79B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4064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691D6A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2938" w:type="dxa"/>
            <w:vAlign w:val="center"/>
          </w:tcPr>
          <w:p w14:paraId="7E04AD7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功能型无人船</w:t>
            </w:r>
          </w:p>
        </w:tc>
        <w:tc>
          <w:tcPr>
            <w:tcW w:w="943" w:type="dxa"/>
            <w:vAlign w:val="center"/>
          </w:tcPr>
          <w:p w14:paraId="3B2D4C3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艘</w:t>
            </w:r>
          </w:p>
        </w:tc>
        <w:tc>
          <w:tcPr>
            <w:tcW w:w="1003" w:type="dxa"/>
            <w:vAlign w:val="center"/>
          </w:tcPr>
          <w:p w14:paraId="41BE953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1041" w:type="dxa"/>
            <w:shd w:val="clear" w:color="auto" w:fill="auto"/>
            <w:vAlign w:val="center"/>
          </w:tcPr>
          <w:p w14:paraId="5124D52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6F4E3F5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B9F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182661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2938" w:type="dxa"/>
            <w:vAlign w:val="center"/>
          </w:tcPr>
          <w:p w14:paraId="0B56D05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专业级长焦相机</w:t>
            </w:r>
          </w:p>
        </w:tc>
        <w:tc>
          <w:tcPr>
            <w:tcW w:w="943" w:type="dxa"/>
            <w:vAlign w:val="center"/>
          </w:tcPr>
          <w:p w14:paraId="4B05EBF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台</w:t>
            </w:r>
          </w:p>
        </w:tc>
        <w:tc>
          <w:tcPr>
            <w:tcW w:w="1003" w:type="dxa"/>
            <w:vAlign w:val="center"/>
          </w:tcPr>
          <w:p w14:paraId="7569358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1041" w:type="dxa"/>
            <w:shd w:val="clear" w:color="auto" w:fill="auto"/>
            <w:vAlign w:val="center"/>
          </w:tcPr>
          <w:p w14:paraId="144CC3E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1F6A7BB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043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568C3D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w:t>
            </w:r>
          </w:p>
        </w:tc>
        <w:tc>
          <w:tcPr>
            <w:tcW w:w="2938" w:type="dxa"/>
            <w:vAlign w:val="center"/>
          </w:tcPr>
          <w:p w14:paraId="147D33C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智能摄影云台</w:t>
            </w:r>
          </w:p>
        </w:tc>
        <w:tc>
          <w:tcPr>
            <w:tcW w:w="943" w:type="dxa"/>
            <w:vAlign w:val="center"/>
          </w:tcPr>
          <w:p w14:paraId="492DC50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台</w:t>
            </w:r>
          </w:p>
        </w:tc>
        <w:tc>
          <w:tcPr>
            <w:tcW w:w="1003" w:type="dxa"/>
            <w:vAlign w:val="center"/>
          </w:tcPr>
          <w:p w14:paraId="7665DEC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5</w:t>
            </w:r>
          </w:p>
        </w:tc>
        <w:tc>
          <w:tcPr>
            <w:tcW w:w="1041" w:type="dxa"/>
            <w:shd w:val="clear" w:color="auto" w:fill="auto"/>
            <w:vAlign w:val="center"/>
          </w:tcPr>
          <w:p w14:paraId="5C1852D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7196774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E14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6AB4AB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9</w:t>
            </w:r>
          </w:p>
        </w:tc>
        <w:tc>
          <w:tcPr>
            <w:tcW w:w="2938" w:type="dxa"/>
            <w:vAlign w:val="center"/>
          </w:tcPr>
          <w:p w14:paraId="6DC8A72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望远镜</w:t>
            </w:r>
          </w:p>
        </w:tc>
        <w:tc>
          <w:tcPr>
            <w:tcW w:w="943" w:type="dxa"/>
            <w:vAlign w:val="center"/>
          </w:tcPr>
          <w:p w14:paraId="2EA74E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1003" w:type="dxa"/>
            <w:vAlign w:val="center"/>
          </w:tcPr>
          <w:p w14:paraId="46CC676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1041" w:type="dxa"/>
            <w:shd w:val="clear" w:color="auto" w:fill="auto"/>
            <w:vAlign w:val="center"/>
          </w:tcPr>
          <w:p w14:paraId="14D4405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0"/>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4EDE2E1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315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65DFE4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10</w:t>
            </w:r>
          </w:p>
        </w:tc>
        <w:tc>
          <w:tcPr>
            <w:tcW w:w="2938" w:type="dxa"/>
            <w:vAlign w:val="center"/>
          </w:tcPr>
          <w:p w14:paraId="129E089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电动皮划艇</w:t>
            </w:r>
          </w:p>
        </w:tc>
        <w:tc>
          <w:tcPr>
            <w:tcW w:w="943" w:type="dxa"/>
            <w:vAlign w:val="center"/>
          </w:tcPr>
          <w:p w14:paraId="777BB9D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艘</w:t>
            </w:r>
          </w:p>
        </w:tc>
        <w:tc>
          <w:tcPr>
            <w:tcW w:w="1003" w:type="dxa"/>
            <w:vAlign w:val="center"/>
          </w:tcPr>
          <w:p w14:paraId="3AD39DD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1041" w:type="dxa"/>
            <w:shd w:val="clear" w:color="auto" w:fill="auto"/>
            <w:vAlign w:val="center"/>
          </w:tcPr>
          <w:p w14:paraId="163A036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shd w:val="clear" w:color="auto" w:fill="auto"/>
            <w:vAlign w:val="center"/>
          </w:tcPr>
          <w:p w14:paraId="081E18D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61B99027">
      <w:pPr>
        <w:pStyle w:val="5"/>
        <w:keepNext w:val="0"/>
        <w:keepLines w:val="0"/>
        <w:pageBreakBefore w:val="0"/>
        <w:widowControl w:val="0"/>
        <w:kinsoku/>
        <w:wordWrap/>
        <w:overflowPunct/>
        <w:topLinePunct w:val="0"/>
        <w:autoSpaceDE/>
        <w:autoSpaceDN/>
        <w:bidi w:val="0"/>
        <w:adjustRightInd/>
        <w:snapToGrid/>
        <w:textAlignment w:val="auto"/>
        <w:outlineLvl w:val="3"/>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4.2.2.3</w:t>
      </w:r>
      <w:r>
        <w:rPr>
          <w:rFonts w:hint="default" w:ascii="Times New Roman" w:hAnsi="Times New Roman" w:cs="Times New Roman"/>
          <w:color w:val="auto"/>
          <w:highlight w:val="none"/>
          <w:lang w:val="en-US" w:eastAsia="zh-CN"/>
        </w:rPr>
        <w:t>科研仪器设备</w:t>
      </w:r>
    </w:p>
    <w:p w14:paraId="211AA57C">
      <w:pPr>
        <w:numPr>
          <w:ilvl w:val="0"/>
          <w:numId w:val="9"/>
        </w:numPr>
        <w:ind w:left="-484" w:leftChars="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“湿地一体化智慧监测平台”升级</w:t>
      </w:r>
    </w:p>
    <w:p w14:paraId="2F29824A">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若尔盖保护区管理局已建成“智慧一体化监测平台”，形成了以气象、水文、水质、红外相机等监测设备为基础的全天候立体化监测网络。</w:t>
      </w:r>
    </w:p>
    <w:p w14:paraId="3A7705DD">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升级专业级GIS系统，集成倾斜航空影像、无人机航拍数据、卫星遥感影像等空间数据，构建保护区全覆盖的高精度实景三维模型；在现有平台基础上进行功能升级，打造新一代智慧化综合管理平台。</w:t>
      </w:r>
    </w:p>
    <w:p w14:paraId="0EB98E1D">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整合新增设的气象监测点、水质水文监测点、红外相机、声纹识别系统、物候相机等全部监测设备数据，实现多源异构数据的统一接入、存储与可视化展示。</w:t>
      </w:r>
    </w:p>
    <w:p w14:paraId="11091498">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升级AI物种智能识别系统，利用深度学习算法实现对野生动物影像的自动化识别与分类。系统需配备深度学习服务器，预训练黑颈鹤、斑头雁、赤麻鸭、狼、高原鼢鼠等若尔盖典型物种识别模型，支持对红外相机图像和声纹数据的自动标注与分类。主要功能包括：红外影像物种自动识别、鸟类鸣叫声纹比对识别、个体重识别（基于斑纹特征）、物种活动热点自动探测等。系统应具备模型迭代训练能力，随着数据积累不断优化识别准确率。</w:t>
      </w:r>
    </w:p>
    <w:p w14:paraId="7FA6AB87">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扩充云存储和算力资源，满足5-10年监测周期内海量影像数据的存储与处理需求，用于存放红外相机影像、声纹录音、无人机航拍影像、物候照片等数据，并建立自动备份机制。算力资源方面建议配置GPU算力集群，支撑AI模型训练与实景三维模型渲染。云资源应采用混合云架构：核心敏感数据存储于本地服务器，非敏感数据及算力任务可依托省级政务云或科研云平台，实现弹性扩容与成本优化。</w:t>
      </w:r>
    </w:p>
    <w:p w14:paraId="2627A962">
      <w:pPr>
        <w:numPr>
          <w:ilvl w:val="0"/>
          <w:numId w:val="9"/>
        </w:numPr>
        <w:ind w:left="-484" w:leftChars="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公众展示互动重点/展示大屏</w:t>
      </w:r>
    </w:p>
    <w:p w14:paraId="2B9EFDD8">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配合“国家生态文明教育基地”创建工作，建议在保护区管理局、花湖游客中心等部署公众展示互动系统3套。核心设备包括：高清LED展示大屏、多点触控互动一体机、VR/AR体验设备。展示内容涵盖：保护区实景三维漫游、黑颈鹤迁徙轨迹动态演示、红外相机实时画面选播、生态修复前后对比等。系统应支持藏汉双语切换，满足民族地区公众科普需求。互动环节可设置“鸟类识别挑战赛”等寓教于乐的科普游戏，增强公众参与感。大屏系统与智慧监测平台数据对接，可实时展示保护区生态环境质量指数，让公众直观感受保护成效，提升生态保护的社会影响力。</w:t>
      </w:r>
    </w:p>
    <w:p w14:paraId="57060F30">
      <w:pPr>
        <w:pStyle w:val="5"/>
        <w:keepNext w:val="0"/>
        <w:keepLines w:val="0"/>
        <w:pageBreakBefore w:val="0"/>
        <w:widowControl w:val="0"/>
        <w:kinsoku/>
        <w:wordWrap/>
        <w:overflowPunct/>
        <w:topLinePunct w:val="0"/>
        <w:autoSpaceDE/>
        <w:autoSpaceDN/>
        <w:bidi w:val="0"/>
        <w:adjustRightInd/>
        <w:snapToGrid/>
        <w:textAlignment w:val="auto"/>
        <w:outlineLvl w:val="3"/>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4.2.2.4</w:t>
      </w:r>
      <w:r>
        <w:rPr>
          <w:rFonts w:hint="default" w:ascii="Times New Roman" w:hAnsi="Times New Roman" w:cs="Times New Roman"/>
          <w:color w:val="auto"/>
          <w:highlight w:val="none"/>
          <w:lang w:val="en-US" w:eastAsia="zh-CN"/>
        </w:rPr>
        <w:t>标本制作</w:t>
      </w:r>
    </w:p>
    <w:p w14:paraId="1B075F8E">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系统保存若尔盖湿地生物多样性本底资料，建议开展200份动植物及生态标本的系统制作工作。重点制作方向包括：一是植物标本100份，涵盖湿地优势植物（如木里苔草、藏嵩草等）及黑颈鹤食源植物（如蕨麻等），采用腊叶标本与浸制标本相结合的方式保存；二是动物标本80份，以鸟类（黑颈鹤、斑头雁等）的羽毛、骨骼及小型兽类（高原鼢鼠等）的形态标本为主；三是土壤与泥炭样本20份，用于反映湿地碳库特征。制作过程中需配备标本采集工具（枝剪、标本夹、捕虫网）、烘干设备及专业保存柜（防虫、防潮），并建立电子数据库，对每份标本的采集地、经纬度、生境信息进行数字化记录，为科研监测和科普展示提供实物流证。</w:t>
      </w:r>
    </w:p>
    <w:p w14:paraId="168EA735">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2-8</w:t>
      </w:r>
      <w:r>
        <w:rPr>
          <w:rFonts w:hint="default" w:ascii="Times New Roman" w:hAnsi="Times New Roman" w:cs="Times New Roman"/>
          <w:b/>
          <w:bCs/>
          <w:color w:val="auto"/>
          <w:highlight w:val="none"/>
          <w:lang w:eastAsia="zh-CN"/>
        </w:rPr>
        <w:t>保护区</w:t>
      </w:r>
      <w:r>
        <w:rPr>
          <w:rFonts w:hint="default" w:ascii="Times New Roman" w:hAnsi="Times New Roman" w:cs="Times New Roman"/>
          <w:b/>
          <w:bCs/>
          <w:color w:val="auto"/>
          <w:highlight w:val="none"/>
          <w:lang w:val="en-US" w:eastAsia="zh-CN"/>
        </w:rPr>
        <w:t>科研仪器设备</w:t>
      </w:r>
      <w:r>
        <w:rPr>
          <w:rFonts w:hint="default" w:ascii="Times New Roman" w:hAnsi="Times New Roman" w:cs="Times New Roman"/>
          <w:b/>
          <w:bCs/>
          <w:color w:val="auto"/>
          <w:highlight w:val="none"/>
        </w:rPr>
        <w:t>表</w:t>
      </w:r>
    </w:p>
    <w:tbl>
      <w:tblPr>
        <w:tblStyle w:val="24"/>
        <w:tblW w:w="7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938"/>
        <w:gridCol w:w="943"/>
        <w:gridCol w:w="1003"/>
        <w:gridCol w:w="1041"/>
        <w:gridCol w:w="1161"/>
      </w:tblGrid>
      <w:tr w14:paraId="5267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845" w:type="dxa"/>
            <w:vMerge w:val="restart"/>
            <w:vAlign w:val="center"/>
          </w:tcPr>
          <w:p w14:paraId="50659E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2938" w:type="dxa"/>
            <w:vMerge w:val="restart"/>
            <w:vAlign w:val="center"/>
          </w:tcPr>
          <w:p w14:paraId="6D473D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943" w:type="dxa"/>
            <w:vMerge w:val="restart"/>
            <w:vAlign w:val="center"/>
          </w:tcPr>
          <w:p w14:paraId="348201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003" w:type="dxa"/>
            <w:vMerge w:val="restart"/>
            <w:vAlign w:val="center"/>
          </w:tcPr>
          <w:p w14:paraId="540819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202" w:type="dxa"/>
            <w:gridSpan w:val="2"/>
            <w:vAlign w:val="center"/>
          </w:tcPr>
          <w:p w14:paraId="59E238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554E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dxa"/>
            <w:vMerge w:val="continue"/>
            <w:vAlign w:val="center"/>
          </w:tcPr>
          <w:p w14:paraId="278BA2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2938" w:type="dxa"/>
            <w:vMerge w:val="continue"/>
            <w:vAlign w:val="center"/>
          </w:tcPr>
          <w:p w14:paraId="6F8D4A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43" w:type="dxa"/>
            <w:vMerge w:val="continue"/>
            <w:vAlign w:val="center"/>
          </w:tcPr>
          <w:p w14:paraId="3B0140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03" w:type="dxa"/>
            <w:vMerge w:val="continue"/>
            <w:vAlign w:val="center"/>
          </w:tcPr>
          <w:p w14:paraId="22D1FF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41" w:type="dxa"/>
            <w:vAlign w:val="center"/>
          </w:tcPr>
          <w:p w14:paraId="779134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161" w:type="dxa"/>
            <w:vAlign w:val="center"/>
          </w:tcPr>
          <w:p w14:paraId="06477C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6EE1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45" w:type="dxa"/>
            <w:vAlign w:val="center"/>
          </w:tcPr>
          <w:p w14:paraId="548659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2938" w:type="dxa"/>
            <w:vAlign w:val="center"/>
          </w:tcPr>
          <w:p w14:paraId="0173E25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“湿地一体化智慧监测平台”升级</w:t>
            </w:r>
          </w:p>
        </w:tc>
        <w:tc>
          <w:tcPr>
            <w:tcW w:w="943" w:type="dxa"/>
            <w:vAlign w:val="center"/>
          </w:tcPr>
          <w:p w14:paraId="172AD4F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003" w:type="dxa"/>
            <w:vAlign w:val="center"/>
          </w:tcPr>
          <w:p w14:paraId="6A9DB73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041" w:type="dxa"/>
            <w:vAlign w:val="center"/>
          </w:tcPr>
          <w:p w14:paraId="21F7DC2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51B7D83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014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5" w:type="dxa"/>
            <w:vAlign w:val="center"/>
          </w:tcPr>
          <w:p w14:paraId="31247E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2938" w:type="dxa"/>
            <w:vAlign w:val="center"/>
          </w:tcPr>
          <w:p w14:paraId="7EC9AB2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公众展示互动大屏</w:t>
            </w:r>
          </w:p>
        </w:tc>
        <w:tc>
          <w:tcPr>
            <w:tcW w:w="943" w:type="dxa"/>
            <w:vAlign w:val="center"/>
          </w:tcPr>
          <w:p w14:paraId="25EDAB6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1003" w:type="dxa"/>
            <w:vAlign w:val="center"/>
          </w:tcPr>
          <w:p w14:paraId="0999E2E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041" w:type="dxa"/>
            <w:vAlign w:val="center"/>
          </w:tcPr>
          <w:p w14:paraId="481A603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7414C32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092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5" w:type="dxa"/>
            <w:vAlign w:val="center"/>
          </w:tcPr>
          <w:p w14:paraId="48379F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2938" w:type="dxa"/>
            <w:vAlign w:val="center"/>
          </w:tcPr>
          <w:p w14:paraId="7FDC1AA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标本采集制作存储工具</w:t>
            </w:r>
          </w:p>
        </w:tc>
        <w:tc>
          <w:tcPr>
            <w:tcW w:w="943" w:type="dxa"/>
            <w:vAlign w:val="center"/>
          </w:tcPr>
          <w:p w14:paraId="6A3A1CC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1003" w:type="dxa"/>
            <w:vAlign w:val="center"/>
          </w:tcPr>
          <w:p w14:paraId="13F1A79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5</w:t>
            </w:r>
          </w:p>
        </w:tc>
        <w:tc>
          <w:tcPr>
            <w:tcW w:w="1041" w:type="dxa"/>
            <w:vAlign w:val="center"/>
          </w:tcPr>
          <w:p w14:paraId="6D2C982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35CA1E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790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5" w:type="dxa"/>
            <w:vAlign w:val="center"/>
          </w:tcPr>
          <w:p w14:paraId="57CFF3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2938" w:type="dxa"/>
            <w:vAlign w:val="center"/>
          </w:tcPr>
          <w:p w14:paraId="6F95126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标本制作</w:t>
            </w:r>
          </w:p>
        </w:tc>
        <w:tc>
          <w:tcPr>
            <w:tcW w:w="943" w:type="dxa"/>
            <w:vAlign w:val="center"/>
          </w:tcPr>
          <w:p w14:paraId="579109E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份</w:t>
            </w:r>
          </w:p>
        </w:tc>
        <w:tc>
          <w:tcPr>
            <w:tcW w:w="1003" w:type="dxa"/>
            <w:vAlign w:val="center"/>
          </w:tcPr>
          <w:p w14:paraId="5D0930A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200</w:t>
            </w:r>
          </w:p>
        </w:tc>
        <w:tc>
          <w:tcPr>
            <w:tcW w:w="1041" w:type="dxa"/>
            <w:vAlign w:val="center"/>
          </w:tcPr>
          <w:p w14:paraId="4ADE78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61" w:type="dxa"/>
            <w:vAlign w:val="center"/>
          </w:tcPr>
          <w:p w14:paraId="0650B68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7111FCB8">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4.2.3</w:t>
      </w:r>
      <w:r>
        <w:rPr>
          <w:rFonts w:hint="default" w:ascii="Times New Roman" w:hAnsi="Times New Roman" w:cs="Times New Roman"/>
          <w:color w:val="auto"/>
          <w:highlight w:val="none"/>
          <w:lang w:val="en-US" w:eastAsia="zh-CN"/>
        </w:rPr>
        <w:t>监测网络体系建设</w:t>
      </w:r>
    </w:p>
    <w:p w14:paraId="727D77BF">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四川若尔盖高寒湿地生态系统国家野外科学观测研究站”和“国家生态质量综合监测站四川若尔盖站（湿地）”两大国家级科创平台，构建“天—空—地—网”一体化智能监测网络体系。总体架构涵盖天基卫星遥感监测、空基无人机高精度监测、地基物联感知与视频监控、数据融合分析与预警响应四大层级，实现湿地生态与生物多样性全天候、高精度感知，推动保护区管理从“人防”走向“技防”、从“经验判断”转向“数据驱动。</w:t>
      </w:r>
    </w:p>
    <w:p w14:paraId="44D785D5">
      <w:pPr>
        <w:numPr>
          <w:ilvl w:val="0"/>
          <w:numId w:val="10"/>
        </w:numPr>
        <w:ind w:left="-484" w:leftChars="0" w:firstLine="1044"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监测基础设施布局</w:t>
      </w:r>
    </w:p>
    <w:p w14:paraId="3C5B0111">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照“重点区域全覆盖、敏感区域加密布设”原则，增设AI识别功能超高清红外相机搭配低功耗智能感知杆、鸟类声纹识别系统、物候自动观测相机等野生动植物监测设备，形成覆盖湿地特征、生物多样性、环境因子等多维度的综合监测网络。在传输网络层，针对保护区地形复杂、通信覆盖不足的实际，融合光纤网络、4G/5G无线公网、卫星通信与无线自组网等多种传输手段，确保监测数据实时、稳定回传至数据中心。</w:t>
      </w:r>
    </w:p>
    <w:p w14:paraId="73B4C483">
      <w:pPr>
        <w:numPr>
          <w:ilvl w:val="0"/>
          <w:numId w:val="10"/>
        </w:numPr>
        <w:ind w:left="-484" w:leftChars="0" w:firstLine="1044"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数据整合与智慧管理平台</w:t>
      </w:r>
    </w:p>
    <w:p w14:paraId="7BE1892E">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已建成的安全数据机房与“若尔盖山水工程”智慧监测平台，推进多源异构监测数据的标准化整合与统一存储管理。建立涵盖生态系统类型与分布、野生动物种群动态、环境因子（气象、水文、水质、土壤）、人为活动干扰等核心指标的综合数据库。运用数字孪生与实景三维技术，构建保护区“一张图”智慧管理平台。集成风险预警模块，可自动识别水位异常、非法入侵、植被退化等生态风险并实时报警，形成“监测—预警—响应—决策”全链条服务体系，为湿地修复、物种保护与碳汇价值转化提供科学数据支撑。</w:t>
      </w:r>
    </w:p>
    <w:p w14:paraId="278736C9">
      <w:pPr>
        <w:numPr>
          <w:ilvl w:val="0"/>
          <w:numId w:val="10"/>
        </w:numPr>
        <w:ind w:left="-484" w:leftChars="0" w:firstLine="1044"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数据共享与协同监管</w:t>
      </w:r>
    </w:p>
    <w:p w14:paraId="5F5F4A78">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建立健全监测数据共享机制，积极推动平台数据与林草、生态环境、自然资源、检察等部门的互联互通与协同应用。通过实时视频数据共享，强化对非法开垦、盗采泥炭、违规放牧等破坏行为的主动发现与快速锁定能力。加强监测数据安全管理，围绕数据采集、传输、存储、处理、交换等环节落实安全防护措施，确保涉及珍稀物种分布、生态系统脆弱环节等敏感信息的安全可控。</w:t>
      </w:r>
    </w:p>
    <w:p w14:paraId="7049F71C">
      <w:pPr>
        <w:pStyle w:val="3"/>
        <w:rPr>
          <w:rFonts w:hint="default" w:ascii="Times New Roman" w:hAnsi="Times New Roman" w:cs="Times New Roman"/>
          <w:color w:val="auto"/>
          <w:highlight w:val="none"/>
          <w:lang w:val="en-US" w:eastAsia="zh-CN"/>
        </w:rPr>
      </w:pPr>
      <w:bookmarkStart w:id="27" w:name="_Toc19186"/>
      <w:bookmarkStart w:id="28" w:name="_Toc29411"/>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.3生态修复规划</w:t>
      </w:r>
      <w:bookmarkEnd w:id="27"/>
    </w:p>
    <w:p w14:paraId="28918E0E">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4.3.1</w:t>
      </w:r>
      <w:r>
        <w:rPr>
          <w:rFonts w:hint="default" w:ascii="Times New Roman" w:hAnsi="Times New Roman" w:cs="Times New Roman"/>
          <w:color w:val="auto"/>
          <w:highlight w:val="none"/>
          <w:lang w:val="en-US" w:eastAsia="zh-CN"/>
        </w:rPr>
        <w:t>退化湿地修复</w:t>
      </w:r>
    </w:p>
    <w:p w14:paraId="74B2EE6C">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典型退化沼泽湿地修复工程。</w:t>
      </w:r>
      <w:r>
        <w:rPr>
          <w:rFonts w:hint="default" w:ascii="Times New Roman" w:hAnsi="Times New Roman" w:cs="Times New Roman"/>
          <w:color w:val="auto"/>
          <w:highlight w:val="none"/>
          <w:lang w:val="en-US" w:eastAsia="zh-CN"/>
        </w:rPr>
        <w:t>以退化沼泽湿地为重点，实施扎堵填沟、围栏隔离、退牧还湿、消除鼠害等湿地生态环境综合治理工程，遏制沼泽湿地萎缩趋势，对中度及以上退化区域实施封禁保护。重点对沼泽湿地排水放牧退化湿地实施填堵排水沟，通过工程措施，使湿地地下水位上升，恢复湿地的蓄水功能。</w:t>
      </w:r>
    </w:p>
    <w:p w14:paraId="6A89140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高原湖泊水位维持工程。</w:t>
      </w:r>
      <w:r>
        <w:rPr>
          <w:rFonts w:hint="default" w:ascii="Times New Roman" w:hAnsi="Times New Roman" w:cs="Times New Roman"/>
          <w:color w:val="auto"/>
          <w:highlight w:val="none"/>
          <w:lang w:val="en-US" w:eastAsia="zh-CN"/>
        </w:rPr>
        <w:t>在哈丘、兴措湖等高原湖泊出水口处适当位置建设小型溢水坝，调控出水口高程和出水口流量从而达到抬高湖泊水位，恢复湖泊面积。同时，在湖泊周边开展冲沟生态治理，在周边湿地草地开展植被恢复，在湖岸浅水区或消落带开展水生植物群落构建，减少湖泊流域水土流失、增强水源涵蓄功能。</w:t>
      </w:r>
    </w:p>
    <w:p w14:paraId="725FA48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小微湖泊修复恢复工程。</w:t>
      </w:r>
      <w:r>
        <w:rPr>
          <w:rFonts w:hint="default" w:ascii="Times New Roman" w:hAnsi="Times New Roman" w:cs="Times New Roman"/>
          <w:color w:val="auto"/>
          <w:highlight w:val="none"/>
          <w:lang w:val="en-US" w:eastAsia="zh-CN"/>
        </w:rPr>
        <w:t>在辖曼镇、麦溪乡等区域，历史上由于河曲天然改道或低洼地势积水形成了大量的牛轭湖、小微湖泊，多处于原深水沼泽区，针对水位下降、萎缩消失的现状，通过局部深挖，微型拦水坝修建、补水工程进行恢复，以形成浅滩区、浅水区、深水区等不同微生境，增加生物多样性，提高小微湖泊蓄水量。</w:t>
      </w:r>
    </w:p>
    <w:p w14:paraId="14AD29F7">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国际重要湿地修复。</w:t>
      </w:r>
      <w:r>
        <w:rPr>
          <w:rFonts w:hint="default" w:ascii="Times New Roman" w:hAnsi="Times New Roman" w:cs="Times New Roman"/>
          <w:color w:val="auto"/>
          <w:highlight w:val="none"/>
          <w:lang w:val="en-US" w:eastAsia="zh-CN"/>
        </w:rPr>
        <w:t>以退化沼泽湿地为重点，通过实施湿地水源保障、湿地植被恢复、有害生物防治、生态支撑能力建设等湿地生态环境综合治理工程，系统保护修复国际重要湿地，使区域高寒泥炭沼泽得到有效保护，水源涵养能力得到有效提升，有效转变区域生态退化趋势。</w:t>
      </w:r>
    </w:p>
    <w:p w14:paraId="7224166F">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4.3.2</w:t>
      </w:r>
      <w:r>
        <w:rPr>
          <w:rFonts w:hint="default" w:ascii="Times New Roman" w:hAnsi="Times New Roman" w:cs="Times New Roman"/>
          <w:color w:val="auto"/>
          <w:highlight w:val="none"/>
          <w:lang w:val="en-US" w:eastAsia="zh-CN"/>
        </w:rPr>
        <w:t>退化草原治理</w:t>
      </w:r>
    </w:p>
    <w:p w14:paraId="6FBD02E3">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重度退化草原生态修复</w:t>
      </w:r>
      <w:r>
        <w:rPr>
          <w:rFonts w:hint="default" w:ascii="Times New Roman" w:hAnsi="Times New Roman" w:cs="Times New Roman"/>
          <w:color w:val="auto"/>
          <w:highlight w:val="none"/>
          <w:lang w:val="en-US" w:eastAsia="zh-CN"/>
        </w:rPr>
        <w:t>。坚持统筹规划、分步实施，因地制宜、分类指导，实施好草原生态修复治理、退牧还草、鼠虫害治理等工程项目。综合运用禁牧封育、人工草地建植、捡石除杂、施肥灌溉、鼠虫害防治、田间管护等措施，加强严重退化草原植被恢复。</w:t>
      </w:r>
    </w:p>
    <w:p w14:paraId="6407BB73">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中轻度退化草原生态修复。</w:t>
      </w:r>
      <w:r>
        <w:rPr>
          <w:rFonts w:hint="default" w:ascii="Times New Roman" w:hAnsi="Times New Roman" w:cs="Times New Roman"/>
          <w:color w:val="auto"/>
          <w:highlight w:val="none"/>
          <w:lang w:val="en-US" w:eastAsia="zh-CN"/>
        </w:rPr>
        <w:t>采取划破草皮、补播草种、施肥浇水、灭鼠治虫、休牧轮牧等方式，修复治理中轻度退化草原。在中度和轻度退化区实施休牧，在草地植被较好地区实施轮牧。结合分区围栏建设、有效管护等人工建植为主的综合治理措施，实施退化草地生态治理示范基地建设。配套乡土草种基地建设。重点治理鼠荒地、重度板结草地、石砾化草地等严重退化草地。</w:t>
      </w:r>
    </w:p>
    <w:p w14:paraId="614FDD28">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4.3.</w:t>
      </w:r>
      <w:r>
        <w:rPr>
          <w:rFonts w:hint="default" w:ascii="Times New Roman" w:hAnsi="Times New Roman" w:cs="Times New Roman"/>
          <w:color w:val="auto"/>
          <w:highlight w:val="none"/>
          <w:lang w:val="en-US" w:eastAsia="zh-CN"/>
        </w:rPr>
        <w:t>3水生态修复</w:t>
      </w:r>
    </w:p>
    <w:p w14:paraId="44038C3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河流缓冲带建设。</w:t>
      </w:r>
      <w:r>
        <w:rPr>
          <w:rFonts w:hint="default" w:ascii="Times New Roman" w:hAnsi="Times New Roman" w:cs="Times New Roman"/>
          <w:color w:val="auto"/>
          <w:highlight w:val="none"/>
          <w:lang w:val="en-US" w:eastAsia="zh-CN"/>
        </w:rPr>
        <w:t>在黄河干支流、白河以及黑河等主要河流统筹衔接河湖空间管控范围，合理确定缓冲带宽度，城镇上下游河段以河滩地水生植物恢复和河岸带生境营造为主，农牧区强化养分拦截。</w:t>
      </w:r>
    </w:p>
    <w:p w14:paraId="3EDBEB2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河湖岸线生态修复。</w:t>
      </w:r>
      <w:r>
        <w:rPr>
          <w:rFonts w:hint="default" w:ascii="Times New Roman" w:hAnsi="Times New Roman" w:cs="Times New Roman"/>
          <w:color w:val="auto"/>
          <w:highlight w:val="none"/>
          <w:lang w:val="en-US" w:eastAsia="zh-CN"/>
        </w:rPr>
        <w:t>在黄河及其支流等主要河流水系和哈丘湖等重要湖泊岸线，针对植被退化导致雨水冲蚀、边岸垮塌的问题，采取生态河堤建设、植被恢复等措施开展生态修复工程。规划在黄河干支流及哈丘湖的湖泊岸线实施生态河堤及修复。</w:t>
      </w:r>
    </w:p>
    <w:p w14:paraId="229F8F48">
      <w:pPr>
        <w:ind w:firstLine="560"/>
        <w:jc w:val="left"/>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河湖水系连通工程。</w:t>
      </w:r>
      <w:r>
        <w:rPr>
          <w:rFonts w:hint="default" w:ascii="Times New Roman" w:hAnsi="Times New Roman" w:cs="Times New Roman"/>
          <w:b w:val="0"/>
          <w:bCs w:val="0"/>
          <w:color w:val="auto"/>
          <w:highlight w:val="none"/>
          <w:lang w:val="en-US" w:eastAsia="zh-CN"/>
        </w:rPr>
        <w:t>保护区内黄河流域开沟排水、旅游开发、道路建设等活动在一定程度上阻断了湿地之间正常的水文过程，在一定程度上影响了水系连通性。对部分道路进行改造，局部改道或加涵管，达到恢复水系连通的效果。</w:t>
      </w:r>
    </w:p>
    <w:p w14:paraId="1541E6AB">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4.3.</w:t>
      </w:r>
      <w:r>
        <w:rPr>
          <w:rFonts w:hint="default" w:ascii="Times New Roman" w:hAnsi="Times New Roman" w:cs="Times New Roman"/>
          <w:color w:val="auto"/>
          <w:highlight w:val="none"/>
          <w:lang w:val="en-US" w:eastAsia="zh-CN"/>
        </w:rPr>
        <w:t>4沙化土地治理</w:t>
      </w:r>
    </w:p>
    <w:p w14:paraId="4DB661D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以重点沙区、人口集中分布区和特殊生态功能区为重点，实施重点工程与普遍保护相结合、生物措施和工程措施相结合，加快建设乔灌草、带网片、点线面相结合的防风固沙体系。</w:t>
      </w:r>
    </w:p>
    <w:p w14:paraId="290EE34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针对极重度、重度沙地主采用防风林带、编制沙障、植灌种草、施肥、管护等技术开展综合治理；中度沙地采用部分沙障、植灌种草、施肥管护、防风林带等技术开展综合治理；轻度沙地主要采用植灌、种草、施肥、管护、防风林带等技术开展综合治理。对已治理的沙化土地进行成果巩固，加强设施维护、补植补播、管护等工作，防治土地沙化反复。</w:t>
      </w:r>
    </w:p>
    <w:p w14:paraId="3262D231">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生态恢复</w:t>
      </w:r>
      <w:r>
        <w:rPr>
          <w:rFonts w:hint="default" w:ascii="Times New Roman" w:hAnsi="Times New Roman" w:cs="Times New Roman"/>
          <w:color w:val="auto"/>
          <w:highlight w:val="none"/>
          <w:lang w:eastAsia="zh-CN"/>
        </w:rPr>
        <w:t>工程见表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-3-1。</w:t>
      </w:r>
    </w:p>
    <w:p w14:paraId="2F97D9D0">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1 生态恢复</w:t>
      </w:r>
      <w:r>
        <w:rPr>
          <w:rFonts w:hint="default" w:ascii="Times New Roman" w:hAnsi="Times New Roman" w:cs="Times New Roman"/>
          <w:b/>
          <w:bCs/>
          <w:color w:val="auto"/>
          <w:highlight w:val="none"/>
        </w:rPr>
        <w:t>工程表</w:t>
      </w:r>
    </w:p>
    <w:tbl>
      <w:tblPr>
        <w:tblStyle w:val="24"/>
        <w:tblW w:w="7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433"/>
        <w:gridCol w:w="817"/>
        <w:gridCol w:w="959"/>
        <w:gridCol w:w="862"/>
        <w:gridCol w:w="940"/>
      </w:tblGrid>
      <w:tr w14:paraId="4EC4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vMerge w:val="restart"/>
            <w:vAlign w:val="center"/>
          </w:tcPr>
          <w:p w14:paraId="67BEFFAB">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序号</w:t>
            </w:r>
          </w:p>
        </w:tc>
        <w:tc>
          <w:tcPr>
            <w:tcW w:w="3433" w:type="dxa"/>
            <w:vMerge w:val="restart"/>
            <w:vAlign w:val="center"/>
          </w:tcPr>
          <w:p w14:paraId="46E3EE91">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名称</w:t>
            </w:r>
          </w:p>
        </w:tc>
        <w:tc>
          <w:tcPr>
            <w:tcW w:w="817" w:type="dxa"/>
            <w:vMerge w:val="restart"/>
            <w:vAlign w:val="center"/>
          </w:tcPr>
          <w:p w14:paraId="6E8A37BE">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单位</w:t>
            </w:r>
          </w:p>
        </w:tc>
        <w:tc>
          <w:tcPr>
            <w:tcW w:w="959" w:type="dxa"/>
            <w:vMerge w:val="restart"/>
            <w:vAlign w:val="center"/>
          </w:tcPr>
          <w:p w14:paraId="725F2F9B">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工程量</w:t>
            </w:r>
          </w:p>
        </w:tc>
        <w:tc>
          <w:tcPr>
            <w:tcW w:w="1802" w:type="dxa"/>
            <w:gridSpan w:val="2"/>
            <w:vAlign w:val="center"/>
          </w:tcPr>
          <w:p w14:paraId="23F22C8B">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建设期限</w:t>
            </w:r>
          </w:p>
        </w:tc>
      </w:tr>
      <w:tr w14:paraId="2DE4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8" w:type="dxa"/>
            <w:vMerge w:val="continue"/>
            <w:vAlign w:val="center"/>
          </w:tcPr>
          <w:p w14:paraId="5F25EFE2">
            <w:pPr>
              <w:spacing w:line="240" w:lineRule="auto"/>
              <w:ind w:firstLine="0" w:firstLineChars="0"/>
              <w:jc w:val="center"/>
              <w:rPr>
                <w:rFonts w:hint="default" w:ascii="Times New Roman" w:hAnsi="Times New Roman" w:cs="Times New Roman"/>
                <w:b/>
                <w:bCs/>
                <w:color w:val="auto"/>
                <w:highlight w:val="none"/>
              </w:rPr>
            </w:pPr>
          </w:p>
        </w:tc>
        <w:tc>
          <w:tcPr>
            <w:tcW w:w="3433" w:type="dxa"/>
            <w:vMerge w:val="continue"/>
            <w:vAlign w:val="center"/>
          </w:tcPr>
          <w:p w14:paraId="21E97D05">
            <w:pPr>
              <w:spacing w:line="240" w:lineRule="auto"/>
              <w:ind w:firstLine="0" w:firstLineChars="0"/>
              <w:jc w:val="center"/>
              <w:rPr>
                <w:rFonts w:hint="default" w:ascii="Times New Roman" w:hAnsi="Times New Roman" w:cs="Times New Roman"/>
                <w:b/>
                <w:bCs/>
                <w:color w:val="auto"/>
                <w:highlight w:val="none"/>
              </w:rPr>
            </w:pPr>
          </w:p>
        </w:tc>
        <w:tc>
          <w:tcPr>
            <w:tcW w:w="817" w:type="dxa"/>
            <w:vMerge w:val="continue"/>
            <w:vAlign w:val="center"/>
          </w:tcPr>
          <w:p w14:paraId="4BA844C1">
            <w:pPr>
              <w:spacing w:line="240" w:lineRule="auto"/>
              <w:ind w:firstLine="0" w:firstLineChars="0"/>
              <w:jc w:val="center"/>
              <w:rPr>
                <w:rFonts w:hint="default" w:ascii="Times New Roman" w:hAnsi="Times New Roman" w:cs="Times New Roman"/>
                <w:b/>
                <w:bCs/>
                <w:color w:val="auto"/>
                <w:highlight w:val="none"/>
              </w:rPr>
            </w:pPr>
          </w:p>
        </w:tc>
        <w:tc>
          <w:tcPr>
            <w:tcW w:w="959" w:type="dxa"/>
            <w:vMerge w:val="continue"/>
            <w:vAlign w:val="center"/>
          </w:tcPr>
          <w:p w14:paraId="474C3C12">
            <w:pPr>
              <w:spacing w:line="240" w:lineRule="auto"/>
              <w:ind w:firstLine="0" w:firstLineChars="0"/>
              <w:jc w:val="center"/>
              <w:rPr>
                <w:rFonts w:hint="default" w:ascii="Times New Roman" w:hAnsi="Times New Roman" w:cs="Times New Roman"/>
                <w:b/>
                <w:bCs/>
                <w:color w:val="auto"/>
                <w:highlight w:val="none"/>
              </w:rPr>
            </w:pPr>
          </w:p>
        </w:tc>
        <w:tc>
          <w:tcPr>
            <w:tcW w:w="862" w:type="dxa"/>
            <w:vAlign w:val="center"/>
          </w:tcPr>
          <w:p w14:paraId="29818ABA">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近期</w:t>
            </w:r>
          </w:p>
        </w:tc>
        <w:tc>
          <w:tcPr>
            <w:tcW w:w="940" w:type="dxa"/>
            <w:vAlign w:val="center"/>
          </w:tcPr>
          <w:p w14:paraId="1C413437">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中长期</w:t>
            </w:r>
          </w:p>
        </w:tc>
      </w:tr>
      <w:tr w14:paraId="6E3E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59C32DE5">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3433" w:type="dxa"/>
            <w:vAlign w:val="center"/>
          </w:tcPr>
          <w:p w14:paraId="714AE265">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典型退化沼泽湿地修复工程</w:t>
            </w:r>
          </w:p>
        </w:tc>
        <w:tc>
          <w:tcPr>
            <w:tcW w:w="817" w:type="dxa"/>
            <w:vAlign w:val="center"/>
          </w:tcPr>
          <w:p w14:paraId="2FE36F9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公顷</w:t>
            </w:r>
          </w:p>
        </w:tc>
        <w:tc>
          <w:tcPr>
            <w:tcW w:w="959" w:type="dxa"/>
            <w:vAlign w:val="center"/>
          </w:tcPr>
          <w:p w14:paraId="0C23B15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800</w:t>
            </w:r>
          </w:p>
        </w:tc>
        <w:tc>
          <w:tcPr>
            <w:tcW w:w="862" w:type="dxa"/>
            <w:shd w:val="clear" w:color="auto" w:fill="auto"/>
            <w:vAlign w:val="center"/>
          </w:tcPr>
          <w:p w14:paraId="154230B7">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0" w:type="dxa"/>
            <w:shd w:val="clear" w:color="auto" w:fill="auto"/>
            <w:vAlign w:val="center"/>
          </w:tcPr>
          <w:p w14:paraId="3F2AD3B0">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6DBB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65C23024">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w:t>
            </w:r>
          </w:p>
        </w:tc>
        <w:tc>
          <w:tcPr>
            <w:tcW w:w="3433" w:type="dxa"/>
            <w:vAlign w:val="center"/>
          </w:tcPr>
          <w:p w14:paraId="6B32A30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高原湖泊水位维持工程</w:t>
            </w:r>
          </w:p>
        </w:tc>
        <w:tc>
          <w:tcPr>
            <w:tcW w:w="817" w:type="dxa"/>
            <w:shd w:val="clear" w:color="auto" w:fill="auto"/>
            <w:vAlign w:val="center"/>
          </w:tcPr>
          <w:p w14:paraId="09B2813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项</w:t>
            </w:r>
          </w:p>
        </w:tc>
        <w:tc>
          <w:tcPr>
            <w:tcW w:w="959" w:type="dxa"/>
            <w:vAlign w:val="center"/>
          </w:tcPr>
          <w:p w14:paraId="17798BA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862" w:type="dxa"/>
            <w:shd w:val="clear" w:color="auto" w:fill="auto"/>
            <w:vAlign w:val="center"/>
          </w:tcPr>
          <w:p w14:paraId="5C94887C">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0" w:type="dxa"/>
            <w:shd w:val="clear" w:color="auto" w:fill="auto"/>
            <w:vAlign w:val="center"/>
          </w:tcPr>
          <w:p w14:paraId="56BCB844">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613B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32197C8B">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3</w:t>
            </w:r>
          </w:p>
        </w:tc>
        <w:tc>
          <w:tcPr>
            <w:tcW w:w="3433" w:type="dxa"/>
            <w:vAlign w:val="center"/>
          </w:tcPr>
          <w:p w14:paraId="78C4D29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小微湖泊修复恢复工程</w:t>
            </w:r>
          </w:p>
        </w:tc>
        <w:tc>
          <w:tcPr>
            <w:tcW w:w="817" w:type="dxa"/>
            <w:shd w:val="clear" w:color="auto" w:fill="auto"/>
            <w:vAlign w:val="center"/>
          </w:tcPr>
          <w:p w14:paraId="0064D59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项</w:t>
            </w:r>
          </w:p>
        </w:tc>
        <w:tc>
          <w:tcPr>
            <w:tcW w:w="959" w:type="dxa"/>
            <w:vAlign w:val="center"/>
          </w:tcPr>
          <w:p w14:paraId="4DE4D76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862" w:type="dxa"/>
            <w:shd w:val="clear" w:color="auto" w:fill="auto"/>
            <w:vAlign w:val="center"/>
          </w:tcPr>
          <w:p w14:paraId="2646DF02">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0" w:type="dxa"/>
            <w:shd w:val="clear" w:color="auto" w:fill="auto"/>
            <w:vAlign w:val="center"/>
          </w:tcPr>
          <w:p w14:paraId="07FE3229">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1F09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6413D4D1">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w:t>
            </w:r>
          </w:p>
        </w:tc>
        <w:tc>
          <w:tcPr>
            <w:tcW w:w="3433" w:type="dxa"/>
            <w:vAlign w:val="center"/>
          </w:tcPr>
          <w:p w14:paraId="64683FE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国际重要湿地修复</w:t>
            </w:r>
          </w:p>
        </w:tc>
        <w:tc>
          <w:tcPr>
            <w:tcW w:w="817" w:type="dxa"/>
            <w:shd w:val="clear" w:color="auto" w:fill="auto"/>
            <w:vAlign w:val="center"/>
          </w:tcPr>
          <w:p w14:paraId="59B6B0E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公顷</w:t>
            </w:r>
          </w:p>
        </w:tc>
        <w:tc>
          <w:tcPr>
            <w:tcW w:w="959" w:type="dxa"/>
            <w:vAlign w:val="center"/>
          </w:tcPr>
          <w:p w14:paraId="44E3125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500</w:t>
            </w:r>
          </w:p>
        </w:tc>
        <w:tc>
          <w:tcPr>
            <w:tcW w:w="862" w:type="dxa"/>
            <w:shd w:val="clear" w:color="auto" w:fill="auto"/>
            <w:vAlign w:val="center"/>
          </w:tcPr>
          <w:p w14:paraId="56CB30D8">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0" w:type="dxa"/>
            <w:shd w:val="clear" w:color="auto" w:fill="auto"/>
            <w:vAlign w:val="center"/>
          </w:tcPr>
          <w:p w14:paraId="394D65A1">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79E0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75E186E4">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5</w:t>
            </w:r>
          </w:p>
        </w:tc>
        <w:tc>
          <w:tcPr>
            <w:tcW w:w="3433" w:type="dxa"/>
            <w:vAlign w:val="center"/>
          </w:tcPr>
          <w:p w14:paraId="1FB411B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重度、中轻度退化草原生态修复</w:t>
            </w:r>
          </w:p>
        </w:tc>
        <w:tc>
          <w:tcPr>
            <w:tcW w:w="817" w:type="dxa"/>
            <w:vAlign w:val="center"/>
          </w:tcPr>
          <w:p w14:paraId="25DCE60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公顷</w:t>
            </w:r>
          </w:p>
        </w:tc>
        <w:tc>
          <w:tcPr>
            <w:tcW w:w="959" w:type="dxa"/>
            <w:vAlign w:val="center"/>
          </w:tcPr>
          <w:p w14:paraId="4250CAC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800</w:t>
            </w:r>
          </w:p>
        </w:tc>
        <w:tc>
          <w:tcPr>
            <w:tcW w:w="862" w:type="dxa"/>
            <w:shd w:val="clear" w:color="auto" w:fill="auto"/>
            <w:vAlign w:val="center"/>
          </w:tcPr>
          <w:p w14:paraId="3B1329D9">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0" w:type="dxa"/>
            <w:shd w:val="clear" w:color="auto" w:fill="auto"/>
            <w:vAlign w:val="center"/>
          </w:tcPr>
          <w:p w14:paraId="18E02AAD">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230F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5A1CBDE9">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6</w:t>
            </w:r>
          </w:p>
        </w:tc>
        <w:tc>
          <w:tcPr>
            <w:tcW w:w="3433" w:type="dxa"/>
            <w:vAlign w:val="center"/>
          </w:tcPr>
          <w:p w14:paraId="24F3463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河流缓冲带建设</w:t>
            </w:r>
          </w:p>
        </w:tc>
        <w:tc>
          <w:tcPr>
            <w:tcW w:w="817" w:type="dxa"/>
            <w:vAlign w:val="center"/>
          </w:tcPr>
          <w:p w14:paraId="629F904F">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Km</w:t>
            </w:r>
          </w:p>
        </w:tc>
        <w:tc>
          <w:tcPr>
            <w:tcW w:w="959" w:type="dxa"/>
            <w:vAlign w:val="center"/>
          </w:tcPr>
          <w:p w14:paraId="23FFE48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50</w:t>
            </w:r>
          </w:p>
        </w:tc>
        <w:tc>
          <w:tcPr>
            <w:tcW w:w="862" w:type="dxa"/>
            <w:shd w:val="clear" w:color="auto" w:fill="auto"/>
            <w:vAlign w:val="center"/>
          </w:tcPr>
          <w:p w14:paraId="0DB6E7B1">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940" w:type="dxa"/>
            <w:shd w:val="clear" w:color="auto" w:fill="auto"/>
            <w:vAlign w:val="center"/>
          </w:tcPr>
          <w:p w14:paraId="392536AE">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4C8D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49059593">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7</w:t>
            </w:r>
          </w:p>
        </w:tc>
        <w:tc>
          <w:tcPr>
            <w:tcW w:w="3433" w:type="dxa"/>
            <w:vAlign w:val="center"/>
          </w:tcPr>
          <w:p w14:paraId="3789C87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河湖岸线生态修复</w:t>
            </w:r>
          </w:p>
        </w:tc>
        <w:tc>
          <w:tcPr>
            <w:tcW w:w="817" w:type="dxa"/>
            <w:vAlign w:val="center"/>
          </w:tcPr>
          <w:p w14:paraId="61DB2E6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Km</w:t>
            </w:r>
          </w:p>
        </w:tc>
        <w:tc>
          <w:tcPr>
            <w:tcW w:w="959" w:type="dxa"/>
            <w:vAlign w:val="center"/>
          </w:tcPr>
          <w:p w14:paraId="5F7719C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50</w:t>
            </w:r>
          </w:p>
        </w:tc>
        <w:tc>
          <w:tcPr>
            <w:tcW w:w="862" w:type="dxa"/>
            <w:vAlign w:val="center"/>
          </w:tcPr>
          <w:p w14:paraId="086C6FD8">
            <w:pPr>
              <w:spacing w:line="240" w:lineRule="auto"/>
              <w:ind w:firstLine="0" w:firstLineChars="0"/>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c>
          <w:tcPr>
            <w:tcW w:w="940" w:type="dxa"/>
            <w:vAlign w:val="center"/>
          </w:tcPr>
          <w:p w14:paraId="2C7AD81A">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r>
      <w:tr w14:paraId="3902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8" w:type="dxa"/>
            <w:shd w:val="clear" w:color="auto" w:fill="auto"/>
            <w:vAlign w:val="center"/>
          </w:tcPr>
          <w:p w14:paraId="71F303E8">
            <w:pPr>
              <w:spacing w:line="240" w:lineRule="auto"/>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8</w:t>
            </w:r>
          </w:p>
        </w:tc>
        <w:tc>
          <w:tcPr>
            <w:tcW w:w="3433" w:type="dxa"/>
            <w:vAlign w:val="center"/>
          </w:tcPr>
          <w:p w14:paraId="3099130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河湖水系连通工程</w:t>
            </w:r>
          </w:p>
        </w:tc>
        <w:tc>
          <w:tcPr>
            <w:tcW w:w="817" w:type="dxa"/>
            <w:vAlign w:val="center"/>
          </w:tcPr>
          <w:p w14:paraId="4F89051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Km</w:t>
            </w:r>
          </w:p>
        </w:tc>
        <w:tc>
          <w:tcPr>
            <w:tcW w:w="959" w:type="dxa"/>
            <w:vAlign w:val="center"/>
          </w:tcPr>
          <w:p w14:paraId="2854650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20</w:t>
            </w:r>
          </w:p>
        </w:tc>
        <w:tc>
          <w:tcPr>
            <w:tcW w:w="862" w:type="dxa"/>
            <w:vAlign w:val="center"/>
          </w:tcPr>
          <w:p w14:paraId="25608A55">
            <w:pPr>
              <w:spacing w:line="240" w:lineRule="auto"/>
              <w:ind w:firstLine="0" w:firstLineChars="0"/>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c>
          <w:tcPr>
            <w:tcW w:w="940" w:type="dxa"/>
            <w:vAlign w:val="center"/>
          </w:tcPr>
          <w:p w14:paraId="53555209">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r>
      <w:tr w14:paraId="79C3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08" w:type="dxa"/>
            <w:vAlign w:val="center"/>
          </w:tcPr>
          <w:p w14:paraId="26C2BE3A">
            <w:pPr>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9</w:t>
            </w:r>
          </w:p>
        </w:tc>
        <w:tc>
          <w:tcPr>
            <w:tcW w:w="3433" w:type="dxa"/>
            <w:vAlign w:val="center"/>
          </w:tcPr>
          <w:p w14:paraId="0411D7E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沙化土地治理</w:t>
            </w:r>
          </w:p>
        </w:tc>
        <w:tc>
          <w:tcPr>
            <w:tcW w:w="817" w:type="dxa"/>
            <w:vAlign w:val="center"/>
          </w:tcPr>
          <w:p w14:paraId="4C117F9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公顷</w:t>
            </w:r>
          </w:p>
        </w:tc>
        <w:tc>
          <w:tcPr>
            <w:tcW w:w="959" w:type="dxa"/>
            <w:vAlign w:val="center"/>
          </w:tcPr>
          <w:p w14:paraId="776C63E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400</w:t>
            </w:r>
          </w:p>
        </w:tc>
        <w:tc>
          <w:tcPr>
            <w:tcW w:w="862" w:type="dxa"/>
            <w:vAlign w:val="center"/>
          </w:tcPr>
          <w:p w14:paraId="6355346B">
            <w:pPr>
              <w:spacing w:line="240" w:lineRule="auto"/>
              <w:ind w:firstLine="0" w:firstLineChars="0"/>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c>
          <w:tcPr>
            <w:tcW w:w="940" w:type="dxa"/>
            <w:vAlign w:val="center"/>
          </w:tcPr>
          <w:p w14:paraId="5143DCE6">
            <w:pPr>
              <w:spacing w:line="240" w:lineRule="auto"/>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20"/>
                <w:szCs w:val="20"/>
                <w:highlight w:val="none"/>
              </w:rPr>
              <w:t>√</w:t>
            </w:r>
          </w:p>
        </w:tc>
      </w:tr>
    </w:tbl>
    <w:p w14:paraId="33060E20">
      <w:pPr>
        <w:pStyle w:val="3"/>
        <w:rPr>
          <w:rFonts w:hint="default" w:ascii="Times New Roman" w:hAnsi="Times New Roman" w:eastAsia="黑体" w:cs="Times New Roman"/>
          <w:color w:val="auto"/>
          <w:highlight w:val="none"/>
          <w:lang w:val="en-US" w:eastAsia="zh-CN"/>
        </w:rPr>
      </w:pPr>
      <w:bookmarkStart w:id="29" w:name="_Toc23074"/>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w:t>
      </w:r>
      <w:bookmarkEnd w:id="28"/>
      <w:r>
        <w:rPr>
          <w:rFonts w:hint="default" w:ascii="Times New Roman" w:hAnsi="Times New Roman" w:cs="Times New Roman"/>
          <w:color w:val="auto"/>
          <w:highlight w:val="none"/>
          <w:lang w:val="en-US" w:eastAsia="zh-CN"/>
        </w:rPr>
        <w:t>4公共服务规划和资源科学保护与合理利用</w:t>
      </w:r>
      <w:bookmarkEnd w:id="29"/>
    </w:p>
    <w:p w14:paraId="284FAEE2">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公众教育内容规划</w:t>
      </w:r>
    </w:p>
    <w:p w14:paraId="7FA9252F">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公众教育在于让社会公众真正理解湿地“水源涵养、碳汇功能、生物多样性”三大核心价值，认知“保护与自身的关系”。</w:t>
      </w:r>
    </w:p>
    <w:p w14:paraId="77364AC8">
      <w:pPr>
        <w:pStyle w:val="9"/>
        <w:numPr>
          <w:ilvl w:val="0"/>
          <w:numId w:val="1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现有生物多样性监测站和生态监测点位，定期向公众开放部分监测设施，组织公众参与“湿地开放日”“监测员体验日”等活动，让参观者近距离观察湿地生态系统的运行机理，增强公众对湿地保护的直观认知。</w:t>
      </w:r>
    </w:p>
    <w:p w14:paraId="5CA93CEB">
      <w:pPr>
        <w:pStyle w:val="9"/>
        <w:numPr>
          <w:ilvl w:val="0"/>
          <w:numId w:val="1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自然科普公众教育坚持“分众化、体验式、本土化”原则，面向中小学生，依托若尔盖湿地科普教育中心和“自然教育基地”开展“湿地课堂”进校园活动，编印汉藏双语儿童环境教育绘本，组织学生参与候鸟观测、泥炭地探秘等体验式教学活动。</w:t>
      </w:r>
    </w:p>
    <w:p w14:paraId="02590BA8">
      <w:pPr>
        <w:pStyle w:val="9"/>
        <w:numPr>
          <w:ilvl w:val="0"/>
          <w:numId w:val="1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面向游客及社会公众，在花湖、黄河第一湾等景区设置互动式湿地生态解说牌，培训双语生态讲解员，利用红外相机影像与多光谱无人机航拍画面展示“空天地”一体化监测成果，并通过新媒体渠道推送科普内容，扩大公众教育覆盖面；面向社区居民和基层管护人员，通过候鸟监测培训、生态管护技能竞赛等公众参与活动提升科学素养。</w:t>
      </w:r>
    </w:p>
    <w:p w14:paraId="290DD537">
      <w:pPr>
        <w:pStyle w:val="9"/>
        <w:numPr>
          <w:ilvl w:val="0"/>
          <w:numId w:val="1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将藏族游牧文化、藏医药文化中蕴含的生态智慧有机融入公众教育体系。在“世界湿地日”“国际生物多样性日”等重要节点，以藏汉双语面向全社会开展生态政策宣讲与公众倡议活动，引导公众从“被动接受”转向“主动参与”，形成全社会共同参与生态保护的自觉行动。</w:t>
      </w:r>
    </w:p>
    <w:p w14:paraId="35C91394">
      <w:pPr>
        <w:pStyle w:val="9"/>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公众教育活动可通过电视、出版物等大众传媒，结合宣传小册子等宣传手法；借助声光电、多媒体等现代科技手段，向公众展示自然保护区的发展历程、主要保护对象、自然生态系统、野生动植物资源、科研监测和保护管理等方面的信息；还可以通过举办观鸟活动，让更多的社会公众走进自然保护区、了解自然保护区，体验经常性的、形式多样的、生动活泼的宣传教育，达到寓教于乐的效果。</w:t>
      </w:r>
    </w:p>
    <w:p w14:paraId="72385A76">
      <w:pPr>
        <w:pStyle w:val="5"/>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4.4.1</w:t>
      </w:r>
      <w:r>
        <w:rPr>
          <w:rFonts w:hint="default" w:ascii="Times New Roman" w:hAnsi="Times New Roman" w:cs="Times New Roman"/>
          <w:color w:val="auto"/>
          <w:highlight w:val="none"/>
          <w:lang w:val="en-US" w:eastAsia="zh-CN"/>
        </w:rPr>
        <w:t>.1自然教育管理规划</w:t>
      </w:r>
    </w:p>
    <w:p w14:paraId="1CF8F2DA">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（1）解说培训和认证体系</w:t>
      </w:r>
    </w:p>
    <w:p w14:paraId="0E56D0FC">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构建以专业人员为核心、以社区居民为辅助、以志愿者和特邀人员为重要补充的解说队伍，聘请植物学、动物学、地质学、气象学、心理学、传播学等领域专家，成立自然教育解说专家库，定期不定期对各类解说人员开展自然保护区常识、自然和文化资源知识、生态环境保护知识、解说教育理论、语言课程、礼仪、急救等专业知识方面的培训，提升若尔盖自然保护区整体解说水平，让游客从旁观者变为参与者和学习者。同时，实行解说员评定和分级认证制度，研究发布考核评定办法和工作标准规范，以确保提供有质量的解说服务。</w:t>
      </w:r>
    </w:p>
    <w:p w14:paraId="0CC71D61">
      <w:pPr>
        <w:pStyle w:val="9"/>
        <w:rPr>
          <w:rFonts w:hint="default" w:ascii="Times New Roman" w:hAnsi="Times New Roman" w:cs="Times New Roman"/>
          <w:color w:val="auto"/>
          <w:highlight w:val="none"/>
          <w:lang w:val="en-US" w:eastAsia="zh-CN"/>
        </w:rPr>
      </w:pPr>
      <w:r>
        <w:rPr>
          <w:rFonts w:hint="default" w:ascii="Times New Roman" w:hAnsi="Times New Roman" w:eastAsia="仿宋" w:cs="Times New Roman"/>
          <w:color w:val="auto"/>
          <w:kern w:val="2"/>
          <w:sz w:val="28"/>
          <w:szCs w:val="24"/>
          <w:highlight w:val="none"/>
          <w:lang w:val="en-US" w:eastAsia="zh-CN" w:bidi="ar-SA"/>
        </w:rPr>
        <w:t>建设</w:t>
      </w:r>
      <w:r>
        <w:rPr>
          <w:rFonts w:hint="default" w:ascii="Times New Roman" w:hAnsi="Times New Roman" w:cs="Times New Roman"/>
          <w:color w:val="auto"/>
          <w:highlight w:val="none"/>
          <w:lang w:eastAsia="zh-CN"/>
        </w:rPr>
        <w:t>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-4-1。</w:t>
      </w:r>
    </w:p>
    <w:p w14:paraId="0208DF6F">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4-1自然教育项目内容</w:t>
      </w:r>
      <w:r>
        <w:rPr>
          <w:rFonts w:hint="default" w:ascii="Times New Roman" w:hAnsi="Times New Roman" w:cs="Times New Roman"/>
          <w:b/>
          <w:bCs/>
          <w:color w:val="auto"/>
          <w:highlight w:val="none"/>
        </w:rPr>
        <w:t>表</w:t>
      </w:r>
    </w:p>
    <w:tbl>
      <w:tblPr>
        <w:tblStyle w:val="24"/>
        <w:tblW w:w="7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192"/>
        <w:gridCol w:w="1039"/>
        <w:gridCol w:w="1105"/>
        <w:gridCol w:w="1147"/>
        <w:gridCol w:w="1280"/>
      </w:tblGrid>
      <w:tr w14:paraId="5CBC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dxa"/>
            <w:vMerge w:val="restart"/>
            <w:vAlign w:val="center"/>
          </w:tcPr>
          <w:p w14:paraId="1CB2A4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2192" w:type="dxa"/>
            <w:vMerge w:val="restart"/>
            <w:vAlign w:val="center"/>
          </w:tcPr>
          <w:p w14:paraId="3C2B15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1039" w:type="dxa"/>
            <w:vMerge w:val="restart"/>
            <w:vAlign w:val="center"/>
          </w:tcPr>
          <w:p w14:paraId="671AD1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105" w:type="dxa"/>
            <w:vMerge w:val="restart"/>
            <w:vAlign w:val="center"/>
          </w:tcPr>
          <w:p w14:paraId="694D46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427" w:type="dxa"/>
            <w:gridSpan w:val="2"/>
            <w:vAlign w:val="center"/>
          </w:tcPr>
          <w:p w14:paraId="1188F4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6E3C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dxa"/>
            <w:vMerge w:val="continue"/>
            <w:vAlign w:val="center"/>
          </w:tcPr>
          <w:p w14:paraId="4E9119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2192" w:type="dxa"/>
            <w:vMerge w:val="continue"/>
            <w:vAlign w:val="center"/>
          </w:tcPr>
          <w:p w14:paraId="3C400A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39" w:type="dxa"/>
            <w:vMerge w:val="continue"/>
            <w:vAlign w:val="center"/>
          </w:tcPr>
          <w:p w14:paraId="1630CA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105" w:type="dxa"/>
            <w:vMerge w:val="continue"/>
            <w:vAlign w:val="center"/>
          </w:tcPr>
          <w:p w14:paraId="2B10BD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147" w:type="dxa"/>
            <w:vAlign w:val="center"/>
          </w:tcPr>
          <w:p w14:paraId="52BDD0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280" w:type="dxa"/>
            <w:vAlign w:val="center"/>
          </w:tcPr>
          <w:p w14:paraId="108443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22E0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dxa"/>
            <w:vAlign w:val="center"/>
          </w:tcPr>
          <w:p w14:paraId="36B199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2192" w:type="dxa"/>
            <w:vAlign w:val="center"/>
          </w:tcPr>
          <w:p w14:paraId="39E52B3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课程体系开发</w:t>
            </w:r>
          </w:p>
        </w:tc>
        <w:tc>
          <w:tcPr>
            <w:tcW w:w="1039" w:type="dxa"/>
            <w:vAlign w:val="center"/>
          </w:tcPr>
          <w:p w14:paraId="4E2C100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05" w:type="dxa"/>
            <w:vAlign w:val="center"/>
          </w:tcPr>
          <w:p w14:paraId="2AB2E1F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147" w:type="dxa"/>
            <w:vAlign w:val="center"/>
          </w:tcPr>
          <w:p w14:paraId="3F5C477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280" w:type="dxa"/>
            <w:vAlign w:val="center"/>
          </w:tcPr>
          <w:p w14:paraId="0E31C8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71A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dxa"/>
            <w:vAlign w:val="center"/>
          </w:tcPr>
          <w:p w14:paraId="527CC9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2192" w:type="dxa"/>
            <w:vAlign w:val="center"/>
          </w:tcPr>
          <w:p w14:paraId="0075BB0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师资与培训费</w:t>
            </w:r>
          </w:p>
        </w:tc>
        <w:tc>
          <w:tcPr>
            <w:tcW w:w="1039" w:type="dxa"/>
            <w:vAlign w:val="center"/>
          </w:tcPr>
          <w:p w14:paraId="56E224E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05" w:type="dxa"/>
            <w:vAlign w:val="center"/>
          </w:tcPr>
          <w:p w14:paraId="0401E33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147" w:type="dxa"/>
            <w:vAlign w:val="center"/>
          </w:tcPr>
          <w:p w14:paraId="408C332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280" w:type="dxa"/>
            <w:vAlign w:val="center"/>
          </w:tcPr>
          <w:p w14:paraId="199315E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739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dxa"/>
            <w:vAlign w:val="center"/>
          </w:tcPr>
          <w:p w14:paraId="569D8B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2192" w:type="dxa"/>
            <w:vAlign w:val="center"/>
          </w:tcPr>
          <w:p w14:paraId="0DDD5F7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考核与认证费</w:t>
            </w:r>
          </w:p>
        </w:tc>
        <w:tc>
          <w:tcPr>
            <w:tcW w:w="1039" w:type="dxa"/>
            <w:vAlign w:val="center"/>
          </w:tcPr>
          <w:p w14:paraId="598CBBA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05" w:type="dxa"/>
            <w:vAlign w:val="center"/>
          </w:tcPr>
          <w:p w14:paraId="7F26F6A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147" w:type="dxa"/>
            <w:vAlign w:val="center"/>
          </w:tcPr>
          <w:p w14:paraId="44FC77C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280" w:type="dxa"/>
            <w:vAlign w:val="center"/>
          </w:tcPr>
          <w:p w14:paraId="403E05A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7E4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15" w:type="dxa"/>
            <w:vAlign w:val="center"/>
          </w:tcPr>
          <w:p w14:paraId="441A70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2192" w:type="dxa"/>
            <w:vAlign w:val="center"/>
          </w:tcPr>
          <w:p w14:paraId="6B2C367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管理与运营费</w:t>
            </w:r>
          </w:p>
        </w:tc>
        <w:tc>
          <w:tcPr>
            <w:tcW w:w="1039" w:type="dxa"/>
            <w:vAlign w:val="center"/>
          </w:tcPr>
          <w:p w14:paraId="7957111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05" w:type="dxa"/>
            <w:vAlign w:val="center"/>
          </w:tcPr>
          <w:p w14:paraId="6233E1C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147" w:type="dxa"/>
            <w:vAlign w:val="center"/>
          </w:tcPr>
          <w:p w14:paraId="61EE143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280" w:type="dxa"/>
            <w:vAlign w:val="center"/>
          </w:tcPr>
          <w:p w14:paraId="1B0A65D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0F48D780">
      <w:pPr>
        <w:pStyle w:val="5"/>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4.4.1</w:t>
      </w:r>
      <w:r>
        <w:rPr>
          <w:rFonts w:hint="default" w:ascii="Times New Roman" w:hAnsi="Times New Roman" w:cs="Times New Roman"/>
          <w:color w:val="auto"/>
          <w:highlight w:val="none"/>
          <w:lang w:val="en-US" w:eastAsia="zh-CN"/>
        </w:rPr>
        <w:t>.2解说标识系统规划</w:t>
      </w:r>
    </w:p>
    <w:p w14:paraId="0E4123E1">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优化科普解说体系，要简明有趣可视化，可采用原创全手绘插图，避免生硬的照片堆砌。科普解说体系不仅需要科学家，更需要科普专家，还需要艺术家、设计师一起参与；聘请专业的团队，结合花湖科普宣教馆、生境科普宣教馆、生态科普宣教馆、黄河生态文化展示馆，进行统一规划设计解说标识系统，并需要进行持续更新内容。</w:t>
      </w:r>
    </w:p>
    <w:p w14:paraId="43937A08">
      <w:pPr>
        <w:pStyle w:val="9"/>
        <w:rPr>
          <w:rFonts w:hint="default" w:ascii="Times New Roman" w:hAnsi="Times New Roman" w:cs="Times New Roman"/>
          <w:highlight w:val="none"/>
          <w:lang w:val="en-US" w:eastAsia="zh-CN"/>
        </w:rPr>
      </w:pPr>
      <w:r>
        <w:rPr>
          <w:rFonts w:hint="default" w:ascii="Times New Roman" w:hAnsi="Times New Roman" w:eastAsia="仿宋" w:cs="Times New Roman"/>
          <w:color w:val="auto"/>
          <w:kern w:val="2"/>
          <w:sz w:val="28"/>
          <w:szCs w:val="24"/>
          <w:highlight w:val="none"/>
          <w:lang w:val="en-US" w:eastAsia="zh-CN" w:bidi="ar-SA"/>
        </w:rPr>
        <w:t>建设</w:t>
      </w:r>
      <w:r>
        <w:rPr>
          <w:rFonts w:hint="default" w:ascii="Times New Roman" w:hAnsi="Times New Roman" w:cs="Times New Roman"/>
          <w:color w:val="auto"/>
          <w:highlight w:val="none"/>
          <w:lang w:eastAsia="zh-CN"/>
        </w:rPr>
        <w:t>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-4-2。</w:t>
      </w:r>
    </w:p>
    <w:p w14:paraId="2CC79E09">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4-2解说标识系统内容</w:t>
      </w:r>
      <w:r>
        <w:rPr>
          <w:rFonts w:hint="default" w:ascii="Times New Roman" w:hAnsi="Times New Roman" w:cs="Times New Roman"/>
          <w:b/>
          <w:bCs/>
          <w:color w:val="auto"/>
          <w:highlight w:val="none"/>
        </w:rPr>
        <w:t>表</w:t>
      </w:r>
    </w:p>
    <w:tbl>
      <w:tblPr>
        <w:tblStyle w:val="24"/>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593"/>
        <w:gridCol w:w="822"/>
        <w:gridCol w:w="874"/>
        <w:gridCol w:w="907"/>
        <w:gridCol w:w="1013"/>
      </w:tblGrid>
      <w:tr w14:paraId="2D97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Merge w:val="restart"/>
            <w:vAlign w:val="center"/>
          </w:tcPr>
          <w:p w14:paraId="484507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3593" w:type="dxa"/>
            <w:vMerge w:val="restart"/>
            <w:vAlign w:val="center"/>
          </w:tcPr>
          <w:p w14:paraId="596151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822" w:type="dxa"/>
            <w:vMerge w:val="restart"/>
            <w:vAlign w:val="center"/>
          </w:tcPr>
          <w:p w14:paraId="3CF0C9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874" w:type="dxa"/>
            <w:vMerge w:val="restart"/>
            <w:vAlign w:val="center"/>
          </w:tcPr>
          <w:p w14:paraId="573CD3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1920" w:type="dxa"/>
            <w:gridSpan w:val="2"/>
            <w:vAlign w:val="center"/>
          </w:tcPr>
          <w:p w14:paraId="2713A0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3333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Merge w:val="continue"/>
            <w:vAlign w:val="center"/>
          </w:tcPr>
          <w:p w14:paraId="45641B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3593" w:type="dxa"/>
            <w:vMerge w:val="continue"/>
            <w:vAlign w:val="center"/>
          </w:tcPr>
          <w:p w14:paraId="27A699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822" w:type="dxa"/>
            <w:vMerge w:val="continue"/>
            <w:vAlign w:val="center"/>
          </w:tcPr>
          <w:p w14:paraId="390882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874" w:type="dxa"/>
            <w:vMerge w:val="continue"/>
            <w:vAlign w:val="center"/>
          </w:tcPr>
          <w:p w14:paraId="6E93CE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07" w:type="dxa"/>
            <w:vAlign w:val="center"/>
          </w:tcPr>
          <w:p w14:paraId="4F68A8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013" w:type="dxa"/>
            <w:vAlign w:val="center"/>
          </w:tcPr>
          <w:p w14:paraId="6EA20F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7E86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466C88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3593" w:type="dxa"/>
            <w:vAlign w:val="center"/>
          </w:tcPr>
          <w:p w14:paraId="2AA77FB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解说标识设计</w:t>
            </w:r>
          </w:p>
        </w:tc>
        <w:tc>
          <w:tcPr>
            <w:tcW w:w="822" w:type="dxa"/>
            <w:vAlign w:val="center"/>
          </w:tcPr>
          <w:p w14:paraId="4E11764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874" w:type="dxa"/>
            <w:vAlign w:val="center"/>
          </w:tcPr>
          <w:p w14:paraId="019A718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907" w:type="dxa"/>
            <w:vAlign w:val="center"/>
          </w:tcPr>
          <w:p w14:paraId="0CAFF29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747CBA5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452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3111F0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3593" w:type="dxa"/>
            <w:vAlign w:val="center"/>
          </w:tcPr>
          <w:p w14:paraId="0FE01B6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室外电子显示屏</w:t>
            </w:r>
          </w:p>
        </w:tc>
        <w:tc>
          <w:tcPr>
            <w:tcW w:w="822" w:type="dxa"/>
            <w:vAlign w:val="center"/>
          </w:tcPr>
          <w:p w14:paraId="156FD3C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块</w:t>
            </w:r>
          </w:p>
        </w:tc>
        <w:tc>
          <w:tcPr>
            <w:tcW w:w="874" w:type="dxa"/>
            <w:vAlign w:val="center"/>
          </w:tcPr>
          <w:p w14:paraId="43CE838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907" w:type="dxa"/>
            <w:vAlign w:val="center"/>
          </w:tcPr>
          <w:p w14:paraId="6BCE319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0384E56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4B3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339A9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3593" w:type="dxa"/>
            <w:vAlign w:val="center"/>
          </w:tcPr>
          <w:p w14:paraId="01044EC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宣传标识牌</w:t>
            </w:r>
          </w:p>
        </w:tc>
        <w:tc>
          <w:tcPr>
            <w:tcW w:w="822" w:type="dxa"/>
            <w:vAlign w:val="center"/>
          </w:tcPr>
          <w:p w14:paraId="40916F0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个</w:t>
            </w:r>
          </w:p>
        </w:tc>
        <w:tc>
          <w:tcPr>
            <w:tcW w:w="874" w:type="dxa"/>
            <w:vAlign w:val="center"/>
          </w:tcPr>
          <w:p w14:paraId="0885EE3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w:t>
            </w:r>
          </w:p>
        </w:tc>
        <w:tc>
          <w:tcPr>
            <w:tcW w:w="907" w:type="dxa"/>
            <w:vAlign w:val="center"/>
          </w:tcPr>
          <w:p w14:paraId="73E43DE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50DFBE6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5E4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17107C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3593" w:type="dxa"/>
            <w:vAlign w:val="center"/>
          </w:tcPr>
          <w:p w14:paraId="78F2849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语音解说系统</w:t>
            </w:r>
          </w:p>
        </w:tc>
        <w:tc>
          <w:tcPr>
            <w:tcW w:w="822" w:type="dxa"/>
            <w:vAlign w:val="center"/>
          </w:tcPr>
          <w:p w14:paraId="29C440B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248D4C7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907" w:type="dxa"/>
            <w:vAlign w:val="center"/>
          </w:tcPr>
          <w:p w14:paraId="57A63B7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26F1B5A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5A51C7C3">
      <w:pPr>
        <w:pStyle w:val="5"/>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4.1.1</w:t>
      </w:r>
      <w:r>
        <w:rPr>
          <w:rFonts w:hint="default" w:ascii="Times New Roman" w:hAnsi="Times New Roman" w:cs="Times New Roman"/>
          <w:color w:val="auto"/>
          <w:highlight w:val="none"/>
          <w:lang w:val="en-US" w:eastAsia="zh-CN"/>
        </w:rPr>
        <w:t>.3</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研学教育、科普讲解专属配套场地</w:t>
      </w:r>
    </w:p>
    <w:p w14:paraId="5FFAB855">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科普宣教长廊：规划在花湖区域建设科普宣教长廊800米，作为连接室内科普宣教中心与野外自然教育径的纽带。长廊采用仿生态设计，与周边湿地景观相协调，内部按功能分段布设湿地生态系统展示区、生物多样性展示区和保护成果展示区，通过图文展板、实物标本、微缩景观模型等方式，系统展示若尔盖湿地的形成演化、泥炭沼泽地质特征及黄河上游水源涵养功能。沿线设置互动式知识问答屏、休憩座椅和观景平台，供研学团队驻足观察湿地景观、开展现场教学。预计年接待研学团队不少于100批次、受教育人数超过5000人次。</w:t>
      </w:r>
    </w:p>
    <w:p w14:paraId="29815114">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自然教育径：规划在喀哈尔乔湿地建设自然教育径800米，采用生态友好型材料铺设步道，沿线按每100—150米设置一处自然教育节点，布设小型解说牌和观察体验设施，引导体验者认识高寒湿地草原典型植被群落梯度变化，观察候鸟栖息、觅食、育雏等自然行为。沿途设置3处多功能野外教学平台，每处可容纳30—50人开展实地教学、标本采集观察等活动，终点设自然体验广场。两工程共同构建“室内—半室内—野外”三级自然教育空间体系，推动保护区成为高原湿地保护领域具有区域影响力的自然教育示范基地。</w:t>
      </w:r>
    </w:p>
    <w:p w14:paraId="645989D2">
      <w:pPr>
        <w:pStyle w:val="9"/>
        <w:rPr>
          <w:rFonts w:hint="default" w:ascii="Times New Roman" w:hAnsi="Times New Roman" w:cs="Times New Roman"/>
          <w:color w:val="auto"/>
          <w:highlight w:val="none"/>
          <w:lang w:val="en-US" w:eastAsia="zh-CN"/>
        </w:rPr>
      </w:pPr>
      <w:r>
        <w:rPr>
          <w:rFonts w:hint="default" w:ascii="Times New Roman" w:hAnsi="Times New Roman" w:eastAsia="仿宋" w:cs="Times New Roman"/>
          <w:color w:val="auto"/>
          <w:kern w:val="2"/>
          <w:sz w:val="28"/>
          <w:szCs w:val="24"/>
          <w:highlight w:val="none"/>
          <w:lang w:val="en-US" w:eastAsia="zh-CN" w:bidi="ar-SA"/>
        </w:rPr>
        <w:t>建设</w:t>
      </w:r>
      <w:r>
        <w:rPr>
          <w:rFonts w:hint="default" w:ascii="Times New Roman" w:hAnsi="Times New Roman" w:cs="Times New Roman"/>
          <w:color w:val="auto"/>
          <w:highlight w:val="none"/>
          <w:lang w:eastAsia="zh-CN"/>
        </w:rPr>
        <w:t>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-4-3。</w:t>
      </w:r>
    </w:p>
    <w:p w14:paraId="00DC5853">
      <w:pPr>
        <w:jc w:val="center"/>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-4-3</w:t>
      </w:r>
      <w:r>
        <w:rPr>
          <w:rFonts w:hint="default" w:ascii="Times New Roman" w:hAnsi="Times New Roman" w:cs="Times New Roman"/>
          <w:b/>
          <w:bCs/>
          <w:color w:val="auto"/>
          <w:highlight w:val="none"/>
          <w:lang w:eastAsia="zh-CN"/>
        </w:rPr>
        <w:t>宣传教育中心建设内容表</w:t>
      </w:r>
    </w:p>
    <w:tbl>
      <w:tblPr>
        <w:tblStyle w:val="24"/>
        <w:tblW w:w="6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823"/>
        <w:gridCol w:w="718"/>
        <w:gridCol w:w="1061"/>
        <w:gridCol w:w="1027"/>
        <w:gridCol w:w="1146"/>
      </w:tblGrid>
      <w:tr w14:paraId="0663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803" w:type="dxa"/>
            <w:vMerge w:val="restart"/>
            <w:vAlign w:val="center"/>
          </w:tcPr>
          <w:p w14:paraId="728D88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1823" w:type="dxa"/>
            <w:vMerge w:val="restart"/>
            <w:vAlign w:val="center"/>
          </w:tcPr>
          <w:p w14:paraId="08F147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718" w:type="dxa"/>
            <w:vMerge w:val="restart"/>
            <w:vAlign w:val="center"/>
          </w:tcPr>
          <w:p w14:paraId="609078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1061" w:type="dxa"/>
            <w:vMerge w:val="restart"/>
            <w:vAlign w:val="center"/>
          </w:tcPr>
          <w:p w14:paraId="3C1521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2173" w:type="dxa"/>
            <w:gridSpan w:val="2"/>
            <w:vAlign w:val="center"/>
          </w:tcPr>
          <w:p w14:paraId="7155AD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2545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803" w:type="dxa"/>
            <w:vMerge w:val="continue"/>
            <w:vAlign w:val="center"/>
          </w:tcPr>
          <w:p w14:paraId="76A746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823" w:type="dxa"/>
            <w:vMerge w:val="continue"/>
            <w:vAlign w:val="center"/>
          </w:tcPr>
          <w:p w14:paraId="38FBA5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718" w:type="dxa"/>
            <w:vMerge w:val="continue"/>
            <w:vAlign w:val="center"/>
          </w:tcPr>
          <w:p w14:paraId="1D1003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61" w:type="dxa"/>
            <w:vMerge w:val="continue"/>
            <w:vAlign w:val="center"/>
          </w:tcPr>
          <w:p w14:paraId="7826AF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1027" w:type="dxa"/>
            <w:vAlign w:val="center"/>
          </w:tcPr>
          <w:p w14:paraId="46F6CE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146" w:type="dxa"/>
            <w:vAlign w:val="center"/>
          </w:tcPr>
          <w:p w14:paraId="784F89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2CBE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03" w:type="dxa"/>
            <w:vAlign w:val="center"/>
          </w:tcPr>
          <w:p w14:paraId="3E36F1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w:t>
            </w:r>
          </w:p>
        </w:tc>
        <w:tc>
          <w:tcPr>
            <w:tcW w:w="1823" w:type="dxa"/>
            <w:vAlign w:val="center"/>
          </w:tcPr>
          <w:p w14:paraId="39824C5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科普宣教长廊</w:t>
            </w:r>
          </w:p>
        </w:tc>
        <w:tc>
          <w:tcPr>
            <w:tcW w:w="718" w:type="dxa"/>
            <w:vAlign w:val="center"/>
          </w:tcPr>
          <w:p w14:paraId="4F657CD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m</w:t>
            </w:r>
          </w:p>
        </w:tc>
        <w:tc>
          <w:tcPr>
            <w:tcW w:w="1061" w:type="dxa"/>
            <w:vAlign w:val="center"/>
          </w:tcPr>
          <w:p w14:paraId="6740167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800</w:t>
            </w:r>
          </w:p>
        </w:tc>
        <w:tc>
          <w:tcPr>
            <w:tcW w:w="1027" w:type="dxa"/>
            <w:vAlign w:val="center"/>
          </w:tcPr>
          <w:p w14:paraId="54E8F7E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46" w:type="dxa"/>
            <w:vAlign w:val="center"/>
          </w:tcPr>
          <w:p w14:paraId="2DFAC7A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752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03" w:type="dxa"/>
            <w:vAlign w:val="center"/>
          </w:tcPr>
          <w:p w14:paraId="1A6781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2</w:t>
            </w:r>
          </w:p>
        </w:tc>
        <w:tc>
          <w:tcPr>
            <w:tcW w:w="1823" w:type="dxa"/>
            <w:vAlign w:val="center"/>
          </w:tcPr>
          <w:p w14:paraId="17A3DA0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自然教育径</w:t>
            </w:r>
          </w:p>
        </w:tc>
        <w:tc>
          <w:tcPr>
            <w:tcW w:w="718" w:type="dxa"/>
            <w:vAlign w:val="center"/>
          </w:tcPr>
          <w:p w14:paraId="065B2D2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m</w:t>
            </w:r>
          </w:p>
        </w:tc>
        <w:tc>
          <w:tcPr>
            <w:tcW w:w="1061" w:type="dxa"/>
            <w:vAlign w:val="center"/>
          </w:tcPr>
          <w:p w14:paraId="51932A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800</w:t>
            </w:r>
          </w:p>
        </w:tc>
        <w:tc>
          <w:tcPr>
            <w:tcW w:w="1027" w:type="dxa"/>
            <w:vAlign w:val="center"/>
          </w:tcPr>
          <w:p w14:paraId="5CB9ED1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146" w:type="dxa"/>
            <w:vAlign w:val="center"/>
          </w:tcPr>
          <w:p w14:paraId="0EA5D90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6C5B8AF5">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4.4.2</w:t>
      </w:r>
      <w:r>
        <w:rPr>
          <w:rFonts w:hint="default" w:ascii="Times New Roman" w:hAnsi="Times New Roman" w:cs="Times New Roman"/>
          <w:color w:val="auto"/>
          <w:highlight w:val="none"/>
          <w:lang w:val="en-US" w:eastAsia="zh-CN"/>
        </w:rPr>
        <w:t>品牌传播规划</w:t>
      </w:r>
    </w:p>
    <w:p w14:paraId="63FDD947">
      <w:pPr>
        <w:pStyle w:val="5"/>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4.4.2</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对</w:t>
      </w:r>
      <w:r>
        <w:rPr>
          <w:rFonts w:hint="default" w:ascii="Times New Roman" w:hAnsi="Times New Roman" w:cs="Times New Roman"/>
          <w:color w:val="auto"/>
          <w:highlight w:val="none"/>
          <w:lang w:eastAsia="zh-CN"/>
        </w:rPr>
        <w:t>外</w:t>
      </w:r>
      <w:r>
        <w:rPr>
          <w:rFonts w:hint="default" w:ascii="Times New Roman" w:hAnsi="Times New Roman" w:cs="Times New Roman"/>
          <w:color w:val="auto"/>
          <w:highlight w:val="none"/>
        </w:rPr>
        <w:t>的宣传教育</w:t>
      </w:r>
    </w:p>
    <w:p w14:paraId="19CC13B0">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lang w:eastAsia="zh-CN"/>
        </w:rPr>
        <w:t>利用旅游参观者等外来人员扩散性强的特点，广泛开展保护区的宣传教育，采取以下多种宣教手段。</w:t>
      </w:r>
    </w:p>
    <w:p w14:paraId="4A6A6236">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编制、编印宣传资料：组织拍摄、录制、编印保护区宣传画册、</w:t>
      </w:r>
      <w:r>
        <w:rPr>
          <w:rFonts w:hint="default" w:ascii="Times New Roman" w:hAnsi="Times New Roman" w:cs="Times New Roman"/>
          <w:color w:val="auto"/>
          <w:highlight w:val="none"/>
          <w:lang w:val="en-US" w:eastAsia="zh-CN"/>
        </w:rPr>
        <w:t>影像</w:t>
      </w:r>
      <w:r>
        <w:rPr>
          <w:rFonts w:hint="default" w:ascii="Times New Roman" w:hAnsi="Times New Roman" w:cs="Times New Roman"/>
          <w:color w:val="auto"/>
          <w:highlight w:val="none"/>
        </w:rPr>
        <w:t>，宣传有关野生动植物和自然保护意义与知识、国家法律、法规及政策。录制保护区专题片，面向社会，通过电视、广播、报章杂志</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融媒体</w:t>
      </w:r>
      <w:r>
        <w:rPr>
          <w:rFonts w:hint="default" w:ascii="Times New Roman" w:hAnsi="Times New Roman" w:cs="Times New Roman"/>
          <w:color w:val="auto"/>
          <w:highlight w:val="none"/>
        </w:rPr>
        <w:t>等大众媒体，宣传</w:t>
      </w:r>
      <w:r>
        <w:rPr>
          <w:rFonts w:hint="default" w:ascii="Times New Roman" w:hAnsi="Times New Roman" w:cs="Times New Roman"/>
          <w:color w:val="auto"/>
          <w:highlight w:val="none"/>
          <w:lang w:eastAsia="zh-CN"/>
        </w:rPr>
        <w:t>若尔盖自然保护区</w:t>
      </w:r>
      <w:r>
        <w:rPr>
          <w:rFonts w:hint="default" w:ascii="Times New Roman" w:hAnsi="Times New Roman" w:cs="Times New Roman"/>
          <w:color w:val="auto"/>
          <w:highlight w:val="none"/>
        </w:rPr>
        <w:t>，树立</w:t>
      </w:r>
      <w:r>
        <w:rPr>
          <w:rFonts w:hint="default" w:ascii="Times New Roman" w:hAnsi="Times New Roman" w:cs="Times New Roman"/>
          <w:color w:val="auto"/>
          <w:highlight w:val="none"/>
          <w:lang w:eastAsia="zh-CN"/>
        </w:rPr>
        <w:t>若尔盖自然保护区保护示范</w:t>
      </w:r>
      <w:r>
        <w:rPr>
          <w:rFonts w:hint="default" w:ascii="Times New Roman" w:hAnsi="Times New Roman" w:cs="Times New Roman"/>
          <w:color w:val="auto"/>
          <w:highlight w:val="none"/>
        </w:rPr>
        <w:t>的公众形象。</w:t>
      </w:r>
    </w:p>
    <w:p w14:paraId="42CBB54C">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设置解释、警示、指示标牌：在保护区管理处和保护站以及保护区各出入路口，设置解说性、提示性、限制性、警示性标牌。在保护区周边乡镇和村组以及</w:t>
      </w:r>
      <w:r>
        <w:rPr>
          <w:rFonts w:hint="default" w:ascii="Times New Roman" w:hAnsi="Times New Roman" w:cs="Times New Roman"/>
          <w:color w:val="auto"/>
          <w:highlight w:val="none"/>
          <w:lang w:val="en-US" w:eastAsia="zh-CN"/>
        </w:rPr>
        <w:t>国省道</w:t>
      </w:r>
      <w:r>
        <w:rPr>
          <w:rFonts w:hint="default" w:ascii="Times New Roman" w:hAnsi="Times New Roman" w:cs="Times New Roman"/>
          <w:color w:val="auto"/>
          <w:highlight w:val="none"/>
        </w:rPr>
        <w:t>沿线的适当地方设置小型标牌，标牌采用坚固耐用的石质材料制作，美观大方，文字应有汉、藏、英三种文字对照，通俗易懂、准确简练。</w:t>
      </w:r>
    </w:p>
    <w:p w14:paraId="77C7BCD9">
      <w:pPr>
        <w:pStyle w:val="9"/>
        <w:rPr>
          <w:rFonts w:hint="default" w:ascii="Times New Roman" w:hAnsi="Times New Roman" w:cs="Times New Roman"/>
          <w:color w:val="auto"/>
          <w:highlight w:val="none"/>
          <w:lang w:val="en-US" w:eastAsia="zh-CN"/>
        </w:rPr>
      </w:pPr>
      <w:r>
        <w:rPr>
          <w:rFonts w:hint="default" w:ascii="Times New Roman" w:hAnsi="Times New Roman" w:eastAsia="仿宋" w:cs="Times New Roman"/>
          <w:color w:val="auto"/>
          <w:kern w:val="2"/>
          <w:sz w:val="28"/>
          <w:szCs w:val="24"/>
          <w:highlight w:val="none"/>
          <w:lang w:val="en-US" w:eastAsia="zh-CN" w:bidi="ar-SA"/>
        </w:rPr>
        <w:t>建设</w:t>
      </w:r>
      <w:r>
        <w:rPr>
          <w:rFonts w:hint="default" w:ascii="Times New Roman" w:hAnsi="Times New Roman" w:cs="Times New Roman"/>
          <w:color w:val="auto"/>
          <w:highlight w:val="none"/>
          <w:lang w:eastAsia="zh-CN"/>
        </w:rPr>
        <w:t>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-4-4。</w:t>
      </w:r>
    </w:p>
    <w:p w14:paraId="10F65BF2">
      <w:pPr>
        <w:pStyle w:val="9"/>
        <w:rPr>
          <w:rFonts w:hint="default" w:ascii="Times New Roman" w:hAnsi="Times New Roman" w:cs="Times New Roman"/>
          <w:color w:val="auto"/>
          <w:highlight w:val="none"/>
          <w:lang w:val="en-US" w:eastAsia="zh-CN"/>
        </w:rPr>
      </w:pPr>
    </w:p>
    <w:p w14:paraId="3AFE3BF9">
      <w:pPr>
        <w:pStyle w:val="9"/>
        <w:rPr>
          <w:rFonts w:hint="default" w:ascii="Times New Roman" w:hAnsi="Times New Roman" w:cs="Times New Roman"/>
          <w:color w:val="auto"/>
          <w:highlight w:val="none"/>
          <w:lang w:val="en-US" w:eastAsia="zh-CN"/>
        </w:rPr>
      </w:pPr>
    </w:p>
    <w:p w14:paraId="197C22E6">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4-4宣传教育内容</w:t>
      </w:r>
      <w:r>
        <w:rPr>
          <w:rFonts w:hint="default" w:ascii="Times New Roman" w:hAnsi="Times New Roman" w:cs="Times New Roman"/>
          <w:b/>
          <w:bCs/>
          <w:color w:val="auto"/>
          <w:highlight w:val="none"/>
        </w:rPr>
        <w:t>表</w:t>
      </w:r>
    </w:p>
    <w:tbl>
      <w:tblPr>
        <w:tblStyle w:val="24"/>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593"/>
        <w:gridCol w:w="822"/>
        <w:gridCol w:w="874"/>
        <w:gridCol w:w="907"/>
        <w:gridCol w:w="1013"/>
      </w:tblGrid>
      <w:tr w14:paraId="2D3A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Merge w:val="restart"/>
            <w:vAlign w:val="center"/>
          </w:tcPr>
          <w:p w14:paraId="1214BD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3593" w:type="dxa"/>
            <w:vMerge w:val="restart"/>
            <w:vAlign w:val="center"/>
          </w:tcPr>
          <w:p w14:paraId="0D8A6B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822" w:type="dxa"/>
            <w:vMerge w:val="restart"/>
            <w:vAlign w:val="center"/>
          </w:tcPr>
          <w:p w14:paraId="507E5E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874" w:type="dxa"/>
            <w:vMerge w:val="restart"/>
            <w:vAlign w:val="center"/>
          </w:tcPr>
          <w:p w14:paraId="59F5D6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1920" w:type="dxa"/>
            <w:gridSpan w:val="2"/>
            <w:vAlign w:val="center"/>
          </w:tcPr>
          <w:p w14:paraId="504D37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7BEF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Merge w:val="continue"/>
            <w:vAlign w:val="center"/>
          </w:tcPr>
          <w:p w14:paraId="3884C7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3593" w:type="dxa"/>
            <w:vMerge w:val="continue"/>
            <w:vAlign w:val="center"/>
          </w:tcPr>
          <w:p w14:paraId="7BB0FE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822" w:type="dxa"/>
            <w:vMerge w:val="continue"/>
            <w:vAlign w:val="center"/>
          </w:tcPr>
          <w:p w14:paraId="480B2D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874" w:type="dxa"/>
            <w:vMerge w:val="continue"/>
            <w:vAlign w:val="center"/>
          </w:tcPr>
          <w:p w14:paraId="3D3A9B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07" w:type="dxa"/>
            <w:vAlign w:val="center"/>
          </w:tcPr>
          <w:p w14:paraId="4C34A8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013" w:type="dxa"/>
            <w:vAlign w:val="center"/>
          </w:tcPr>
          <w:p w14:paraId="286BC9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4C88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1AEBEC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3593" w:type="dxa"/>
            <w:vAlign w:val="center"/>
          </w:tcPr>
          <w:p w14:paraId="0A77411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宣传视频</w:t>
            </w:r>
          </w:p>
        </w:tc>
        <w:tc>
          <w:tcPr>
            <w:tcW w:w="822" w:type="dxa"/>
            <w:vAlign w:val="center"/>
          </w:tcPr>
          <w:p w14:paraId="6A2EA33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部</w:t>
            </w:r>
          </w:p>
        </w:tc>
        <w:tc>
          <w:tcPr>
            <w:tcW w:w="874" w:type="dxa"/>
            <w:vAlign w:val="center"/>
          </w:tcPr>
          <w:p w14:paraId="4E85544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907" w:type="dxa"/>
            <w:vAlign w:val="center"/>
          </w:tcPr>
          <w:p w14:paraId="58D6E83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3FF56FD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7B7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54309E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3593" w:type="dxa"/>
            <w:vAlign w:val="center"/>
          </w:tcPr>
          <w:p w14:paraId="512ACF2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宣传手册与画册</w:t>
            </w:r>
          </w:p>
        </w:tc>
        <w:tc>
          <w:tcPr>
            <w:tcW w:w="822" w:type="dxa"/>
            <w:vAlign w:val="center"/>
          </w:tcPr>
          <w:p w14:paraId="24DF9C6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册</w:t>
            </w:r>
          </w:p>
        </w:tc>
        <w:tc>
          <w:tcPr>
            <w:tcW w:w="874" w:type="dxa"/>
            <w:vAlign w:val="center"/>
          </w:tcPr>
          <w:p w14:paraId="287267C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7500</w:t>
            </w:r>
          </w:p>
        </w:tc>
        <w:tc>
          <w:tcPr>
            <w:tcW w:w="907" w:type="dxa"/>
            <w:vAlign w:val="center"/>
          </w:tcPr>
          <w:p w14:paraId="1FCFC1A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5D9381B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A2D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7F722B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3593" w:type="dxa"/>
            <w:vAlign w:val="center"/>
          </w:tcPr>
          <w:p w14:paraId="454B4C3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社区宣传教育培训</w:t>
            </w:r>
          </w:p>
        </w:tc>
        <w:tc>
          <w:tcPr>
            <w:tcW w:w="822" w:type="dxa"/>
            <w:vAlign w:val="center"/>
          </w:tcPr>
          <w:p w14:paraId="097F831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次</w:t>
            </w:r>
          </w:p>
        </w:tc>
        <w:tc>
          <w:tcPr>
            <w:tcW w:w="874" w:type="dxa"/>
            <w:vAlign w:val="center"/>
          </w:tcPr>
          <w:p w14:paraId="4633057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07" w:type="dxa"/>
            <w:vAlign w:val="center"/>
          </w:tcPr>
          <w:p w14:paraId="0014087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763042A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158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51B932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3593" w:type="dxa"/>
            <w:vAlign w:val="center"/>
          </w:tcPr>
          <w:p w14:paraId="100CD41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管理和科研人员技术培训</w:t>
            </w:r>
          </w:p>
        </w:tc>
        <w:tc>
          <w:tcPr>
            <w:tcW w:w="822" w:type="dxa"/>
            <w:vAlign w:val="center"/>
          </w:tcPr>
          <w:p w14:paraId="660616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次</w:t>
            </w:r>
          </w:p>
        </w:tc>
        <w:tc>
          <w:tcPr>
            <w:tcW w:w="874" w:type="dxa"/>
            <w:vAlign w:val="center"/>
          </w:tcPr>
          <w:p w14:paraId="535BA8B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07" w:type="dxa"/>
            <w:vAlign w:val="center"/>
          </w:tcPr>
          <w:p w14:paraId="1526779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48C7225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865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217191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3593" w:type="dxa"/>
            <w:vAlign w:val="center"/>
          </w:tcPr>
          <w:p w14:paraId="4080A9B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专题活动</w:t>
            </w:r>
          </w:p>
        </w:tc>
        <w:tc>
          <w:tcPr>
            <w:tcW w:w="822" w:type="dxa"/>
            <w:vAlign w:val="center"/>
          </w:tcPr>
          <w:p w14:paraId="155D8CE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次</w:t>
            </w:r>
          </w:p>
        </w:tc>
        <w:tc>
          <w:tcPr>
            <w:tcW w:w="874" w:type="dxa"/>
            <w:vAlign w:val="center"/>
          </w:tcPr>
          <w:p w14:paraId="3FCEA5C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w:t>
            </w:r>
          </w:p>
        </w:tc>
        <w:tc>
          <w:tcPr>
            <w:tcW w:w="907" w:type="dxa"/>
            <w:shd w:val="clear" w:color="auto" w:fill="auto"/>
            <w:vAlign w:val="center"/>
          </w:tcPr>
          <w:p w14:paraId="3FB7A52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60692D1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C56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3D0CE1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3593" w:type="dxa"/>
            <w:vAlign w:val="center"/>
          </w:tcPr>
          <w:p w14:paraId="4CC9E4E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实践活动</w:t>
            </w:r>
          </w:p>
        </w:tc>
        <w:tc>
          <w:tcPr>
            <w:tcW w:w="822" w:type="dxa"/>
            <w:vAlign w:val="center"/>
          </w:tcPr>
          <w:p w14:paraId="4362B7A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次</w:t>
            </w:r>
          </w:p>
        </w:tc>
        <w:tc>
          <w:tcPr>
            <w:tcW w:w="874" w:type="dxa"/>
            <w:vAlign w:val="center"/>
          </w:tcPr>
          <w:p w14:paraId="4A1C6EA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20</w:t>
            </w:r>
          </w:p>
        </w:tc>
        <w:tc>
          <w:tcPr>
            <w:tcW w:w="907" w:type="dxa"/>
            <w:shd w:val="clear" w:color="auto" w:fill="auto"/>
            <w:vAlign w:val="center"/>
          </w:tcPr>
          <w:p w14:paraId="036A41A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24F1CD4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E8D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00D5F7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3593" w:type="dxa"/>
            <w:vAlign w:val="center"/>
          </w:tcPr>
          <w:p w14:paraId="24AF8D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知识讲座</w:t>
            </w:r>
          </w:p>
        </w:tc>
        <w:tc>
          <w:tcPr>
            <w:tcW w:w="822" w:type="dxa"/>
            <w:vAlign w:val="center"/>
          </w:tcPr>
          <w:p w14:paraId="5489D8E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次</w:t>
            </w:r>
          </w:p>
        </w:tc>
        <w:tc>
          <w:tcPr>
            <w:tcW w:w="874" w:type="dxa"/>
            <w:vAlign w:val="center"/>
          </w:tcPr>
          <w:p w14:paraId="7F6322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07" w:type="dxa"/>
            <w:shd w:val="clear" w:color="auto" w:fill="auto"/>
            <w:vAlign w:val="center"/>
          </w:tcPr>
          <w:p w14:paraId="2103B18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364905F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3E607F04">
      <w:pPr>
        <w:pStyle w:val="5"/>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4.4.2</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宣传培训设施、设备</w:t>
      </w:r>
    </w:p>
    <w:p w14:paraId="2B3054A9">
      <w:pPr>
        <w:pStyle w:val="9"/>
        <w:numPr>
          <w:ilvl w:val="0"/>
          <w:numId w:val="12"/>
        </w:numP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若尔盖国家公园科普宣教中心</w:t>
      </w:r>
    </w:p>
    <w:p w14:paraId="16987BF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建设若尔盖国家公园科普宣教中心，定位为湿地生态系统的专题化深度展示空间，建筑面积5000㎡，采用2—3层框架结构，满足高寒地区抗震、保温、节能等建筑规范要求。建筑内部按功能划分为入口序厅及综合服务区、主题展示区、互动体验与研学教育区、科研与行政管理区、设备与后勤保障区，配套给排水、供配电、供暖、消防、通风等系统。室外配套绿化500㎡，结合乡土植物配置，营造与湿地景观相协调的休憩与导览空间，确保宣教中心全年正常运营。</w:t>
      </w:r>
    </w:p>
    <w:p w14:paraId="205C1458">
      <w:pPr>
        <w:pStyle w:val="8"/>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室内布展面积3000㎡，以“高原湿地·中华水塔”为主题，设置五大核心展区：序厅通过LED弧形屏与湿地微缩景观，展示若尔盖四季风光；湿地形成演化厅以地质沙盘和泥炭地层剖面，揭示泥炭沼泽发育机理；生物多样性厅以黑颈鹤为核心，通过生态景箱和全息影像讲述湿地物种故事；保护修复成果厅以对比影像展示保护成效；互动体验区配置VR设备和自然讲堂，开展研学课程，实现寓教于乐。</w:t>
      </w:r>
    </w:p>
    <w:p w14:paraId="2504799D">
      <w:p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配套办公设备、办公家具、展示设备、讲解设备，满足日常运营和研学活动需求。配套智慧管理系统1套，实现客流统计、展项管理和安防监控一体化运营。室外设置全景导览标识和无障碍设施。建成后年接待能力达10万人次以上，成为展示保护成效、开展自然教育、传播国家公园理念的重要平台。</w:t>
      </w:r>
    </w:p>
    <w:p w14:paraId="0F666AB8">
      <w:pPr>
        <w:pStyle w:val="9"/>
        <w:rPr>
          <w:rFonts w:hint="default" w:ascii="Times New Roman" w:hAnsi="Times New Roman" w:cs="Times New Roman"/>
          <w:highlight w:val="none"/>
          <w:lang w:val="en-US" w:eastAsia="zh-CN"/>
        </w:rPr>
      </w:pPr>
      <w:r>
        <w:rPr>
          <w:rFonts w:hint="default" w:ascii="Times New Roman" w:hAnsi="Times New Roman" w:eastAsia="仿宋" w:cs="Times New Roman"/>
          <w:color w:val="auto"/>
          <w:kern w:val="2"/>
          <w:sz w:val="28"/>
          <w:szCs w:val="24"/>
          <w:highlight w:val="none"/>
          <w:lang w:val="en-US" w:eastAsia="zh-CN" w:bidi="ar-SA"/>
        </w:rPr>
        <w:t>建设</w:t>
      </w:r>
      <w:r>
        <w:rPr>
          <w:rFonts w:hint="default" w:ascii="Times New Roman" w:hAnsi="Times New Roman" w:cs="Times New Roman"/>
          <w:color w:val="auto"/>
          <w:highlight w:val="none"/>
          <w:lang w:eastAsia="zh-CN"/>
        </w:rPr>
        <w:t>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-4-5。</w:t>
      </w:r>
    </w:p>
    <w:p w14:paraId="644CCCF4">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4-5若尔盖国家公园科普宣教中心建设内容</w:t>
      </w:r>
      <w:r>
        <w:rPr>
          <w:rFonts w:hint="default" w:ascii="Times New Roman" w:hAnsi="Times New Roman" w:cs="Times New Roman"/>
          <w:b/>
          <w:bCs/>
          <w:color w:val="auto"/>
          <w:highlight w:val="none"/>
        </w:rPr>
        <w:t>表</w:t>
      </w:r>
    </w:p>
    <w:tbl>
      <w:tblPr>
        <w:tblStyle w:val="24"/>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593"/>
        <w:gridCol w:w="822"/>
        <w:gridCol w:w="874"/>
        <w:gridCol w:w="907"/>
        <w:gridCol w:w="1013"/>
      </w:tblGrid>
      <w:tr w14:paraId="6DF7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Merge w:val="restart"/>
            <w:vAlign w:val="center"/>
          </w:tcPr>
          <w:p w14:paraId="550FB4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序号</w:t>
            </w:r>
          </w:p>
        </w:tc>
        <w:tc>
          <w:tcPr>
            <w:tcW w:w="3593" w:type="dxa"/>
            <w:vMerge w:val="restart"/>
            <w:vAlign w:val="center"/>
          </w:tcPr>
          <w:p w14:paraId="540CAD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名称</w:t>
            </w:r>
          </w:p>
        </w:tc>
        <w:tc>
          <w:tcPr>
            <w:tcW w:w="822" w:type="dxa"/>
            <w:vMerge w:val="restart"/>
            <w:vAlign w:val="center"/>
          </w:tcPr>
          <w:p w14:paraId="43C49A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单位</w:t>
            </w:r>
          </w:p>
        </w:tc>
        <w:tc>
          <w:tcPr>
            <w:tcW w:w="874" w:type="dxa"/>
            <w:vMerge w:val="restart"/>
            <w:vAlign w:val="center"/>
          </w:tcPr>
          <w:p w14:paraId="4DA1FB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工程量</w:t>
            </w:r>
          </w:p>
        </w:tc>
        <w:tc>
          <w:tcPr>
            <w:tcW w:w="1920" w:type="dxa"/>
            <w:gridSpan w:val="2"/>
            <w:vAlign w:val="center"/>
          </w:tcPr>
          <w:p w14:paraId="14E933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sz w:val="18"/>
                <w:szCs w:val="18"/>
                <w:highlight w:val="none"/>
              </w:rPr>
              <w:t>建设期限</w:t>
            </w:r>
          </w:p>
        </w:tc>
      </w:tr>
      <w:tr w14:paraId="29DD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Merge w:val="continue"/>
            <w:vAlign w:val="center"/>
          </w:tcPr>
          <w:p w14:paraId="285C1E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3593" w:type="dxa"/>
            <w:vMerge w:val="continue"/>
            <w:vAlign w:val="center"/>
          </w:tcPr>
          <w:p w14:paraId="0A1904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822" w:type="dxa"/>
            <w:vMerge w:val="continue"/>
            <w:vAlign w:val="center"/>
          </w:tcPr>
          <w:p w14:paraId="4C82C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874" w:type="dxa"/>
            <w:vMerge w:val="continue"/>
            <w:vAlign w:val="center"/>
          </w:tcPr>
          <w:p w14:paraId="675559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p>
        </w:tc>
        <w:tc>
          <w:tcPr>
            <w:tcW w:w="907" w:type="dxa"/>
            <w:vAlign w:val="center"/>
          </w:tcPr>
          <w:p w14:paraId="58DC3D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近期</w:t>
            </w:r>
          </w:p>
        </w:tc>
        <w:tc>
          <w:tcPr>
            <w:tcW w:w="1013" w:type="dxa"/>
            <w:vAlign w:val="center"/>
          </w:tcPr>
          <w:p w14:paraId="2B20C9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eastAsiaTheme="minorEastAsia"/>
                <w:b/>
                <w:bCs/>
                <w:color w:val="auto"/>
                <w:sz w:val="18"/>
                <w:szCs w:val="18"/>
                <w:highlight w:val="none"/>
              </w:rPr>
            </w:pPr>
            <w:r>
              <w:rPr>
                <w:rFonts w:hint="default" w:ascii="Times New Roman" w:hAnsi="Times New Roman" w:cs="Times New Roman" w:eastAsiaTheme="minorEastAsia"/>
                <w:b/>
                <w:bCs/>
                <w:color w:val="auto"/>
                <w:kern w:val="0"/>
                <w:sz w:val="18"/>
                <w:szCs w:val="18"/>
                <w:highlight w:val="none"/>
                <w:lang w:eastAsia="zh-CN"/>
              </w:rPr>
              <w:t>中长期</w:t>
            </w:r>
          </w:p>
        </w:tc>
      </w:tr>
      <w:tr w14:paraId="7467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4B499E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1</w:t>
            </w:r>
          </w:p>
        </w:tc>
        <w:tc>
          <w:tcPr>
            <w:tcW w:w="3593" w:type="dxa"/>
            <w:vAlign w:val="center"/>
          </w:tcPr>
          <w:p w14:paraId="72E6205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建筑面积</w:t>
            </w:r>
          </w:p>
        </w:tc>
        <w:tc>
          <w:tcPr>
            <w:tcW w:w="822" w:type="dxa"/>
            <w:vAlign w:val="center"/>
          </w:tcPr>
          <w:p w14:paraId="6EBACEB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874" w:type="dxa"/>
            <w:vAlign w:val="center"/>
          </w:tcPr>
          <w:p w14:paraId="07D7B65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5000</w:t>
            </w:r>
          </w:p>
        </w:tc>
        <w:tc>
          <w:tcPr>
            <w:tcW w:w="907" w:type="dxa"/>
            <w:vAlign w:val="center"/>
          </w:tcPr>
          <w:p w14:paraId="1F3C58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29794D9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072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6FAE6E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2</w:t>
            </w:r>
          </w:p>
        </w:tc>
        <w:tc>
          <w:tcPr>
            <w:tcW w:w="3593" w:type="dxa"/>
            <w:vAlign w:val="center"/>
          </w:tcPr>
          <w:p w14:paraId="0AA05FB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配套供电设施</w:t>
            </w:r>
          </w:p>
        </w:tc>
        <w:tc>
          <w:tcPr>
            <w:tcW w:w="822" w:type="dxa"/>
            <w:vAlign w:val="center"/>
          </w:tcPr>
          <w:p w14:paraId="5E55B24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51DFB69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907" w:type="dxa"/>
            <w:vAlign w:val="center"/>
          </w:tcPr>
          <w:p w14:paraId="7C7DE8B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4F2C949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3E7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09" w:type="dxa"/>
            <w:vAlign w:val="center"/>
          </w:tcPr>
          <w:p w14:paraId="064978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3</w:t>
            </w:r>
          </w:p>
        </w:tc>
        <w:tc>
          <w:tcPr>
            <w:tcW w:w="3593" w:type="dxa"/>
            <w:vAlign w:val="center"/>
          </w:tcPr>
          <w:p w14:paraId="74DC44D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配套给排水设施</w:t>
            </w:r>
          </w:p>
        </w:tc>
        <w:tc>
          <w:tcPr>
            <w:tcW w:w="822" w:type="dxa"/>
            <w:vAlign w:val="center"/>
          </w:tcPr>
          <w:p w14:paraId="2834F79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0BB3D53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907" w:type="dxa"/>
            <w:vAlign w:val="center"/>
          </w:tcPr>
          <w:p w14:paraId="1E71E12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43DD636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4DA7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22E8B1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4</w:t>
            </w:r>
          </w:p>
        </w:tc>
        <w:tc>
          <w:tcPr>
            <w:tcW w:w="3593" w:type="dxa"/>
            <w:vAlign w:val="center"/>
          </w:tcPr>
          <w:p w14:paraId="164CACB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配套办公设备</w:t>
            </w:r>
          </w:p>
        </w:tc>
        <w:tc>
          <w:tcPr>
            <w:tcW w:w="822" w:type="dxa"/>
            <w:vAlign w:val="center"/>
          </w:tcPr>
          <w:p w14:paraId="17596D8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6D2C598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07" w:type="dxa"/>
            <w:vAlign w:val="center"/>
          </w:tcPr>
          <w:p w14:paraId="6C5FF38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vAlign w:val="center"/>
          </w:tcPr>
          <w:p w14:paraId="74A3A3D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EC2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02F22C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5</w:t>
            </w:r>
          </w:p>
        </w:tc>
        <w:tc>
          <w:tcPr>
            <w:tcW w:w="3593" w:type="dxa"/>
            <w:vAlign w:val="center"/>
          </w:tcPr>
          <w:p w14:paraId="6413A76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配套展示设备</w:t>
            </w:r>
          </w:p>
        </w:tc>
        <w:tc>
          <w:tcPr>
            <w:tcW w:w="822" w:type="dxa"/>
            <w:vAlign w:val="center"/>
          </w:tcPr>
          <w:p w14:paraId="5A8B2DC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363503F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07" w:type="dxa"/>
            <w:shd w:val="clear" w:color="auto" w:fill="auto"/>
            <w:vAlign w:val="center"/>
          </w:tcPr>
          <w:p w14:paraId="66E69B7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026A4AF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D47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32DA02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6</w:t>
            </w:r>
          </w:p>
        </w:tc>
        <w:tc>
          <w:tcPr>
            <w:tcW w:w="3593" w:type="dxa"/>
            <w:vAlign w:val="center"/>
          </w:tcPr>
          <w:p w14:paraId="43A83A0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配套办公家具</w:t>
            </w:r>
          </w:p>
        </w:tc>
        <w:tc>
          <w:tcPr>
            <w:tcW w:w="822" w:type="dxa"/>
            <w:vAlign w:val="center"/>
          </w:tcPr>
          <w:p w14:paraId="1A88D01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3930DE9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07" w:type="dxa"/>
            <w:shd w:val="clear" w:color="auto" w:fill="auto"/>
            <w:vAlign w:val="center"/>
          </w:tcPr>
          <w:p w14:paraId="03C4758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6C8EDB4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396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7EC851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7</w:t>
            </w:r>
          </w:p>
        </w:tc>
        <w:tc>
          <w:tcPr>
            <w:tcW w:w="3593" w:type="dxa"/>
            <w:vAlign w:val="center"/>
          </w:tcPr>
          <w:p w14:paraId="75DAAB4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室内布展</w:t>
            </w:r>
          </w:p>
        </w:tc>
        <w:tc>
          <w:tcPr>
            <w:tcW w:w="822" w:type="dxa"/>
            <w:vAlign w:val="center"/>
          </w:tcPr>
          <w:p w14:paraId="436FE70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874" w:type="dxa"/>
            <w:vAlign w:val="center"/>
          </w:tcPr>
          <w:p w14:paraId="21D8E63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3000</w:t>
            </w:r>
          </w:p>
        </w:tc>
        <w:tc>
          <w:tcPr>
            <w:tcW w:w="907" w:type="dxa"/>
            <w:shd w:val="clear" w:color="auto" w:fill="auto"/>
            <w:vAlign w:val="center"/>
          </w:tcPr>
          <w:p w14:paraId="28B0194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4F02999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0635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4098A6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8</w:t>
            </w:r>
          </w:p>
        </w:tc>
        <w:tc>
          <w:tcPr>
            <w:tcW w:w="3593" w:type="dxa"/>
            <w:vAlign w:val="center"/>
          </w:tcPr>
          <w:p w14:paraId="5A82035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讲解设备</w:t>
            </w:r>
          </w:p>
        </w:tc>
        <w:tc>
          <w:tcPr>
            <w:tcW w:w="822" w:type="dxa"/>
            <w:vAlign w:val="center"/>
          </w:tcPr>
          <w:p w14:paraId="41CE8DC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套</w:t>
            </w:r>
          </w:p>
        </w:tc>
        <w:tc>
          <w:tcPr>
            <w:tcW w:w="874" w:type="dxa"/>
            <w:vAlign w:val="center"/>
          </w:tcPr>
          <w:p w14:paraId="573D446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100</w:t>
            </w:r>
          </w:p>
        </w:tc>
        <w:tc>
          <w:tcPr>
            <w:tcW w:w="907" w:type="dxa"/>
            <w:shd w:val="clear" w:color="auto" w:fill="auto"/>
            <w:vAlign w:val="center"/>
          </w:tcPr>
          <w:p w14:paraId="2338A95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3FE7A30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EDC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09" w:type="dxa"/>
            <w:vAlign w:val="center"/>
          </w:tcPr>
          <w:p w14:paraId="5D2C44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9</w:t>
            </w:r>
          </w:p>
        </w:tc>
        <w:tc>
          <w:tcPr>
            <w:tcW w:w="3593" w:type="dxa"/>
            <w:vAlign w:val="center"/>
          </w:tcPr>
          <w:p w14:paraId="04B7E15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室外绿化</w:t>
            </w:r>
          </w:p>
        </w:tc>
        <w:tc>
          <w:tcPr>
            <w:tcW w:w="822" w:type="dxa"/>
            <w:vAlign w:val="center"/>
          </w:tcPr>
          <w:p w14:paraId="3389ECB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874" w:type="dxa"/>
            <w:vAlign w:val="center"/>
          </w:tcPr>
          <w:p w14:paraId="63CC1B9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500</w:t>
            </w:r>
          </w:p>
        </w:tc>
        <w:tc>
          <w:tcPr>
            <w:tcW w:w="907" w:type="dxa"/>
            <w:shd w:val="clear" w:color="auto" w:fill="auto"/>
            <w:vAlign w:val="center"/>
          </w:tcPr>
          <w:p w14:paraId="7B31983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1013" w:type="dxa"/>
            <w:shd w:val="clear" w:color="auto" w:fill="auto"/>
            <w:vAlign w:val="center"/>
          </w:tcPr>
          <w:p w14:paraId="2868CBF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709A3A67">
      <w:pPr>
        <w:pStyle w:val="4"/>
        <w:rPr>
          <w:rFonts w:hint="default" w:ascii="Times New Roman" w:hAnsi="Times New Roman" w:cs="Times New Roman"/>
          <w:color w:val="auto"/>
          <w:highlight w:val="none"/>
          <w:lang w:val="en-US" w:eastAsia="zh-CN"/>
        </w:rPr>
      </w:pPr>
      <w:bookmarkStart w:id="30" w:name="_Toc11899"/>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生态旅游规划</w:t>
      </w:r>
    </w:p>
    <w:p w14:paraId="1168C2F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四川若尔盖湿地国家级自然保护区总面积396525.38公顷，游客容量测算仅针对已开发景区（花湖、黄河九曲第一湾等）。</w:t>
      </w:r>
    </w:p>
    <w:p w14:paraId="7BC84A0C">
      <w:pPr>
        <w:numPr>
          <w:ilvl w:val="0"/>
          <w:numId w:val="13"/>
        </w:num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花湖景区改造提升</w:t>
      </w:r>
    </w:p>
    <w:p w14:paraId="11B0D955">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项目内容：为全面提升景区综合服务能力与游客体验品质，规划期内将系统推进旅游配套设施建设与运营管理优化。重点围绕游览组织、服务保障、智慧管理三大方向，实施景区基础设施的整体提档升级。</w:t>
      </w:r>
    </w:p>
    <w:p w14:paraId="40F4DF29">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在游览组织方面，将对景区</w:t>
      </w:r>
      <w:r>
        <w:rPr>
          <w:rFonts w:hint="default" w:ascii="Times New Roman" w:hAnsi="Times New Roman" w:cs="Times New Roman"/>
          <w:color w:val="auto"/>
          <w:highlight w:val="none"/>
          <w:lang w:val="en-US" w:eastAsia="zh-CN"/>
        </w:rPr>
        <w:t>形象大门、现状出入口、过街桥、游客中心、集散广场、</w:t>
      </w:r>
      <w:r>
        <w:rPr>
          <w:rFonts w:hint="default" w:ascii="Times New Roman" w:hAnsi="Times New Roman" w:cs="Times New Roman"/>
          <w:color w:val="auto"/>
          <w:highlight w:val="none"/>
        </w:rPr>
        <w:t>内部交通网络及游线布局进行系统性优化，</w:t>
      </w:r>
      <w:r>
        <w:rPr>
          <w:rFonts w:hint="default" w:ascii="Times New Roman" w:hAnsi="Times New Roman" w:cs="Times New Roman"/>
          <w:color w:val="auto"/>
          <w:highlight w:val="none"/>
          <w:lang w:val="en-US" w:eastAsia="zh-CN"/>
        </w:rPr>
        <w:t>对观光车接驳区、入口天桥、观光车道、步行引道和观光步道进行拓宽改造，</w:t>
      </w:r>
      <w:r>
        <w:rPr>
          <w:rFonts w:hint="default" w:ascii="Times New Roman" w:hAnsi="Times New Roman" w:cs="Times New Roman"/>
          <w:color w:val="auto"/>
          <w:highlight w:val="none"/>
        </w:rPr>
        <w:t>科学串联核心景观节点，构建流畅、安全、便捷的游览动线体系，有效疏导客流分布，缓解核心区域通行压力。</w:t>
      </w:r>
    </w:p>
    <w:p w14:paraId="1C968058">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在服务保障方面，统筹布局游客服务节点，完善卫生、休憩、导览等基本服务设施配置，</w:t>
      </w:r>
      <w:r>
        <w:rPr>
          <w:rFonts w:hint="default" w:ascii="Times New Roman" w:hAnsi="Times New Roman" w:cs="Times New Roman"/>
          <w:color w:val="auto"/>
          <w:highlight w:val="none"/>
          <w:lang w:val="en-US" w:eastAsia="zh-CN"/>
        </w:rPr>
        <w:t>新建观景台、观鸟塔、补给站等，</w:t>
      </w:r>
      <w:r>
        <w:rPr>
          <w:rFonts w:hint="default" w:ascii="Times New Roman" w:hAnsi="Times New Roman" w:cs="Times New Roman"/>
          <w:color w:val="auto"/>
          <w:highlight w:val="none"/>
        </w:rPr>
        <w:t>提升景区环境品质与接待承载能力，同时结合高原特殊气候条件，在关键节点配套必要的环境调节设施，保障游客基本舒适度。</w:t>
      </w:r>
    </w:p>
    <w:p w14:paraId="0661DA34">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在智慧管理方面，推进景区运营管理数字化、智能化转型，搭建统一的智慧管理平台，实现票务、安防、环境监测、设施运维等环节的集成管控，提升运营效率与应急响应能力。通过上述举措，着力将景区打造为设施完善、服务优质、管理高效、生态友好的高品质旅游目的地，在有效保护自然生态资源的前提下，实现旅游接待能力与游客满意度的双提升。</w:t>
      </w:r>
    </w:p>
    <w:p w14:paraId="0802C242">
      <w:pPr>
        <w:numPr>
          <w:ilvl w:val="0"/>
          <w:numId w:val="13"/>
        </w:num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黄河第一湾景区改造提升</w:t>
      </w:r>
    </w:p>
    <w:p w14:paraId="4A83F5EF">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项目内容：围绕黄河第一湾核心景观资源，实施景区全方位、系统性的改造提升工程。在景观节点与游憩体系建设方面，对现有观景平台进行升级改造，完善景区游步道网络布局与路面品质，形成层级清晰、衔接顺畅的立体化观览体系。立足黄河第一湾独特的地形地貌与天象资源，重点打造日出日落观览、高原星空体验、黄河水岸轻徒步等特色旅游业态，丰富游客深度体验内容，延长游览停留时间，提升景区核心吸引力与市场竞争力。</w:t>
      </w:r>
    </w:p>
    <w:p w14:paraId="3DADE25F">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在生态保护与设施配套方面，沿景区关键生态敏感区域建设生态缓冲隔离带，有效隔离人为活动干扰，保护黄河沿岸原生植被与湿地生境，实现旅游开发与生态保护的协调统一。同步完善景区游客服务中心功能配置，推进无障碍设施全覆盖，优化景区环境卫生管理流程与服务作业标准，全面提升旅游接待服务品质与硬件承载能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更好地展现黄河第一湾的自然与人文特色。</w:t>
      </w:r>
    </w:p>
    <w:p w14:paraId="37A844A9">
      <w:pPr>
        <w:ind w:firstLine="560"/>
        <w:rPr>
          <w:rFonts w:hint="default" w:ascii="Times New Roman" w:hAnsi="Times New Roman" w:cs="Times New Roman"/>
          <w:highlight w:val="none"/>
        </w:rPr>
      </w:pPr>
      <w:r>
        <w:rPr>
          <w:rFonts w:hint="default" w:ascii="Times New Roman" w:hAnsi="Times New Roman" w:cs="Times New Roman"/>
          <w:color w:val="auto"/>
          <w:highlight w:val="none"/>
        </w:rPr>
        <w:t>规划生态旅游建设内容包括景点</w:t>
      </w:r>
      <w:r>
        <w:rPr>
          <w:rFonts w:hint="default" w:ascii="Times New Roman" w:hAnsi="Times New Roman" w:cs="Times New Roman"/>
          <w:color w:val="auto"/>
          <w:highlight w:val="none"/>
          <w:lang w:val="en-US" w:eastAsia="zh-CN"/>
        </w:rPr>
        <w:t>改造提升</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游客服务设施提升、智慧化与体验升级</w:t>
      </w:r>
      <w:r>
        <w:rPr>
          <w:rFonts w:hint="default" w:ascii="Times New Roman" w:hAnsi="Times New Roman" w:cs="Times New Roman"/>
          <w:color w:val="auto"/>
          <w:highlight w:val="none"/>
        </w:rPr>
        <w:t>等，</w:t>
      </w:r>
      <w:r>
        <w:rPr>
          <w:rFonts w:hint="default" w:ascii="Times New Roman" w:hAnsi="Times New Roman" w:cs="Times New Roman"/>
          <w:color w:val="auto"/>
          <w:highlight w:val="none"/>
          <w:lang w:val="en-US" w:eastAsia="zh-CN"/>
        </w:rPr>
        <w:t>工程建设区域仅限于保护区一般控制区范围内，建设内容</w:t>
      </w:r>
      <w:r>
        <w:rPr>
          <w:rFonts w:hint="default" w:ascii="Times New Roman" w:hAnsi="Times New Roman" w:cs="Times New Roman"/>
          <w:color w:val="auto"/>
          <w:highlight w:val="none"/>
        </w:rPr>
        <w:t>详见表</w:t>
      </w:r>
      <w:r>
        <w:rPr>
          <w:rFonts w:hint="eastAsia" w:ascii="Times New Roman" w:hAnsi="Times New Roman" w:cs="Times New Roman"/>
          <w:color w:val="auto"/>
          <w:highlight w:val="none"/>
          <w:lang w:val="en-US" w:eastAsia="zh-CN"/>
        </w:rPr>
        <w:t>4-4-6</w:t>
      </w:r>
      <w:r>
        <w:rPr>
          <w:rFonts w:hint="default" w:ascii="Times New Roman" w:hAnsi="Times New Roman" w:cs="Times New Roman"/>
          <w:color w:val="auto"/>
          <w:highlight w:val="none"/>
        </w:rPr>
        <w:t>。</w:t>
      </w:r>
    </w:p>
    <w:p w14:paraId="4DCF9CE0">
      <w:pPr>
        <w:jc w:val="center"/>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-4-</w:t>
      </w:r>
      <w:r>
        <w:rPr>
          <w:rFonts w:hint="eastAsia" w:ascii="Times New Roman" w:hAnsi="Times New Roman" w:cs="Times New Roman"/>
          <w:b/>
          <w:bCs/>
          <w:color w:val="auto"/>
          <w:highlight w:val="none"/>
          <w:lang w:val="en-US" w:eastAsia="zh-CN"/>
        </w:rPr>
        <w:t>6</w:t>
      </w:r>
      <w:r>
        <w:rPr>
          <w:rFonts w:hint="default" w:ascii="Times New Roman" w:hAnsi="Times New Roman" w:cs="Times New Roman"/>
          <w:b/>
          <w:bCs/>
          <w:color w:val="auto"/>
          <w:highlight w:val="none"/>
          <w:lang w:val="en-US" w:eastAsia="zh-CN"/>
        </w:rPr>
        <w:t xml:space="preserve"> 生态旅游建设工程</w:t>
      </w:r>
      <w:r>
        <w:rPr>
          <w:rFonts w:hint="default" w:ascii="Times New Roman" w:hAnsi="Times New Roman" w:cs="Times New Roman"/>
          <w:b/>
          <w:bCs/>
          <w:color w:val="auto"/>
          <w:highlight w:val="none"/>
          <w:lang w:eastAsia="zh-CN"/>
        </w:rPr>
        <w:t>内容表</w:t>
      </w:r>
    </w:p>
    <w:tbl>
      <w:tblPr>
        <w:tblStyle w:val="24"/>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887"/>
        <w:gridCol w:w="769"/>
        <w:gridCol w:w="1157"/>
        <w:gridCol w:w="1746"/>
        <w:gridCol w:w="988"/>
        <w:gridCol w:w="987"/>
      </w:tblGrid>
      <w:tr w14:paraId="2DA0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43" w:type="dxa"/>
            <w:vMerge w:val="restart"/>
            <w:vAlign w:val="center"/>
          </w:tcPr>
          <w:p w14:paraId="3BF90C5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序号</w:t>
            </w:r>
          </w:p>
        </w:tc>
        <w:tc>
          <w:tcPr>
            <w:tcW w:w="1887" w:type="dxa"/>
            <w:vMerge w:val="restart"/>
            <w:vAlign w:val="center"/>
          </w:tcPr>
          <w:p w14:paraId="71ACCDA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名称</w:t>
            </w:r>
          </w:p>
        </w:tc>
        <w:tc>
          <w:tcPr>
            <w:tcW w:w="769" w:type="dxa"/>
            <w:vMerge w:val="restart"/>
            <w:vAlign w:val="center"/>
          </w:tcPr>
          <w:p w14:paraId="3A9820B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单位</w:t>
            </w:r>
          </w:p>
        </w:tc>
        <w:tc>
          <w:tcPr>
            <w:tcW w:w="1157" w:type="dxa"/>
            <w:vMerge w:val="restart"/>
            <w:vAlign w:val="center"/>
          </w:tcPr>
          <w:p w14:paraId="5322C24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工程量</w:t>
            </w:r>
          </w:p>
        </w:tc>
        <w:tc>
          <w:tcPr>
            <w:tcW w:w="1746" w:type="dxa"/>
            <w:vMerge w:val="restart"/>
            <w:vAlign w:val="center"/>
          </w:tcPr>
          <w:p w14:paraId="07989A0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实施地点</w:t>
            </w:r>
          </w:p>
        </w:tc>
        <w:tc>
          <w:tcPr>
            <w:tcW w:w="1975" w:type="dxa"/>
            <w:gridSpan w:val="2"/>
            <w:vAlign w:val="center"/>
          </w:tcPr>
          <w:p w14:paraId="47ACD9F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建设期限</w:t>
            </w:r>
          </w:p>
        </w:tc>
      </w:tr>
      <w:tr w14:paraId="6162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43" w:type="dxa"/>
            <w:vMerge w:val="continue"/>
            <w:vAlign w:val="center"/>
          </w:tcPr>
          <w:p w14:paraId="66C4CE6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1887" w:type="dxa"/>
            <w:vMerge w:val="continue"/>
            <w:vAlign w:val="center"/>
          </w:tcPr>
          <w:p w14:paraId="2B2EA24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769" w:type="dxa"/>
            <w:vMerge w:val="continue"/>
            <w:vAlign w:val="center"/>
          </w:tcPr>
          <w:p w14:paraId="3436296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1157" w:type="dxa"/>
            <w:vMerge w:val="continue"/>
            <w:vAlign w:val="center"/>
          </w:tcPr>
          <w:p w14:paraId="1277F3F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1746" w:type="dxa"/>
            <w:vMerge w:val="continue"/>
            <w:vAlign w:val="center"/>
          </w:tcPr>
          <w:p w14:paraId="6B746E7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vAlign w:val="center"/>
          </w:tcPr>
          <w:p w14:paraId="426C424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近期</w:t>
            </w:r>
          </w:p>
        </w:tc>
        <w:tc>
          <w:tcPr>
            <w:tcW w:w="987" w:type="dxa"/>
            <w:vAlign w:val="center"/>
          </w:tcPr>
          <w:p w14:paraId="5E4039D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中长期</w:t>
            </w:r>
          </w:p>
        </w:tc>
      </w:tr>
      <w:tr w14:paraId="527E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41E3104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887" w:type="dxa"/>
            <w:vAlign w:val="center"/>
          </w:tcPr>
          <w:p w14:paraId="4732C8C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核心景观设施改造提升</w:t>
            </w:r>
          </w:p>
        </w:tc>
        <w:tc>
          <w:tcPr>
            <w:tcW w:w="769" w:type="dxa"/>
            <w:vAlign w:val="center"/>
          </w:tcPr>
          <w:p w14:paraId="2F8C8FB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257B36E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1746" w:type="dxa"/>
            <w:vMerge w:val="restart"/>
            <w:vAlign w:val="center"/>
          </w:tcPr>
          <w:p w14:paraId="54D18D6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花湖景区</w:t>
            </w:r>
          </w:p>
        </w:tc>
        <w:tc>
          <w:tcPr>
            <w:tcW w:w="988" w:type="dxa"/>
            <w:shd w:val="clear" w:color="auto" w:fill="auto"/>
            <w:vAlign w:val="center"/>
          </w:tcPr>
          <w:p w14:paraId="2B2BBCA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140987F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670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0AFA567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1887" w:type="dxa"/>
            <w:vAlign w:val="center"/>
          </w:tcPr>
          <w:p w14:paraId="70501AF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游览交通与配套体系提升</w:t>
            </w:r>
          </w:p>
        </w:tc>
        <w:tc>
          <w:tcPr>
            <w:tcW w:w="769" w:type="dxa"/>
            <w:vAlign w:val="center"/>
          </w:tcPr>
          <w:p w14:paraId="6CF5A31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652C2C6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1746" w:type="dxa"/>
            <w:vMerge w:val="continue"/>
            <w:vAlign w:val="center"/>
          </w:tcPr>
          <w:p w14:paraId="7739F43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shd w:val="clear" w:color="auto" w:fill="auto"/>
            <w:vAlign w:val="center"/>
          </w:tcPr>
          <w:p w14:paraId="0CE3B25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1E41757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7A4B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2690BAC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887" w:type="dxa"/>
            <w:vAlign w:val="center"/>
          </w:tcPr>
          <w:p w14:paraId="2F6DABC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游客服务设施提升</w:t>
            </w:r>
          </w:p>
        </w:tc>
        <w:tc>
          <w:tcPr>
            <w:tcW w:w="769" w:type="dxa"/>
            <w:vAlign w:val="center"/>
          </w:tcPr>
          <w:p w14:paraId="3CD5F73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4C0DF1D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1746" w:type="dxa"/>
            <w:vMerge w:val="continue"/>
            <w:vAlign w:val="center"/>
          </w:tcPr>
          <w:p w14:paraId="4D81093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vAlign w:val="center"/>
          </w:tcPr>
          <w:p w14:paraId="3BB8765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vAlign w:val="center"/>
          </w:tcPr>
          <w:p w14:paraId="3E2B42D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913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2E7855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1887" w:type="dxa"/>
            <w:vAlign w:val="center"/>
          </w:tcPr>
          <w:p w14:paraId="6D92E6C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智慧化与体验升级</w:t>
            </w:r>
          </w:p>
        </w:tc>
        <w:tc>
          <w:tcPr>
            <w:tcW w:w="769" w:type="dxa"/>
            <w:vAlign w:val="center"/>
          </w:tcPr>
          <w:p w14:paraId="150428C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70C9F9F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1746" w:type="dxa"/>
            <w:vMerge w:val="continue"/>
            <w:vAlign w:val="center"/>
          </w:tcPr>
          <w:p w14:paraId="1AC66D2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shd w:val="clear" w:color="auto" w:fill="auto"/>
            <w:vAlign w:val="center"/>
          </w:tcPr>
          <w:p w14:paraId="75AB676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22A2037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2057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17C4F15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5</w:t>
            </w:r>
          </w:p>
        </w:tc>
        <w:tc>
          <w:tcPr>
            <w:tcW w:w="1887" w:type="dxa"/>
            <w:vAlign w:val="center"/>
          </w:tcPr>
          <w:p w14:paraId="3FF8BA4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核心景观设施改造提升</w:t>
            </w:r>
          </w:p>
        </w:tc>
        <w:tc>
          <w:tcPr>
            <w:tcW w:w="769" w:type="dxa"/>
            <w:vAlign w:val="center"/>
          </w:tcPr>
          <w:p w14:paraId="5F2D5AA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36592C6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1746" w:type="dxa"/>
            <w:vMerge w:val="restart"/>
            <w:vAlign w:val="center"/>
          </w:tcPr>
          <w:p w14:paraId="279294D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黄河第一湾景区</w:t>
            </w:r>
          </w:p>
        </w:tc>
        <w:tc>
          <w:tcPr>
            <w:tcW w:w="988" w:type="dxa"/>
            <w:shd w:val="clear" w:color="auto" w:fill="auto"/>
            <w:vAlign w:val="center"/>
          </w:tcPr>
          <w:p w14:paraId="5C5FD3C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5214F75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7A8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4D48ED9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6</w:t>
            </w:r>
          </w:p>
        </w:tc>
        <w:tc>
          <w:tcPr>
            <w:tcW w:w="1887" w:type="dxa"/>
            <w:vAlign w:val="center"/>
          </w:tcPr>
          <w:p w14:paraId="5D99493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游览交通与配套体系提升</w:t>
            </w:r>
          </w:p>
        </w:tc>
        <w:tc>
          <w:tcPr>
            <w:tcW w:w="769" w:type="dxa"/>
            <w:vAlign w:val="center"/>
          </w:tcPr>
          <w:p w14:paraId="5E9F094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16C1D24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746" w:type="dxa"/>
            <w:vMerge w:val="continue"/>
            <w:vAlign w:val="center"/>
          </w:tcPr>
          <w:p w14:paraId="53FEBEC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shd w:val="clear" w:color="auto" w:fill="auto"/>
            <w:vAlign w:val="center"/>
          </w:tcPr>
          <w:p w14:paraId="596C114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004E2E7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662A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jc w:val="center"/>
        </w:trPr>
        <w:tc>
          <w:tcPr>
            <w:tcW w:w="743" w:type="dxa"/>
            <w:vAlign w:val="center"/>
          </w:tcPr>
          <w:p w14:paraId="1446AF37">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7</w:t>
            </w:r>
          </w:p>
        </w:tc>
        <w:tc>
          <w:tcPr>
            <w:tcW w:w="1887" w:type="dxa"/>
            <w:vAlign w:val="center"/>
          </w:tcPr>
          <w:p w14:paraId="7757681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游客服务设施提升</w:t>
            </w:r>
          </w:p>
        </w:tc>
        <w:tc>
          <w:tcPr>
            <w:tcW w:w="769" w:type="dxa"/>
            <w:vAlign w:val="center"/>
          </w:tcPr>
          <w:p w14:paraId="3B94490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18F90FD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746" w:type="dxa"/>
            <w:vMerge w:val="continue"/>
            <w:vAlign w:val="center"/>
          </w:tcPr>
          <w:p w14:paraId="5521F91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shd w:val="clear" w:color="auto" w:fill="auto"/>
            <w:vAlign w:val="center"/>
          </w:tcPr>
          <w:p w14:paraId="7D36380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447AB87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5908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exact"/>
          <w:jc w:val="center"/>
        </w:trPr>
        <w:tc>
          <w:tcPr>
            <w:tcW w:w="743" w:type="dxa"/>
            <w:vAlign w:val="center"/>
          </w:tcPr>
          <w:p w14:paraId="35F17DC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8</w:t>
            </w:r>
          </w:p>
        </w:tc>
        <w:tc>
          <w:tcPr>
            <w:tcW w:w="1887" w:type="dxa"/>
            <w:vAlign w:val="center"/>
          </w:tcPr>
          <w:p w14:paraId="23351B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智慧化与体验升级</w:t>
            </w:r>
          </w:p>
        </w:tc>
        <w:tc>
          <w:tcPr>
            <w:tcW w:w="769" w:type="dxa"/>
            <w:vAlign w:val="center"/>
          </w:tcPr>
          <w:p w14:paraId="06361C0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57" w:type="dxa"/>
            <w:vAlign w:val="center"/>
          </w:tcPr>
          <w:p w14:paraId="254E647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1746" w:type="dxa"/>
            <w:vMerge w:val="continue"/>
            <w:vAlign w:val="center"/>
          </w:tcPr>
          <w:p w14:paraId="6554436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p>
        </w:tc>
        <w:tc>
          <w:tcPr>
            <w:tcW w:w="988" w:type="dxa"/>
            <w:shd w:val="clear" w:color="auto" w:fill="auto"/>
            <w:vAlign w:val="center"/>
          </w:tcPr>
          <w:p w14:paraId="23B3329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87" w:type="dxa"/>
            <w:shd w:val="clear" w:color="auto" w:fill="auto"/>
            <w:vAlign w:val="center"/>
          </w:tcPr>
          <w:p w14:paraId="1D6222D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bl>
    <w:p w14:paraId="6942F9DC">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4.4.4</w:t>
      </w:r>
      <w:r>
        <w:rPr>
          <w:rFonts w:hint="default" w:ascii="Times New Roman" w:hAnsi="Times New Roman" w:cs="Times New Roman"/>
          <w:color w:val="auto"/>
          <w:highlight w:val="none"/>
          <w:lang w:val="en-US" w:eastAsia="zh-CN"/>
        </w:rPr>
        <w:t>社区扶持规划</w:t>
      </w:r>
    </w:p>
    <w:p w14:paraId="0764E99B">
      <w:pPr>
        <w:pStyle w:val="5"/>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4.4.4</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社区发展与共建共管</w:t>
      </w:r>
    </w:p>
    <w:p w14:paraId="1BF0DD56">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由</w:t>
      </w:r>
      <w:r>
        <w:rPr>
          <w:rFonts w:hint="default" w:ascii="Times New Roman" w:hAnsi="Times New Roman" w:cs="Times New Roman"/>
          <w:color w:val="auto"/>
          <w:highlight w:val="none"/>
          <w:lang w:val="en-US" w:eastAsia="zh-CN"/>
        </w:rPr>
        <w:t>若尔盖县</w:t>
      </w:r>
      <w:r>
        <w:rPr>
          <w:rFonts w:hint="default" w:ascii="Times New Roman" w:hAnsi="Times New Roman" w:cs="Times New Roman"/>
          <w:color w:val="auto"/>
          <w:highlight w:val="none"/>
        </w:rPr>
        <w:t>政府和保护区主管部门牵头，组织</w:t>
      </w:r>
      <w:r>
        <w:rPr>
          <w:rFonts w:hint="default" w:ascii="Times New Roman" w:hAnsi="Times New Roman" w:cs="Times New Roman"/>
          <w:color w:val="auto"/>
          <w:highlight w:val="none"/>
          <w:lang w:val="en-US" w:eastAsia="zh-CN"/>
        </w:rPr>
        <w:t>若尔盖</w:t>
      </w:r>
      <w:r>
        <w:rPr>
          <w:rFonts w:hint="default" w:ascii="Times New Roman" w:hAnsi="Times New Roman" w:cs="Times New Roman"/>
          <w:color w:val="auto"/>
          <w:highlight w:val="none"/>
        </w:rPr>
        <w:t>县发改、交通、财政、住建、农牧、国土等相关部门，</w:t>
      </w:r>
      <w:r>
        <w:rPr>
          <w:rFonts w:hint="default" w:ascii="Times New Roman" w:hAnsi="Times New Roman" w:cs="Times New Roman"/>
          <w:color w:val="auto"/>
          <w:highlight w:val="none"/>
          <w:lang w:val="en-US" w:eastAsia="zh-CN"/>
        </w:rPr>
        <w:t>若尔盖保护区</w:t>
      </w:r>
      <w:r>
        <w:rPr>
          <w:rFonts w:hint="default" w:ascii="Times New Roman" w:hAnsi="Times New Roman" w:cs="Times New Roman"/>
          <w:color w:val="auto"/>
          <w:highlight w:val="none"/>
        </w:rPr>
        <w:t>管理局、各保护站和保护区周边各乡镇政府，成立保护区社区发展与共建共管委员会，共同制定和落实针对社区的发展项目，并定期检查项目实施状况，向</w:t>
      </w:r>
      <w:r>
        <w:rPr>
          <w:rFonts w:hint="default" w:ascii="Times New Roman" w:hAnsi="Times New Roman" w:cs="Times New Roman"/>
          <w:color w:val="auto"/>
          <w:highlight w:val="none"/>
          <w:lang w:eastAsia="zh-CN"/>
        </w:rPr>
        <w:t>县政府</w:t>
      </w:r>
      <w:r>
        <w:rPr>
          <w:rFonts w:hint="default" w:ascii="Times New Roman" w:hAnsi="Times New Roman" w:cs="Times New Roman"/>
          <w:color w:val="auto"/>
          <w:highlight w:val="none"/>
        </w:rPr>
        <w:t>作书面汇报，并接受</w:t>
      </w:r>
      <w:r>
        <w:rPr>
          <w:rFonts w:hint="default" w:ascii="Times New Roman" w:hAnsi="Times New Roman" w:cs="Times New Roman"/>
          <w:color w:val="auto"/>
          <w:highlight w:val="none"/>
          <w:lang w:eastAsia="zh-CN"/>
        </w:rPr>
        <w:t>有关部门</w:t>
      </w:r>
      <w:r>
        <w:rPr>
          <w:rFonts w:hint="default" w:ascii="Times New Roman" w:hAnsi="Times New Roman" w:cs="Times New Roman"/>
          <w:color w:val="auto"/>
          <w:highlight w:val="none"/>
        </w:rPr>
        <w:t>的监督检查。</w:t>
      </w:r>
    </w:p>
    <w:p w14:paraId="0F2555EA">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由社区发展与共建共管委员会组织保护区与社区共同成立反偷猎、反盗伐小组，定期开展联合</w:t>
      </w:r>
      <w:r>
        <w:rPr>
          <w:rFonts w:hint="default" w:ascii="Times New Roman" w:hAnsi="Times New Roman" w:cs="Times New Roman"/>
          <w:color w:val="auto"/>
          <w:highlight w:val="none"/>
          <w:lang w:val="en-US" w:eastAsia="zh-CN"/>
        </w:rPr>
        <w:t>巡护</w:t>
      </w:r>
      <w:r>
        <w:rPr>
          <w:rFonts w:hint="default" w:ascii="Times New Roman" w:hAnsi="Times New Roman" w:cs="Times New Roman"/>
          <w:color w:val="auto"/>
          <w:highlight w:val="none"/>
        </w:rPr>
        <w:t>，建立反偷猎信息共享机制，签订</w:t>
      </w:r>
      <w:r>
        <w:rPr>
          <w:rFonts w:hint="default" w:ascii="Times New Roman" w:hAnsi="Times New Roman" w:cs="Times New Roman"/>
          <w:color w:val="auto"/>
          <w:highlight w:val="none"/>
          <w:lang w:eastAsia="zh-CN"/>
        </w:rPr>
        <w:t>村民生态</w:t>
      </w:r>
      <w:r>
        <w:rPr>
          <w:rFonts w:hint="default" w:ascii="Times New Roman" w:hAnsi="Times New Roman" w:cs="Times New Roman"/>
          <w:color w:val="auto"/>
          <w:highlight w:val="none"/>
        </w:rPr>
        <w:t>保护责任书。</w:t>
      </w:r>
    </w:p>
    <w:p w14:paraId="7B527954">
      <w:pPr>
        <w:pStyle w:val="5"/>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4.4.4</w:t>
      </w:r>
      <w:r>
        <w:rPr>
          <w:rFonts w:hint="default" w:ascii="Times New Roman" w:hAnsi="Times New Roman" w:cs="Times New Roman"/>
          <w:color w:val="auto"/>
          <w:highlight w:val="none"/>
          <w:lang w:val="en-US" w:eastAsia="zh-CN"/>
        </w:rPr>
        <w:t>.2社区扶持</w:t>
      </w:r>
      <w:r>
        <w:rPr>
          <w:rFonts w:hint="default" w:ascii="Times New Roman" w:hAnsi="Times New Roman" w:cs="Times New Roman"/>
          <w:color w:val="auto"/>
          <w:highlight w:val="none"/>
        </w:rPr>
        <w:t>自然资源经营利用</w:t>
      </w:r>
    </w:p>
    <w:p w14:paraId="5318F4D5">
      <w:pP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组织与管理</w:t>
      </w:r>
    </w:p>
    <w:p w14:paraId="7768AF8C">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经营利用项目应在保护区管理局的统一组织</w:t>
      </w:r>
      <w:r>
        <w:rPr>
          <w:rFonts w:hint="default" w:ascii="Times New Roman" w:hAnsi="Times New Roman" w:cs="Times New Roman"/>
          <w:color w:val="auto"/>
          <w:highlight w:val="none"/>
          <w:lang w:eastAsia="zh-CN"/>
        </w:rPr>
        <w:t>和</w:t>
      </w:r>
      <w:r>
        <w:rPr>
          <w:rFonts w:hint="default" w:ascii="Times New Roman" w:hAnsi="Times New Roman" w:cs="Times New Roman"/>
          <w:color w:val="auto"/>
          <w:highlight w:val="none"/>
        </w:rPr>
        <w:t>管理下进行，采取招商引资等多渠道筹资，以不同形式进行联营或承包经营，共同开发、共同受益，充分调动社区居民参与</w:t>
      </w:r>
      <w:r>
        <w:rPr>
          <w:rFonts w:hint="default" w:ascii="Times New Roman" w:hAnsi="Times New Roman" w:cs="Times New Roman"/>
          <w:color w:val="auto"/>
          <w:highlight w:val="none"/>
          <w:lang w:eastAsia="zh-CN"/>
        </w:rPr>
        <w:t>生态</w:t>
      </w:r>
      <w:r>
        <w:rPr>
          <w:rFonts w:hint="default" w:ascii="Times New Roman" w:hAnsi="Times New Roman" w:cs="Times New Roman"/>
          <w:color w:val="auto"/>
          <w:highlight w:val="none"/>
        </w:rPr>
        <w:t>保护事业的积极性。开展</w:t>
      </w:r>
      <w:r>
        <w:rPr>
          <w:rFonts w:hint="default" w:ascii="Times New Roman" w:hAnsi="Times New Roman" w:cs="Times New Roman"/>
          <w:color w:val="auto"/>
          <w:highlight w:val="none"/>
          <w:lang w:eastAsia="zh-CN"/>
        </w:rPr>
        <w:t>产业</w:t>
      </w:r>
      <w:r>
        <w:rPr>
          <w:rFonts w:hint="default" w:ascii="Times New Roman" w:hAnsi="Times New Roman" w:cs="Times New Roman"/>
          <w:color w:val="auto"/>
          <w:highlight w:val="none"/>
        </w:rPr>
        <w:t>项目立项和可行性</w:t>
      </w:r>
      <w:r>
        <w:rPr>
          <w:rFonts w:hint="default" w:ascii="Times New Roman" w:hAnsi="Times New Roman" w:cs="Times New Roman"/>
          <w:color w:val="auto"/>
          <w:highlight w:val="none"/>
          <w:lang w:eastAsia="zh-CN"/>
        </w:rPr>
        <w:t>研究</w:t>
      </w:r>
      <w:r>
        <w:rPr>
          <w:rFonts w:hint="default" w:ascii="Times New Roman" w:hAnsi="Times New Roman" w:cs="Times New Roman"/>
          <w:color w:val="auto"/>
          <w:highlight w:val="none"/>
        </w:rPr>
        <w:t>，在上级行政主管部门批准后实施，保护区管理局应监督项目实施的全过程。</w:t>
      </w:r>
    </w:p>
    <w:p w14:paraId="157B088B">
      <w:pP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项目规划</w:t>
      </w:r>
    </w:p>
    <w:p w14:paraId="18D1E764">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val="en-US" w:eastAsia="zh-CN"/>
        </w:rPr>
        <w:t>藏家乐（牧家乐）</w:t>
      </w:r>
    </w:p>
    <w:p w14:paraId="439B5121">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截至2025年，若尔盖县已发展具有一定规模的藏牧家乐及商贸购物场所98家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藏牧家乐已成为若尔盖旅游接待的重要支撑。全县旅游接待总床位数达8000余个，旅游服务车辆280余辆，自驾游接待点5个。经营旺季为每年4月下旬至10月上旬，黄河九曲第一湾和花湖两大主景区为沿线藏牧家乐带来充足的客源。</w:t>
      </w:r>
      <w:r>
        <w:rPr>
          <w:rFonts w:hint="default" w:ascii="Times New Roman" w:hAnsi="Times New Roman" w:cs="Times New Roman"/>
          <w:color w:val="auto"/>
          <w:highlight w:val="none"/>
          <w:lang w:val="en-US" w:eastAsia="zh-CN"/>
        </w:rPr>
        <w:t>目前</w:t>
      </w:r>
      <w:r>
        <w:rPr>
          <w:rFonts w:hint="default" w:ascii="Times New Roman" w:hAnsi="Times New Roman" w:cs="Times New Roman"/>
          <w:color w:val="auto"/>
          <w:highlight w:val="none"/>
        </w:rPr>
        <w:t>藏牧家乐主要采取“群众自营+公司经营”“公司+合作社+牧户”等联营模式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经营业态涵盖餐饮、住宿、骑马体验、民族服装出租、特产销售等综合服务。</w:t>
      </w:r>
    </w:p>
    <w:p w14:paraId="75964BF1">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为规范管理若尔盖保护区周边社区的</w:t>
      </w:r>
      <w:r>
        <w:rPr>
          <w:rFonts w:hint="default" w:ascii="Times New Roman" w:hAnsi="Times New Roman" w:cs="Times New Roman"/>
          <w:color w:val="auto"/>
          <w:highlight w:val="none"/>
        </w:rPr>
        <w:t>藏牧家乐</w:t>
      </w:r>
      <w:r>
        <w:rPr>
          <w:rFonts w:hint="default" w:ascii="Times New Roman" w:hAnsi="Times New Roman" w:cs="Times New Roman"/>
          <w:color w:val="auto"/>
          <w:highlight w:val="none"/>
          <w:lang w:val="en-US" w:eastAsia="zh-CN"/>
        </w:rPr>
        <w:t>经营，需严把准入关口，严格执行草原旅游业态经营准入标准及禁止性规定，所有藏牧家乐须经乡（镇）初审、部门联审，取得国土、环保、住建、文旅、林草等部门审批后方可经营，建筑须符合安多藏族风貌特色；强化联合监管，组建文旅、市场监管、公安等部门联合执法专班，常态化整治虚假宣传、价格欺诈、上路揽客等行为，落实明码标价和先行赔付机制，实行“一问题一方案”整改；严守安全底线，经营户须办理食品经营、卫生许可等证照，落实食品留样、餐具消毒制度，住宿服务须安装公安旅店信息系统及消防设备。</w:t>
      </w:r>
    </w:p>
    <w:p w14:paraId="7C868A46">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将野生动物危害防范纳入藏牧家乐经营管理规范，经营场所及周边区域须配备必要的防兽围栏、预警设备等安全防护设施，向游客宣传野生动物防范常识，在野生动物活跃时段和区域设置警示标识，避免游客与野生动物发生意外接触。</w:t>
      </w:r>
    </w:p>
    <w:p w14:paraId="2988D574">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②</w:t>
      </w:r>
      <w:r>
        <w:rPr>
          <w:rFonts w:hint="default" w:ascii="Times New Roman" w:hAnsi="Times New Roman" w:cs="Times New Roman"/>
          <w:color w:val="auto"/>
          <w:highlight w:val="none"/>
          <w:lang w:val="en-US" w:eastAsia="zh-CN"/>
        </w:rPr>
        <w:t>入口社区及特色小镇</w:t>
      </w:r>
    </w:p>
    <w:p w14:paraId="5C64A751">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达扎寺镇等服务基地，按照“内外联动、点面结合、差异发展”的思路，着力打造功能完善、特色鲜明、管理规范的入口社区体系。在空间布局上，以达扎寺镇为核心服务基地，打造入口社区特色小镇网络。在设施配套上，实施城镇提升改造，推进供水供电、污水处理、垃圾收集、旅游厕所、生态停车场、游客服务中心等设施建设，完善导览标识与智慧旅游平台。在风貌塑造上，突出安多藏族文化特色，融合传统建筑元素与现代功能需求，结合红色文化资源打造特色景观节点。在功能培育上，依托国家公园品牌影响力，引导发展精品民宿、文化展演、特色餐饮、文创销售等业态，建设生态体验中心提供自然教育与科普宣教服务，完善自驾游服务设施，满足高原生态旅游市场需求。</w:t>
      </w:r>
    </w:p>
    <w:p w14:paraId="3980D43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-4-</w:t>
      </w:r>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w:t>
      </w:r>
    </w:p>
    <w:p w14:paraId="4F4BC914">
      <w:pPr>
        <w:ind w:firstLine="560"/>
        <w:jc w:val="center"/>
        <w:rPr>
          <w:rFonts w:hint="default" w:ascii="Times New Roman" w:hAnsi="Times New Roman" w:eastAsia="仿宋" w:cs="Times New Roman"/>
          <w:b/>
          <w:bCs/>
          <w:color w:val="auto"/>
          <w:highlight w:val="none"/>
          <w:lang w:val="en-US" w:eastAsia="zh-CN"/>
        </w:rPr>
      </w:pPr>
      <w:r>
        <w:rPr>
          <w:rFonts w:hint="default" w:ascii="Times New Roman" w:hAnsi="Times New Roman" w:cs="Times New Roman"/>
          <w:b/>
          <w:bCs/>
          <w:color w:val="auto"/>
          <w:highlight w:val="none"/>
          <w:lang w:eastAsia="zh-CN"/>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-4-</w:t>
      </w:r>
      <w:r>
        <w:rPr>
          <w:rFonts w:hint="eastAsia" w:ascii="Times New Roman" w:hAnsi="Times New Roman" w:cs="Times New Roman"/>
          <w:b/>
          <w:bCs/>
          <w:color w:val="auto"/>
          <w:highlight w:val="none"/>
          <w:lang w:val="en-US" w:eastAsia="zh-CN"/>
        </w:rPr>
        <w:t>7</w:t>
      </w:r>
      <w:r>
        <w:rPr>
          <w:rFonts w:hint="default" w:ascii="Times New Roman" w:hAnsi="Times New Roman" w:cs="Times New Roman"/>
          <w:b/>
          <w:bCs/>
          <w:color w:val="auto"/>
          <w:highlight w:val="none"/>
          <w:lang w:val="en-US" w:eastAsia="zh-CN"/>
        </w:rPr>
        <w:t>社区扶持自然资源经营利用建设内容表</w:t>
      </w:r>
    </w:p>
    <w:tbl>
      <w:tblPr>
        <w:tblStyle w:val="24"/>
        <w:tblW w:w="7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3101"/>
        <w:gridCol w:w="957"/>
        <w:gridCol w:w="1105"/>
        <w:gridCol w:w="957"/>
        <w:gridCol w:w="920"/>
      </w:tblGrid>
      <w:tr w14:paraId="3011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blHeader/>
          <w:jc w:val="center"/>
        </w:trPr>
        <w:tc>
          <w:tcPr>
            <w:tcW w:w="931" w:type="dxa"/>
            <w:vMerge w:val="restart"/>
            <w:vAlign w:val="center"/>
          </w:tcPr>
          <w:p w14:paraId="4F3247A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序号</w:t>
            </w:r>
          </w:p>
        </w:tc>
        <w:tc>
          <w:tcPr>
            <w:tcW w:w="3101" w:type="dxa"/>
            <w:vMerge w:val="restart"/>
            <w:vAlign w:val="center"/>
          </w:tcPr>
          <w:p w14:paraId="17C62BE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名称</w:t>
            </w:r>
          </w:p>
        </w:tc>
        <w:tc>
          <w:tcPr>
            <w:tcW w:w="957" w:type="dxa"/>
            <w:vMerge w:val="restart"/>
            <w:vAlign w:val="center"/>
          </w:tcPr>
          <w:p w14:paraId="63FAA98F">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单位</w:t>
            </w:r>
          </w:p>
        </w:tc>
        <w:tc>
          <w:tcPr>
            <w:tcW w:w="1105" w:type="dxa"/>
            <w:vMerge w:val="restart"/>
            <w:vAlign w:val="center"/>
          </w:tcPr>
          <w:p w14:paraId="715425E2">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工程量</w:t>
            </w:r>
          </w:p>
        </w:tc>
        <w:tc>
          <w:tcPr>
            <w:tcW w:w="1877" w:type="dxa"/>
            <w:gridSpan w:val="2"/>
            <w:vAlign w:val="center"/>
          </w:tcPr>
          <w:p w14:paraId="1DD416A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建设期限</w:t>
            </w:r>
          </w:p>
        </w:tc>
      </w:tr>
      <w:tr w14:paraId="54F6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blHeader/>
          <w:jc w:val="center"/>
        </w:trPr>
        <w:tc>
          <w:tcPr>
            <w:tcW w:w="931" w:type="dxa"/>
            <w:vMerge w:val="continue"/>
            <w:vAlign w:val="center"/>
          </w:tcPr>
          <w:p w14:paraId="6FBD72D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p>
        </w:tc>
        <w:tc>
          <w:tcPr>
            <w:tcW w:w="3101" w:type="dxa"/>
            <w:vMerge w:val="continue"/>
            <w:vAlign w:val="center"/>
          </w:tcPr>
          <w:p w14:paraId="65EE286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p>
        </w:tc>
        <w:tc>
          <w:tcPr>
            <w:tcW w:w="957" w:type="dxa"/>
            <w:vMerge w:val="continue"/>
            <w:vAlign w:val="center"/>
          </w:tcPr>
          <w:p w14:paraId="4BA63B6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p>
        </w:tc>
        <w:tc>
          <w:tcPr>
            <w:tcW w:w="1105" w:type="dxa"/>
            <w:vMerge w:val="continue"/>
            <w:vAlign w:val="center"/>
          </w:tcPr>
          <w:p w14:paraId="1059E7A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p>
        </w:tc>
        <w:tc>
          <w:tcPr>
            <w:tcW w:w="957" w:type="dxa"/>
            <w:vAlign w:val="center"/>
          </w:tcPr>
          <w:p w14:paraId="66913A2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近期</w:t>
            </w:r>
          </w:p>
        </w:tc>
        <w:tc>
          <w:tcPr>
            <w:tcW w:w="920" w:type="dxa"/>
            <w:vAlign w:val="center"/>
          </w:tcPr>
          <w:p w14:paraId="66071B3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b/>
                <w:bCs/>
                <w:i w:val="0"/>
                <w:color w:val="auto"/>
                <w:kern w:val="0"/>
                <w:sz w:val="18"/>
                <w:szCs w:val="18"/>
                <w:highlight w:val="none"/>
                <w:u w:val="none"/>
                <w:lang w:val="en-US" w:eastAsia="zh-CN" w:bidi="ar"/>
              </w:rPr>
            </w:pPr>
            <w:r>
              <w:rPr>
                <w:rFonts w:hint="default" w:ascii="Times New Roman" w:hAnsi="Times New Roman" w:cs="Times New Roman" w:eastAsiaTheme="minorEastAsia"/>
                <w:b/>
                <w:bCs/>
                <w:i w:val="0"/>
                <w:color w:val="auto"/>
                <w:kern w:val="0"/>
                <w:sz w:val="18"/>
                <w:szCs w:val="18"/>
                <w:highlight w:val="none"/>
                <w:u w:val="none"/>
                <w:lang w:val="en-US" w:eastAsia="zh-CN" w:bidi="ar"/>
              </w:rPr>
              <w:t>中长期</w:t>
            </w:r>
          </w:p>
        </w:tc>
      </w:tr>
      <w:tr w14:paraId="4050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931" w:type="dxa"/>
            <w:vAlign w:val="center"/>
          </w:tcPr>
          <w:p w14:paraId="3DA09F8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3101" w:type="dxa"/>
            <w:vAlign w:val="center"/>
          </w:tcPr>
          <w:p w14:paraId="6247807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藏家乐规范管理</w:t>
            </w:r>
          </w:p>
        </w:tc>
        <w:tc>
          <w:tcPr>
            <w:tcW w:w="957" w:type="dxa"/>
            <w:vAlign w:val="center"/>
          </w:tcPr>
          <w:p w14:paraId="36166EE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05" w:type="dxa"/>
            <w:vAlign w:val="center"/>
          </w:tcPr>
          <w:p w14:paraId="10A5F26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w:t>
            </w:r>
          </w:p>
        </w:tc>
        <w:tc>
          <w:tcPr>
            <w:tcW w:w="957" w:type="dxa"/>
            <w:vAlign w:val="center"/>
          </w:tcPr>
          <w:p w14:paraId="3DD12D1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20" w:type="dxa"/>
            <w:vAlign w:val="center"/>
          </w:tcPr>
          <w:p w14:paraId="6948424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118D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931" w:type="dxa"/>
            <w:vAlign w:val="center"/>
          </w:tcPr>
          <w:p w14:paraId="0869F97A">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3101" w:type="dxa"/>
            <w:vAlign w:val="center"/>
          </w:tcPr>
          <w:p w14:paraId="06E949B3">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入口社区建设</w:t>
            </w:r>
          </w:p>
        </w:tc>
        <w:tc>
          <w:tcPr>
            <w:tcW w:w="957" w:type="dxa"/>
            <w:vAlign w:val="center"/>
          </w:tcPr>
          <w:p w14:paraId="6E00ABF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处</w:t>
            </w:r>
          </w:p>
        </w:tc>
        <w:tc>
          <w:tcPr>
            <w:tcW w:w="1105" w:type="dxa"/>
            <w:vAlign w:val="center"/>
          </w:tcPr>
          <w:p w14:paraId="3BBA0CE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957" w:type="dxa"/>
            <w:vAlign w:val="center"/>
          </w:tcPr>
          <w:p w14:paraId="04FFC60D">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20" w:type="dxa"/>
            <w:vAlign w:val="center"/>
          </w:tcPr>
          <w:p w14:paraId="251FBD1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ED4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931" w:type="dxa"/>
            <w:vAlign w:val="center"/>
          </w:tcPr>
          <w:p w14:paraId="13673100">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3</w:t>
            </w:r>
          </w:p>
        </w:tc>
        <w:tc>
          <w:tcPr>
            <w:tcW w:w="3101" w:type="dxa"/>
            <w:vAlign w:val="center"/>
          </w:tcPr>
          <w:p w14:paraId="74D84F4C">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特色小镇建设</w:t>
            </w:r>
          </w:p>
        </w:tc>
        <w:tc>
          <w:tcPr>
            <w:tcW w:w="957" w:type="dxa"/>
            <w:vAlign w:val="center"/>
          </w:tcPr>
          <w:p w14:paraId="6F53C274">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项</w:t>
            </w:r>
          </w:p>
        </w:tc>
        <w:tc>
          <w:tcPr>
            <w:tcW w:w="1105" w:type="dxa"/>
            <w:vAlign w:val="center"/>
          </w:tcPr>
          <w:p w14:paraId="0DCDF3F5">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2</w:t>
            </w:r>
          </w:p>
        </w:tc>
        <w:tc>
          <w:tcPr>
            <w:tcW w:w="957" w:type="dxa"/>
            <w:vAlign w:val="center"/>
          </w:tcPr>
          <w:p w14:paraId="4CAF8D2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20" w:type="dxa"/>
            <w:vAlign w:val="center"/>
          </w:tcPr>
          <w:p w14:paraId="7B781901">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tr w14:paraId="3B3C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0A6C761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4</w:t>
            </w:r>
          </w:p>
        </w:tc>
        <w:tc>
          <w:tcPr>
            <w:tcW w:w="3101" w:type="dxa"/>
            <w:vAlign w:val="center"/>
          </w:tcPr>
          <w:p w14:paraId="0FDD5248">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社区共管会议</w:t>
            </w:r>
          </w:p>
        </w:tc>
        <w:tc>
          <w:tcPr>
            <w:tcW w:w="957" w:type="dxa"/>
            <w:vAlign w:val="center"/>
          </w:tcPr>
          <w:p w14:paraId="150D80F6">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次</w:t>
            </w:r>
          </w:p>
        </w:tc>
        <w:tc>
          <w:tcPr>
            <w:tcW w:w="1105" w:type="dxa"/>
            <w:vAlign w:val="center"/>
          </w:tcPr>
          <w:p w14:paraId="58D363A9">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10</w:t>
            </w:r>
          </w:p>
        </w:tc>
        <w:tc>
          <w:tcPr>
            <w:tcW w:w="957" w:type="dxa"/>
            <w:vAlign w:val="center"/>
          </w:tcPr>
          <w:p w14:paraId="0D2D8BAB">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c>
          <w:tcPr>
            <w:tcW w:w="920" w:type="dxa"/>
            <w:vAlign w:val="center"/>
          </w:tcPr>
          <w:p w14:paraId="6CE6954E">
            <w:pPr>
              <w:keepNext w:val="0"/>
              <w:keepLines w:val="0"/>
              <w:pageBreakBefore w:val="0"/>
              <w:widowControl w:val="0"/>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eastAsiaTheme="minorEastAsia"/>
                <w:i w:val="0"/>
                <w:color w:val="auto"/>
                <w:kern w:val="0"/>
                <w:sz w:val="18"/>
                <w:szCs w:val="18"/>
                <w:highlight w:val="none"/>
                <w:u w:val="none"/>
                <w:lang w:val="en-US" w:eastAsia="zh-CN" w:bidi="ar"/>
              </w:rPr>
            </w:pPr>
            <w:r>
              <w:rPr>
                <w:rFonts w:hint="default" w:ascii="Times New Roman" w:hAnsi="Times New Roman" w:cs="Times New Roman" w:eastAsiaTheme="minorEastAsia"/>
                <w:i w:val="0"/>
                <w:color w:val="auto"/>
                <w:kern w:val="0"/>
                <w:sz w:val="18"/>
                <w:szCs w:val="18"/>
                <w:highlight w:val="none"/>
                <w:u w:val="none"/>
                <w:lang w:val="en-US" w:eastAsia="zh-CN" w:bidi="ar"/>
              </w:rPr>
              <w:t>√</w:t>
            </w:r>
          </w:p>
        </w:tc>
      </w:tr>
      <w:bookmarkEnd w:id="30"/>
    </w:tbl>
    <w:p w14:paraId="646FF8E6">
      <w:pPr>
        <w:pStyle w:val="3"/>
        <w:rPr>
          <w:rFonts w:hint="default" w:ascii="Times New Roman" w:hAnsi="Times New Roman" w:cs="Times New Roman"/>
          <w:color w:val="auto"/>
          <w:highlight w:val="none"/>
          <w:lang w:val="en-US" w:eastAsia="zh-CN"/>
        </w:rPr>
      </w:pPr>
      <w:bookmarkStart w:id="31" w:name="_Toc25604"/>
      <w:bookmarkStart w:id="32" w:name="_Toc4187"/>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.5防灾减灾和应急保障规划</w:t>
      </w:r>
      <w:bookmarkEnd w:id="31"/>
    </w:p>
    <w:p w14:paraId="6E683020">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.5.1草原火灾防控</w:t>
      </w:r>
    </w:p>
    <w:p w14:paraId="5B59D096">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若尔盖保护区自成立以来，已修建3个防火瞭望塔，坚持“预防为主，积极消灭”的原则，增强防灭火的综合能力，采取多种措施，全方位构筑防火屏障。</w:t>
      </w:r>
    </w:p>
    <w:p w14:paraId="6DEC8014">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坚持“预防为主，积极消灭”方针，联合林草、畜牧部门建立健全“管理局-管理站”二级防火指挥体系。依托在岗生态员组建应急扑火小组，与县专业大队建立联动机制，平时负责巡护排查与训练，火情时统一调度。实行网格化巡护，实现重点区域、关键时段巡查全覆盖。加强部门协同与信息共享，定期组织涵盖火情报告、队伍集结、战术扑救、医疗救护等全流程的实战演练，全面提升草原火灾综合防控能力。</w:t>
      </w:r>
    </w:p>
    <w:p w14:paraId="04461F87">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加强预防工作和火源管理。针对保护区及周边的火源类型，实施分类精准管控。严格规范宗教用火、严格管控生产生活用火、严格执行野外用火审批制度，高火险期禁止一切野外用火、严格管理流动人员火源。重点防火期全面启动防火卡点，配备红外监测设备，对入区人员、车辆严格执行“火种收缴、防火宣传”流程，坚决守住火源进区第一道防线。</w:t>
      </w:r>
    </w:p>
    <w:p w14:paraId="4FB2087D">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强化宣传教育和责任落实。广泛开展防火宣传教育。依托“传统+新媒体”全方位宣传，通过悬挂横幅、发放宣传单、流动宣传车巡回宣讲等传统方式，结合村社大喇叭播报等手段，深入林区村寨、远牧点、寺院，广泛普及《草原防火条例》等法律法规和12119火情报警电话。</w:t>
      </w:r>
    </w:p>
    <w:p w14:paraId="32DB4B40">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.5.2地质灾害防治</w:t>
      </w:r>
    </w:p>
    <w:p w14:paraId="66DDA556">
      <w:pPr>
        <w:numPr>
          <w:ilvl w:val="0"/>
          <w:numId w:val="0"/>
        </w:numPr>
        <w:ind w:firstLine="560" w:firstLineChars="2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严格落实专职监测员制度，开展汛前排查、汛中巡查及雨后调查，加强地灾治理工程建设，完成隐患点位治理与排危除险项目，将地灾治理与水土保持有机结合，实现除险、修复、保水一举多得</w:t>
      </w:r>
      <w:r>
        <w:rPr>
          <w:rFonts w:hint="default" w:ascii="Times New Roman" w:hAnsi="Times New Roman" w:cs="Times New Roman"/>
          <w:color w:val="auto"/>
          <w:highlight w:val="none"/>
          <w:lang w:eastAsia="zh-CN"/>
        </w:rPr>
        <w:t>。</w:t>
      </w:r>
    </w:p>
    <w:p w14:paraId="6C60C6F7">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严格落实预警响应机制，发布地灾风险预警，及时推送预警信息至偏远牧区。推动卫星遥感、无人机在隐患点识别和动态监测中的应用，提升地灾早期发现和快速响应能力。</w:t>
      </w:r>
    </w:p>
    <w:p w14:paraId="03E6D3D4">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加强宣传演练，提升群众避险能力。深入各乡镇、学校、在建工地等场所，常态化开展地灾防治培训演练，逐点开展应急避险演练。通过藏汉双语宣传手册、流动宣讲等方式普及地灾识别和避险常识，提升基层群众防灾意识和自救互救能力。</w:t>
      </w:r>
    </w:p>
    <w:p w14:paraId="2D40FBF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（4）针对保护区内地质隐患点实施地质灾害综合整治和能力提升，对G248国道沿线地质灾害边坡进行治理，及时消除隐患，确保人民群众生命财产安全。</w:t>
      </w:r>
    </w:p>
    <w:p w14:paraId="0B848BF1">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.5.3有害生物防治</w:t>
      </w:r>
    </w:p>
    <w:p w14:paraId="14667C1D">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加强鼠害综合防控。加强对高原鼢鼠和高原鼠兔危害区域的监测评估，在鼠害严重区域，推广弓箭物理灭鼠与生物毒素防控相结合的方式，采用人工弓箭捕捉与生物毒素定向投放协同开展，优先选择冬春季鼠类活动减弱、繁殖高峰前期开展集中灭治，有效控制鼠类种群密度。</w:t>
      </w:r>
    </w:p>
    <w:p w14:paraId="498118A6">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推进虫害生物防治。针对草原蝗虫和草原毛虫等主要虫害，推广使用生物源杀虫剂，有效减少化学农药对湿地生态系统的二次污染。结合草原生态修复措施，通过植被恢复改善草原群落结构，增强草原生态系统自身抵御虫害的能力。</w:t>
      </w:r>
    </w:p>
    <w:p w14:paraId="53D5CF66">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健全监测预警体系。建立定期普查与动态监测相结合的工作机制。在每年有害生物活跃期（5—9月），加密监测频次，全面摸清有害生物种类、分布范围、危害程度及发展趋势，科学评估灾害风险等级并形成监测报告。依托“天地空”一体化监测网络和基层管护队伍，实现有害生物发生动态的早发现、早预警。</w:t>
      </w:r>
    </w:p>
    <w:p w14:paraId="6533262C">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.5.4洪涝灾害防治</w:t>
      </w:r>
    </w:p>
    <w:p w14:paraId="65ED9CAF">
      <w:pPr>
        <w:numPr>
          <w:ilvl w:val="0"/>
          <w:numId w:val="14"/>
        </w:numPr>
        <w:rPr>
          <w:rFonts w:hint="default" w:ascii="Times New Roman" w:hAnsi="Times New Roman" w:cs="Times New Roman"/>
          <w:color w:val="auto"/>
          <w:highlight w:val="none"/>
        </w:rPr>
      </w:pPr>
      <w:r>
        <w:rPr>
          <w:rFonts w:hint="default" w:ascii="Times New Roman" w:hAnsi="Times New Roman" w:cs="Times New Roman"/>
          <w:color w:val="auto"/>
          <w:highlight w:val="none"/>
        </w:rPr>
        <w:t>严格落实防汛责任体系，确保险情早发现、早报告、早处置。暴雨预警发布后，第一时间联动水务、交通等部门联合会商研判，确保防范举措精准到位。</w:t>
      </w:r>
    </w:p>
    <w:p w14:paraId="30570AA4">
      <w:pPr>
        <w:numPr>
          <w:ilvl w:val="0"/>
          <w:numId w:val="1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若尔盖段黄河干流地势平坦，河道游荡摆动导致河岸右侧长期遭受冲刷、侵蚀、坍塌</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沿线草场、公路、通信等基础设施受到严重威胁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需要沿黄河干流四川段、黑河、白河等开展防洪治理以及水土流失综合治理。</w:t>
      </w:r>
    </w:p>
    <w:p w14:paraId="6C77D018">
      <w:pPr>
        <w:numPr>
          <w:ilvl w:val="0"/>
          <w:numId w:val="14"/>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广泛开展防汛宣传教育。通过微信、短信等平台及时发布预警信息和避险提示，深入各乡镇开展防汛减灾宣传，通过全方位、立体化宣传，提升干部群众风险防范意识和自救互救能力。</w:t>
      </w:r>
    </w:p>
    <w:p w14:paraId="3716317F">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.5.5冰冻灾害防治</w:t>
      </w:r>
    </w:p>
    <w:p w14:paraId="00125EC9">
      <w:pPr>
        <w:numPr>
          <w:ilvl w:val="0"/>
          <w:numId w:val="15"/>
        </w:numPr>
        <w:rPr>
          <w:rFonts w:hint="default" w:ascii="Times New Roman" w:hAnsi="Times New Roman" w:cs="Times New Roman"/>
          <w:color w:val="auto"/>
          <w:highlight w:val="none"/>
        </w:rPr>
      </w:pPr>
      <w:r>
        <w:rPr>
          <w:rFonts w:hint="default" w:ascii="Times New Roman" w:hAnsi="Times New Roman" w:cs="Times New Roman"/>
          <w:color w:val="auto"/>
          <w:highlight w:val="none"/>
        </w:rPr>
        <w:t> 依托保护区已建成的水文、气象监测站和物候监测网络，完善冬春季极端天气实时监测和数据采集。强化与县气象、应急、交通等部门的信息共享与联合会商机制，重点关注寒潮、暴雪等极端天气预报，及时通过微信、短信、广播等渠道向保护区周边社区、远牧点发布预警信息和防灾指。</w:t>
      </w:r>
    </w:p>
    <w:p w14:paraId="7EA81F5D">
      <w:pPr>
        <w:numPr>
          <w:ilvl w:val="0"/>
          <w:numId w:val="15"/>
        </w:numP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若尔盖自然保护区</w:t>
      </w:r>
      <w:r>
        <w:rPr>
          <w:rFonts w:hint="default" w:ascii="Times New Roman" w:hAnsi="Times New Roman" w:cs="Times New Roman"/>
          <w:color w:val="auto"/>
          <w:highlight w:val="none"/>
        </w:rPr>
        <w:t>地处高原，气温较低，每年冬春季节极易发生雨雪冰冻灾害，对野生动植物、农牧民家畜带来极大的隐患，特别是野生动物、家畜在雪灾期间很难寻觅食物或饲草，饿死现象时有发生，针对珍稀野生动物需要适当投喂食物；针对牦牛越冬要指导牧民贮备饲草，存栏合理数量的牲畜。</w:t>
      </w:r>
    </w:p>
    <w:p w14:paraId="2F074B42">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.5.5外来物种入侵防范和应对</w:t>
      </w:r>
    </w:p>
    <w:p w14:paraId="506F5105">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强化源头检疫与物种选用管理。配合若尔盖县政府及县林草局开展检疫工作，加强风险评估。在保护区周边的退牧还草、沙化治理及保护区自身建设绿化中，优先选用本土植物种，严格限制使用非本地物种。一旦发现外来入侵物种，立即报告有关部门，配合防治机构进行调查和除治。</w:t>
      </w:r>
    </w:p>
    <w:p w14:paraId="68446EE4">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重点区域巡护与放生物种现场处置。将寺庙放生点、公路沿线水域等放生活动频发区域纳入日常巡护重点，巡护人员一旦发现放生行为，现场进行劝阻和宣传教育，并对放生物种进行甄别，发现外来种或非本地种及时移除并报告；同时联合相关部门在重点区域设置藏汉双语警示牌，明确告知禁止放生物种类型及法律责任。</w:t>
      </w:r>
    </w:p>
    <w:p w14:paraId="1ECDEE6B">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加强源头宣传教育与社区共管。联合寺庙管理机构、社区组织，通过藏汉双语宣传手册、村民大会、寺庙法会等渠道，面向信教群众普及外来物种入侵危害及科学放生知识，重点告知本地常见放生物种中哪些是禁止放生的（如巴西龟、家猫等），倡导“护生代替放生”（如参与湿地巡护、垃圾清理等生态公益活动），从源头上减少盲目放生行为。</w:t>
      </w:r>
    </w:p>
    <w:p w14:paraId="646B250A">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.5.6应急保障能力提升</w:t>
      </w:r>
    </w:p>
    <w:p w14:paraId="4C704BD6">
      <w:pPr>
        <w:numPr>
          <w:ilvl w:val="0"/>
          <w:numId w:val="16"/>
        </w:numPr>
        <w:ind w:firstLine="560"/>
        <w:rPr>
          <w:rFonts w:hint="default" w:ascii="Times New Roman" w:hAnsi="Times New Roman" w:eastAsia="宋体" w:cs="Times New Roman"/>
          <w:i w:val="0"/>
          <w:iCs w:val="0"/>
          <w:caps w:val="0"/>
          <w:color w:val="0F1115"/>
          <w:spacing w:val="0"/>
          <w:sz w:val="24"/>
          <w:szCs w:val="24"/>
          <w:highlight w:val="none"/>
          <w:shd w:val="clear" w:fill="FFFFFF"/>
          <w:lang w:eastAsia="zh-CN"/>
        </w:rPr>
      </w:pPr>
      <w:r>
        <w:rPr>
          <w:rFonts w:hint="default" w:ascii="Times New Roman" w:hAnsi="Times New Roman" w:cs="Times New Roman"/>
          <w:color w:val="auto"/>
          <w:highlight w:val="none"/>
          <w:lang w:val="en-US" w:eastAsia="zh-CN"/>
        </w:rPr>
        <w:t>加强设施设备建设。提升科技防火能力，在重点煨桑点、主要路口加装监控设备和太阳能语音宣传喇叭，利用卫星遥感、无人机等“空天地”一体化监测手段，提升火情早期发现和快速响应能力。加强物资装备保障，</w:t>
      </w:r>
      <w:r>
        <w:rPr>
          <w:rFonts w:hint="default" w:ascii="Times New Roman" w:hAnsi="Times New Roman" w:cs="Times New Roman"/>
          <w:color w:val="auto"/>
          <w:highlight w:val="none"/>
        </w:rPr>
        <w:t>配备</w:t>
      </w:r>
      <w:r>
        <w:rPr>
          <w:rFonts w:hint="default" w:ascii="Times New Roman" w:hAnsi="Times New Roman" w:cs="Times New Roman"/>
          <w:color w:val="auto"/>
          <w:highlight w:val="none"/>
          <w:lang w:val="en-US" w:eastAsia="zh-CN"/>
        </w:rPr>
        <w:t>消防车1辆、除雪车1辆、</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管理局、管理站</w:t>
      </w:r>
      <w:r>
        <w:rPr>
          <w:rFonts w:hint="default" w:ascii="Times New Roman" w:hAnsi="Times New Roman" w:cs="Times New Roman"/>
          <w:color w:val="auto"/>
          <w:highlight w:val="none"/>
        </w:rPr>
        <w:t>购置风力灭火机、</w:t>
      </w:r>
      <w:r>
        <w:rPr>
          <w:rFonts w:hint="default" w:ascii="Times New Roman" w:hAnsi="Times New Roman" w:cs="Times New Roman"/>
          <w:color w:val="auto"/>
          <w:highlight w:val="none"/>
          <w:lang w:eastAsia="zh-CN"/>
        </w:rPr>
        <w:t>抽水机、</w:t>
      </w:r>
      <w:r>
        <w:rPr>
          <w:rFonts w:hint="default" w:ascii="Times New Roman" w:hAnsi="Times New Roman" w:cs="Times New Roman"/>
          <w:color w:val="auto"/>
          <w:highlight w:val="none"/>
        </w:rPr>
        <w:t>防火服、油锯、消防斧、发电机、望远镜</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防汛物资</w:t>
      </w:r>
      <w:r>
        <w:rPr>
          <w:rFonts w:hint="default" w:ascii="Times New Roman" w:hAnsi="Times New Roman" w:cs="Times New Roman"/>
          <w:color w:val="auto"/>
          <w:highlight w:val="none"/>
        </w:rPr>
        <w:t>等必须的</w:t>
      </w:r>
      <w:r>
        <w:rPr>
          <w:rFonts w:hint="default" w:ascii="Times New Roman" w:hAnsi="Times New Roman" w:cs="Times New Roman"/>
          <w:color w:val="auto"/>
          <w:highlight w:val="none"/>
          <w:lang w:val="en-US" w:eastAsia="zh-CN"/>
        </w:rPr>
        <w:t>应急保障</w:t>
      </w:r>
      <w:r>
        <w:rPr>
          <w:rFonts w:hint="default" w:ascii="Times New Roman" w:hAnsi="Times New Roman" w:cs="Times New Roman"/>
          <w:color w:val="auto"/>
          <w:highlight w:val="none"/>
        </w:rPr>
        <w:t>装备。</w:t>
      </w:r>
    </w:p>
    <w:p w14:paraId="77C0FD7C">
      <w:pPr>
        <w:numPr>
          <w:ilvl w:val="0"/>
          <w:numId w:val="16"/>
        </w:num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健全应急指挥与响应机制。建立健全“管理局-管理站”二级应急指挥体系，完善应急预案数字化管理，提高应对突发事件的处置能力。定期组织应急演练，提升部门协同作战能力。推动无人机、远程视频监控等信息化手段在应急指挥中的应用，实现现场态势实时回传、指挥调度精准高效。</w:t>
      </w:r>
    </w:p>
    <w:p w14:paraId="412EF157">
      <w:pPr>
        <w:numPr>
          <w:ilvl w:val="0"/>
          <w:numId w:val="16"/>
        </w:num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加强应急队伍与物资储备体系建设。统筹整合各类应急力量，定期开展专业技能培训和实战演练，重点加强对生态管护员等一线力量的培训覆盖，提升基层应急处置能力。完善应急物资储备库建设，确保应急救援及时高效。</w:t>
      </w:r>
    </w:p>
    <w:p w14:paraId="567494A8">
      <w:pPr>
        <w:numPr>
          <w:ilvl w:val="0"/>
          <w:numId w:val="16"/>
        </w:num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强化应急通道与通信保障。针对牧区地广人稀、交通不便的实际，推进草原应急通道建设，确保火情、雪灾等突发事件发生时救援力量能够及时抵达现场。完善保护区通信与信息保障体系，在通信覆盖不足区域配备卫星电话等应急通信设备，确保极端条件下的信息畅通。</w:t>
      </w:r>
    </w:p>
    <w:p w14:paraId="67F1F286">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.5.7野生动物救治及疫源疫病防控</w:t>
      </w:r>
    </w:p>
    <w:p w14:paraId="78A8F046">
      <w:pPr>
        <w:numPr>
          <w:ilvl w:val="0"/>
          <w:numId w:val="17"/>
        </w:num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野生动物救治</w:t>
      </w:r>
    </w:p>
    <w:p w14:paraId="53A7EAFD">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构建"发现-收容-救治-康复-放归"全链条野生动物救护体系。依托保护区现有湿地野生动植物保育中心以及管护站等基础设施，设立分区布局合理的野生动物临时收容点，配备必要的诊疗设备、隔离笼舍和康复设施。建立快速响应机制，设立24小时野生动物救助热线，与乡镇派出所、林草工作站形成联动网络，确保接到伤情报告后第一时间赶赴现场开展科学处置。针对国家一二级重点保护物种（如草原雕、黑颈鹤）建立专项救助档案，记录救治过程与康复数据，为野生动物救护积累科学经验。</w:t>
      </w:r>
    </w:p>
    <w:p w14:paraId="30035E73">
      <w:pPr>
        <w:numPr>
          <w:ilvl w:val="0"/>
          <w:numId w:val="17"/>
        </w:num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疫源疫病防控</w:t>
      </w:r>
    </w:p>
    <w:p w14:paraId="31B6A0AF">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尔盖湿地是候鸟重要迁徙停歇地，鸟类疫病防控是重点，同时，若尔盖县也是省级鼠疫监测点，鼠疫防控是重中之重，疫源疫病防治十分重要，保护区管理局需配合县林草局做好疫源疫病监测与调查，发放防疫物资，针对农牧民群众发放藏汉双语鼠疫防治宣传资料。</w:t>
      </w:r>
    </w:p>
    <w:p w14:paraId="0B9FFD36">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防灾减灾规划</w:t>
      </w:r>
      <w:r>
        <w:rPr>
          <w:rFonts w:hint="default" w:ascii="Times New Roman" w:hAnsi="Times New Roman" w:cs="Times New Roman"/>
          <w:color w:val="auto"/>
          <w:highlight w:val="none"/>
          <w:lang w:eastAsia="zh-CN"/>
        </w:rPr>
        <w:t>建设见表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-5-1。</w:t>
      </w:r>
    </w:p>
    <w:p w14:paraId="40F3D826">
      <w:pPr>
        <w:ind w:firstLine="56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lang w:val="en-US" w:eastAsia="zh-CN"/>
        </w:rPr>
        <w:t>-5</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1防灾减灾建设内容</w:t>
      </w:r>
      <w:r>
        <w:rPr>
          <w:rFonts w:hint="default" w:ascii="Times New Roman" w:hAnsi="Times New Roman" w:cs="Times New Roman"/>
          <w:b/>
          <w:bCs/>
          <w:color w:val="auto"/>
          <w:highlight w:val="none"/>
        </w:rPr>
        <w:t>表</w:t>
      </w:r>
    </w:p>
    <w:tbl>
      <w:tblPr>
        <w:tblStyle w:val="24"/>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322"/>
        <w:gridCol w:w="923"/>
        <w:gridCol w:w="1296"/>
        <w:gridCol w:w="1434"/>
        <w:gridCol w:w="1325"/>
      </w:tblGrid>
      <w:tr w14:paraId="3815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83" w:type="dxa"/>
            <w:vMerge w:val="restart"/>
            <w:vAlign w:val="center"/>
          </w:tcPr>
          <w:p w14:paraId="426938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序号</w:t>
            </w:r>
          </w:p>
        </w:tc>
        <w:tc>
          <w:tcPr>
            <w:tcW w:w="3322" w:type="dxa"/>
            <w:vMerge w:val="restart"/>
            <w:vAlign w:val="center"/>
          </w:tcPr>
          <w:p w14:paraId="3FF75A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名称</w:t>
            </w:r>
          </w:p>
        </w:tc>
        <w:tc>
          <w:tcPr>
            <w:tcW w:w="923" w:type="dxa"/>
            <w:vMerge w:val="restart"/>
            <w:vAlign w:val="center"/>
          </w:tcPr>
          <w:p w14:paraId="62DD47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单位</w:t>
            </w:r>
          </w:p>
        </w:tc>
        <w:tc>
          <w:tcPr>
            <w:tcW w:w="1296" w:type="dxa"/>
            <w:vMerge w:val="restart"/>
            <w:vAlign w:val="center"/>
          </w:tcPr>
          <w:p w14:paraId="7D10F0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工程量</w:t>
            </w:r>
          </w:p>
        </w:tc>
        <w:tc>
          <w:tcPr>
            <w:tcW w:w="2759" w:type="dxa"/>
            <w:gridSpan w:val="2"/>
            <w:vAlign w:val="center"/>
          </w:tcPr>
          <w:p w14:paraId="0A1053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建设期限</w:t>
            </w:r>
          </w:p>
        </w:tc>
      </w:tr>
      <w:tr w14:paraId="656B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83" w:type="dxa"/>
            <w:vMerge w:val="continue"/>
            <w:vAlign w:val="center"/>
          </w:tcPr>
          <w:p w14:paraId="45A7BD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3322" w:type="dxa"/>
            <w:vMerge w:val="continue"/>
            <w:vAlign w:val="center"/>
          </w:tcPr>
          <w:p w14:paraId="55A4AA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923" w:type="dxa"/>
            <w:vMerge w:val="continue"/>
            <w:vAlign w:val="center"/>
          </w:tcPr>
          <w:p w14:paraId="6345B4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1296" w:type="dxa"/>
            <w:vMerge w:val="continue"/>
            <w:vAlign w:val="center"/>
          </w:tcPr>
          <w:p w14:paraId="0FF218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cs="Times New Roman"/>
                <w:b/>
                <w:bCs/>
                <w:color w:val="auto"/>
                <w:highlight w:val="none"/>
              </w:rPr>
            </w:pPr>
          </w:p>
        </w:tc>
        <w:tc>
          <w:tcPr>
            <w:tcW w:w="1434" w:type="dxa"/>
            <w:vAlign w:val="center"/>
          </w:tcPr>
          <w:p w14:paraId="326217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近期</w:t>
            </w:r>
          </w:p>
        </w:tc>
        <w:tc>
          <w:tcPr>
            <w:tcW w:w="1325" w:type="dxa"/>
            <w:vAlign w:val="center"/>
          </w:tcPr>
          <w:p w14:paraId="6FBEA8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kern w:val="0"/>
                <w:sz w:val="20"/>
                <w:szCs w:val="20"/>
                <w:highlight w:val="none"/>
                <w:lang w:eastAsia="zh-CN"/>
              </w:rPr>
              <w:t>中长期</w:t>
            </w:r>
          </w:p>
        </w:tc>
      </w:tr>
      <w:tr w14:paraId="19CF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729137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1</w:t>
            </w:r>
          </w:p>
        </w:tc>
        <w:tc>
          <w:tcPr>
            <w:tcW w:w="3322" w:type="dxa"/>
            <w:vAlign w:val="center"/>
          </w:tcPr>
          <w:p w14:paraId="5E3633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cs="Times New Roman" w:eastAsiaTheme="minorEastAsia"/>
                <w:color w:val="auto"/>
                <w:sz w:val="18"/>
                <w:szCs w:val="18"/>
                <w:highlight w:val="none"/>
                <w:lang w:val="en-US" w:eastAsia="zh-CN"/>
              </w:rPr>
              <w:t>开展防火讲座</w:t>
            </w:r>
          </w:p>
        </w:tc>
        <w:tc>
          <w:tcPr>
            <w:tcW w:w="923" w:type="dxa"/>
            <w:vAlign w:val="center"/>
          </w:tcPr>
          <w:p w14:paraId="46ED0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场</w:t>
            </w:r>
          </w:p>
        </w:tc>
        <w:tc>
          <w:tcPr>
            <w:tcW w:w="1296" w:type="dxa"/>
            <w:vAlign w:val="center"/>
          </w:tcPr>
          <w:p w14:paraId="275176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2</w:t>
            </w:r>
          </w:p>
        </w:tc>
        <w:tc>
          <w:tcPr>
            <w:tcW w:w="1434" w:type="dxa"/>
            <w:vAlign w:val="center"/>
          </w:tcPr>
          <w:p w14:paraId="11F638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c>
          <w:tcPr>
            <w:tcW w:w="1325" w:type="dxa"/>
            <w:vAlign w:val="center"/>
          </w:tcPr>
          <w:p w14:paraId="6E8F0A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r>
      <w:tr w14:paraId="09A8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D9731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rPr>
              <w:t>2</w:t>
            </w:r>
          </w:p>
        </w:tc>
        <w:tc>
          <w:tcPr>
            <w:tcW w:w="3322" w:type="dxa"/>
            <w:vAlign w:val="center"/>
          </w:tcPr>
          <w:p w14:paraId="33F0D1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消防车</w:t>
            </w:r>
          </w:p>
        </w:tc>
        <w:tc>
          <w:tcPr>
            <w:tcW w:w="923" w:type="dxa"/>
            <w:shd w:val="clear" w:color="auto" w:fill="auto"/>
            <w:vAlign w:val="center"/>
          </w:tcPr>
          <w:p w14:paraId="01749A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辆</w:t>
            </w:r>
          </w:p>
        </w:tc>
        <w:tc>
          <w:tcPr>
            <w:tcW w:w="1296" w:type="dxa"/>
            <w:shd w:val="clear" w:color="auto" w:fill="auto"/>
            <w:vAlign w:val="center"/>
          </w:tcPr>
          <w:p w14:paraId="25E5F2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w:t>
            </w:r>
          </w:p>
        </w:tc>
        <w:tc>
          <w:tcPr>
            <w:tcW w:w="1434" w:type="dxa"/>
            <w:shd w:val="clear" w:color="auto" w:fill="auto"/>
            <w:vAlign w:val="center"/>
          </w:tcPr>
          <w:p w14:paraId="5782BE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154EA7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2"/>
                <w:sz w:val="18"/>
                <w:szCs w:val="18"/>
                <w:highlight w:val="none"/>
                <w:lang w:val="en-US" w:eastAsia="zh-CN" w:bidi="ar-SA"/>
              </w:rPr>
            </w:pPr>
          </w:p>
        </w:tc>
      </w:tr>
      <w:tr w14:paraId="6422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42B31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rPr>
              <w:t>3</w:t>
            </w:r>
          </w:p>
        </w:tc>
        <w:tc>
          <w:tcPr>
            <w:tcW w:w="3322" w:type="dxa"/>
            <w:vAlign w:val="center"/>
          </w:tcPr>
          <w:p w14:paraId="060EEF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多功能除雪车</w:t>
            </w:r>
          </w:p>
        </w:tc>
        <w:tc>
          <w:tcPr>
            <w:tcW w:w="923" w:type="dxa"/>
            <w:shd w:val="clear" w:color="auto" w:fill="auto"/>
            <w:vAlign w:val="center"/>
          </w:tcPr>
          <w:p w14:paraId="406264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辆</w:t>
            </w:r>
          </w:p>
        </w:tc>
        <w:tc>
          <w:tcPr>
            <w:tcW w:w="1296" w:type="dxa"/>
            <w:shd w:val="clear" w:color="auto" w:fill="auto"/>
            <w:vAlign w:val="center"/>
          </w:tcPr>
          <w:p w14:paraId="206E2D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w:t>
            </w:r>
          </w:p>
        </w:tc>
        <w:tc>
          <w:tcPr>
            <w:tcW w:w="1434" w:type="dxa"/>
            <w:shd w:val="clear" w:color="auto" w:fill="auto"/>
            <w:vAlign w:val="center"/>
          </w:tcPr>
          <w:p w14:paraId="09A75C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565BD4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2"/>
                <w:sz w:val="18"/>
                <w:szCs w:val="18"/>
                <w:highlight w:val="none"/>
                <w:lang w:val="en-US" w:eastAsia="zh-CN" w:bidi="ar-SA"/>
              </w:rPr>
            </w:pPr>
          </w:p>
        </w:tc>
      </w:tr>
      <w:tr w14:paraId="5532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1E364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rPr>
              <w:t>4</w:t>
            </w:r>
          </w:p>
        </w:tc>
        <w:tc>
          <w:tcPr>
            <w:tcW w:w="3322" w:type="dxa"/>
            <w:vAlign w:val="center"/>
          </w:tcPr>
          <w:p w14:paraId="043867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风力灭火机</w:t>
            </w:r>
          </w:p>
        </w:tc>
        <w:tc>
          <w:tcPr>
            <w:tcW w:w="923" w:type="dxa"/>
            <w:shd w:val="clear" w:color="auto" w:fill="auto"/>
            <w:vAlign w:val="center"/>
          </w:tcPr>
          <w:p w14:paraId="6B5A94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台</w:t>
            </w:r>
          </w:p>
        </w:tc>
        <w:tc>
          <w:tcPr>
            <w:tcW w:w="1296" w:type="dxa"/>
            <w:shd w:val="clear" w:color="auto" w:fill="auto"/>
            <w:vAlign w:val="center"/>
          </w:tcPr>
          <w:p w14:paraId="445B56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1B503F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22E4D8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7E76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499824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rPr>
              <w:t>5</w:t>
            </w:r>
          </w:p>
        </w:tc>
        <w:tc>
          <w:tcPr>
            <w:tcW w:w="3322" w:type="dxa"/>
            <w:vAlign w:val="center"/>
          </w:tcPr>
          <w:p w14:paraId="081355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割灌机、油锯</w:t>
            </w:r>
          </w:p>
        </w:tc>
        <w:tc>
          <w:tcPr>
            <w:tcW w:w="923" w:type="dxa"/>
            <w:shd w:val="clear" w:color="auto" w:fill="auto"/>
            <w:vAlign w:val="center"/>
          </w:tcPr>
          <w:p w14:paraId="50A04E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台</w:t>
            </w:r>
          </w:p>
        </w:tc>
        <w:tc>
          <w:tcPr>
            <w:tcW w:w="1296" w:type="dxa"/>
            <w:shd w:val="clear" w:color="auto" w:fill="auto"/>
            <w:vAlign w:val="center"/>
          </w:tcPr>
          <w:p w14:paraId="47292C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15CA6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2E2968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399E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178799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rPr>
              <w:t>6</w:t>
            </w:r>
          </w:p>
        </w:tc>
        <w:tc>
          <w:tcPr>
            <w:tcW w:w="3322" w:type="dxa"/>
            <w:vAlign w:val="center"/>
          </w:tcPr>
          <w:p w14:paraId="03953A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扑火组合工具</w:t>
            </w:r>
          </w:p>
        </w:tc>
        <w:tc>
          <w:tcPr>
            <w:tcW w:w="923" w:type="dxa"/>
            <w:shd w:val="clear" w:color="auto" w:fill="auto"/>
            <w:vAlign w:val="center"/>
          </w:tcPr>
          <w:p w14:paraId="0041F5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把</w:t>
            </w:r>
          </w:p>
        </w:tc>
        <w:tc>
          <w:tcPr>
            <w:tcW w:w="1296" w:type="dxa"/>
            <w:shd w:val="clear" w:color="auto" w:fill="auto"/>
            <w:vAlign w:val="center"/>
          </w:tcPr>
          <w:p w14:paraId="29B878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16</w:t>
            </w:r>
          </w:p>
        </w:tc>
        <w:tc>
          <w:tcPr>
            <w:tcW w:w="1434" w:type="dxa"/>
            <w:shd w:val="clear" w:color="auto" w:fill="auto"/>
            <w:vAlign w:val="center"/>
          </w:tcPr>
          <w:p w14:paraId="374303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72E5CE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71EB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020459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rPr>
              <w:t>7</w:t>
            </w:r>
          </w:p>
        </w:tc>
        <w:tc>
          <w:tcPr>
            <w:tcW w:w="3322" w:type="dxa"/>
            <w:vAlign w:val="center"/>
          </w:tcPr>
          <w:p w14:paraId="6D66E9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高压水泵</w:t>
            </w:r>
          </w:p>
        </w:tc>
        <w:tc>
          <w:tcPr>
            <w:tcW w:w="923" w:type="dxa"/>
            <w:shd w:val="clear" w:color="auto" w:fill="auto"/>
            <w:vAlign w:val="center"/>
          </w:tcPr>
          <w:p w14:paraId="26A1E2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台</w:t>
            </w:r>
          </w:p>
        </w:tc>
        <w:tc>
          <w:tcPr>
            <w:tcW w:w="1296" w:type="dxa"/>
            <w:shd w:val="clear" w:color="auto" w:fill="auto"/>
            <w:vAlign w:val="center"/>
          </w:tcPr>
          <w:p w14:paraId="53ED34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2A7342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5B349C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0AB1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29DEF5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rPr>
              <w:t>8</w:t>
            </w:r>
          </w:p>
        </w:tc>
        <w:tc>
          <w:tcPr>
            <w:tcW w:w="3322" w:type="dxa"/>
            <w:vAlign w:val="center"/>
          </w:tcPr>
          <w:p w14:paraId="489099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灭火水枪</w:t>
            </w:r>
          </w:p>
        </w:tc>
        <w:tc>
          <w:tcPr>
            <w:tcW w:w="923" w:type="dxa"/>
            <w:shd w:val="clear" w:color="auto" w:fill="auto"/>
            <w:vAlign w:val="center"/>
          </w:tcPr>
          <w:p w14:paraId="5CB99E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支</w:t>
            </w:r>
          </w:p>
        </w:tc>
        <w:tc>
          <w:tcPr>
            <w:tcW w:w="1296" w:type="dxa"/>
            <w:shd w:val="clear" w:color="auto" w:fill="auto"/>
            <w:vAlign w:val="center"/>
          </w:tcPr>
          <w:p w14:paraId="68C615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31E790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6B94C8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00FD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204C04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9</w:t>
            </w:r>
          </w:p>
        </w:tc>
        <w:tc>
          <w:tcPr>
            <w:tcW w:w="3322" w:type="dxa"/>
            <w:vAlign w:val="center"/>
          </w:tcPr>
          <w:p w14:paraId="03A3C9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扑火服装</w:t>
            </w:r>
          </w:p>
        </w:tc>
        <w:tc>
          <w:tcPr>
            <w:tcW w:w="923" w:type="dxa"/>
            <w:shd w:val="clear" w:color="auto" w:fill="auto"/>
            <w:vAlign w:val="center"/>
          </w:tcPr>
          <w:p w14:paraId="5B40C3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49949B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40</w:t>
            </w:r>
          </w:p>
        </w:tc>
        <w:tc>
          <w:tcPr>
            <w:tcW w:w="1434" w:type="dxa"/>
            <w:shd w:val="clear" w:color="auto" w:fill="auto"/>
            <w:vAlign w:val="center"/>
          </w:tcPr>
          <w:p w14:paraId="40FA1E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0E9DBD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603B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7CA76C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10</w:t>
            </w:r>
          </w:p>
        </w:tc>
        <w:tc>
          <w:tcPr>
            <w:tcW w:w="3322" w:type="dxa"/>
            <w:vAlign w:val="center"/>
          </w:tcPr>
          <w:p w14:paraId="57CA7F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充电手电筒</w:t>
            </w:r>
          </w:p>
        </w:tc>
        <w:tc>
          <w:tcPr>
            <w:tcW w:w="923" w:type="dxa"/>
            <w:shd w:val="clear" w:color="auto" w:fill="auto"/>
            <w:vAlign w:val="center"/>
          </w:tcPr>
          <w:p w14:paraId="011072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只</w:t>
            </w:r>
          </w:p>
        </w:tc>
        <w:tc>
          <w:tcPr>
            <w:tcW w:w="1296" w:type="dxa"/>
            <w:shd w:val="clear" w:color="auto" w:fill="auto"/>
            <w:vAlign w:val="center"/>
          </w:tcPr>
          <w:p w14:paraId="1D0683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i w:val="0"/>
                <w:color w:val="auto"/>
                <w:kern w:val="0"/>
                <w:sz w:val="20"/>
                <w:szCs w:val="20"/>
                <w:highlight w:val="none"/>
                <w:u w:val="none"/>
                <w:lang w:val="en-US" w:eastAsia="zh-CN" w:bidi="ar"/>
              </w:rPr>
            </w:pPr>
            <w:r>
              <w:rPr>
                <w:rFonts w:hint="default" w:ascii="Times New Roman" w:hAnsi="Times New Roman" w:cs="Times New Roman" w:eastAsiaTheme="minorEastAsia"/>
                <w:color w:val="auto"/>
                <w:sz w:val="18"/>
                <w:szCs w:val="18"/>
                <w:highlight w:val="none"/>
                <w:lang w:val="en-US" w:eastAsia="zh-CN"/>
              </w:rPr>
              <w:t>40</w:t>
            </w:r>
          </w:p>
        </w:tc>
        <w:tc>
          <w:tcPr>
            <w:tcW w:w="1434" w:type="dxa"/>
            <w:shd w:val="clear" w:color="auto" w:fill="auto"/>
            <w:vAlign w:val="center"/>
          </w:tcPr>
          <w:p w14:paraId="2604D5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38EF92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5365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3816C8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11</w:t>
            </w:r>
          </w:p>
        </w:tc>
        <w:tc>
          <w:tcPr>
            <w:tcW w:w="3322" w:type="dxa"/>
            <w:shd w:val="clear" w:color="auto" w:fill="auto"/>
            <w:vAlign w:val="center"/>
          </w:tcPr>
          <w:p w14:paraId="38ADB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水土流失治理</w:t>
            </w:r>
          </w:p>
        </w:tc>
        <w:tc>
          <w:tcPr>
            <w:tcW w:w="923" w:type="dxa"/>
            <w:shd w:val="clear" w:color="auto" w:fill="auto"/>
            <w:vAlign w:val="center"/>
          </w:tcPr>
          <w:p w14:paraId="2C9A3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公顷</w:t>
            </w:r>
          </w:p>
        </w:tc>
        <w:tc>
          <w:tcPr>
            <w:tcW w:w="1296" w:type="dxa"/>
            <w:shd w:val="clear" w:color="auto" w:fill="auto"/>
            <w:vAlign w:val="center"/>
          </w:tcPr>
          <w:p w14:paraId="3BA2C2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5</w:t>
            </w:r>
          </w:p>
        </w:tc>
        <w:tc>
          <w:tcPr>
            <w:tcW w:w="1434" w:type="dxa"/>
            <w:shd w:val="clear" w:color="auto" w:fill="auto"/>
            <w:vAlign w:val="center"/>
          </w:tcPr>
          <w:p w14:paraId="7EBC7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60149E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6A24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50A94F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12</w:t>
            </w:r>
          </w:p>
        </w:tc>
        <w:tc>
          <w:tcPr>
            <w:tcW w:w="3322" w:type="dxa"/>
            <w:shd w:val="clear" w:color="auto" w:fill="auto"/>
            <w:vAlign w:val="center"/>
          </w:tcPr>
          <w:p w14:paraId="6B8B54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防汛物资</w:t>
            </w:r>
          </w:p>
        </w:tc>
        <w:tc>
          <w:tcPr>
            <w:tcW w:w="923" w:type="dxa"/>
            <w:shd w:val="clear" w:color="auto" w:fill="auto"/>
            <w:vAlign w:val="center"/>
          </w:tcPr>
          <w:p w14:paraId="61578C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68EE7E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30</w:t>
            </w:r>
          </w:p>
        </w:tc>
        <w:tc>
          <w:tcPr>
            <w:tcW w:w="1434" w:type="dxa"/>
            <w:shd w:val="clear" w:color="auto" w:fill="auto"/>
            <w:vAlign w:val="center"/>
          </w:tcPr>
          <w:p w14:paraId="0DB7D0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6A370C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rPr>
            </w:pPr>
          </w:p>
        </w:tc>
      </w:tr>
      <w:tr w14:paraId="38C6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1CA2AB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13</w:t>
            </w:r>
          </w:p>
        </w:tc>
        <w:tc>
          <w:tcPr>
            <w:tcW w:w="3322" w:type="dxa"/>
            <w:shd w:val="clear" w:color="auto" w:fill="auto"/>
            <w:vAlign w:val="center"/>
          </w:tcPr>
          <w:p w14:paraId="4698DE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冰冻雪灾防治</w:t>
            </w:r>
          </w:p>
        </w:tc>
        <w:tc>
          <w:tcPr>
            <w:tcW w:w="923" w:type="dxa"/>
            <w:shd w:val="clear" w:color="auto" w:fill="auto"/>
            <w:vAlign w:val="center"/>
          </w:tcPr>
          <w:p w14:paraId="4386F5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项</w:t>
            </w:r>
          </w:p>
        </w:tc>
        <w:tc>
          <w:tcPr>
            <w:tcW w:w="1296" w:type="dxa"/>
            <w:shd w:val="clear" w:color="auto" w:fill="auto"/>
            <w:vAlign w:val="center"/>
          </w:tcPr>
          <w:p w14:paraId="655390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w:t>
            </w:r>
          </w:p>
        </w:tc>
        <w:tc>
          <w:tcPr>
            <w:tcW w:w="1434" w:type="dxa"/>
            <w:shd w:val="clear" w:color="auto" w:fill="auto"/>
            <w:vAlign w:val="center"/>
          </w:tcPr>
          <w:p w14:paraId="3F0FB1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548E66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0"/>
                <w:sz w:val="20"/>
                <w:szCs w:val="20"/>
                <w:highlight w:val="none"/>
              </w:rPr>
              <w:t>√</w:t>
            </w:r>
          </w:p>
        </w:tc>
      </w:tr>
      <w:tr w14:paraId="041B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5275B5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14</w:t>
            </w:r>
          </w:p>
        </w:tc>
        <w:tc>
          <w:tcPr>
            <w:tcW w:w="3322" w:type="dxa"/>
            <w:shd w:val="clear" w:color="auto" w:fill="auto"/>
            <w:vAlign w:val="center"/>
          </w:tcPr>
          <w:p w14:paraId="39B5CB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病虫鼠害检疫防治设备</w:t>
            </w:r>
          </w:p>
        </w:tc>
        <w:tc>
          <w:tcPr>
            <w:tcW w:w="923" w:type="dxa"/>
            <w:shd w:val="clear" w:color="auto" w:fill="auto"/>
            <w:vAlign w:val="center"/>
          </w:tcPr>
          <w:p w14:paraId="1FF76B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5ABC1C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612F32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059563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p>
        </w:tc>
      </w:tr>
      <w:tr w14:paraId="08CB4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08258C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15</w:t>
            </w:r>
          </w:p>
        </w:tc>
        <w:tc>
          <w:tcPr>
            <w:tcW w:w="3322" w:type="dxa"/>
            <w:shd w:val="clear" w:color="auto" w:fill="auto"/>
            <w:vAlign w:val="center"/>
          </w:tcPr>
          <w:p w14:paraId="39BA4D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鸟类医疫源疫病检测设备</w:t>
            </w:r>
          </w:p>
        </w:tc>
        <w:tc>
          <w:tcPr>
            <w:tcW w:w="923" w:type="dxa"/>
            <w:shd w:val="clear" w:color="auto" w:fill="auto"/>
            <w:vAlign w:val="center"/>
          </w:tcPr>
          <w:p w14:paraId="322BE4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套</w:t>
            </w:r>
          </w:p>
        </w:tc>
        <w:tc>
          <w:tcPr>
            <w:tcW w:w="1296" w:type="dxa"/>
            <w:shd w:val="clear" w:color="auto" w:fill="auto"/>
            <w:vAlign w:val="center"/>
          </w:tcPr>
          <w:p w14:paraId="78A4DD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21A76E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779973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p>
        </w:tc>
      </w:tr>
      <w:tr w14:paraId="73CA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shd w:val="clear" w:color="auto" w:fill="auto"/>
            <w:vAlign w:val="center"/>
          </w:tcPr>
          <w:p w14:paraId="522005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16</w:t>
            </w:r>
          </w:p>
        </w:tc>
        <w:tc>
          <w:tcPr>
            <w:tcW w:w="3322" w:type="dxa"/>
            <w:shd w:val="clear" w:color="auto" w:fill="auto"/>
            <w:vAlign w:val="center"/>
          </w:tcPr>
          <w:p w14:paraId="43EDAE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鼠害检疫工具箱</w:t>
            </w:r>
          </w:p>
        </w:tc>
        <w:tc>
          <w:tcPr>
            <w:tcW w:w="923" w:type="dxa"/>
            <w:shd w:val="clear" w:color="auto" w:fill="auto"/>
            <w:vAlign w:val="center"/>
          </w:tcPr>
          <w:p w14:paraId="4B05E7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个</w:t>
            </w:r>
          </w:p>
        </w:tc>
        <w:tc>
          <w:tcPr>
            <w:tcW w:w="1296" w:type="dxa"/>
            <w:shd w:val="clear" w:color="auto" w:fill="auto"/>
            <w:vAlign w:val="center"/>
          </w:tcPr>
          <w:p w14:paraId="3DF23E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24D0B1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10A7C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p>
        </w:tc>
      </w:tr>
      <w:tr w14:paraId="1A70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01F0EF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18"/>
                <w:szCs w:val="18"/>
                <w:highlight w:val="none"/>
                <w:lang w:val="en-US" w:eastAsia="zh-CN"/>
              </w:rPr>
            </w:pPr>
            <w:r>
              <w:rPr>
                <w:rFonts w:hint="default" w:ascii="Times New Roman" w:hAnsi="Times New Roman" w:cs="Times New Roman" w:eastAsiaTheme="minorEastAsia"/>
                <w:color w:val="auto"/>
                <w:sz w:val="18"/>
                <w:szCs w:val="18"/>
                <w:highlight w:val="none"/>
                <w:lang w:val="en-US" w:eastAsia="zh-CN"/>
              </w:rPr>
              <w:t>17</w:t>
            </w:r>
          </w:p>
        </w:tc>
        <w:tc>
          <w:tcPr>
            <w:tcW w:w="3322" w:type="dxa"/>
            <w:shd w:val="clear" w:color="auto" w:fill="auto"/>
            <w:vAlign w:val="center"/>
          </w:tcPr>
          <w:p w14:paraId="58200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病虫检疫工作箱</w:t>
            </w:r>
          </w:p>
        </w:tc>
        <w:tc>
          <w:tcPr>
            <w:tcW w:w="923" w:type="dxa"/>
            <w:shd w:val="clear" w:color="auto" w:fill="auto"/>
            <w:vAlign w:val="center"/>
          </w:tcPr>
          <w:p w14:paraId="72C177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个</w:t>
            </w:r>
          </w:p>
        </w:tc>
        <w:tc>
          <w:tcPr>
            <w:tcW w:w="1296" w:type="dxa"/>
            <w:shd w:val="clear" w:color="auto" w:fill="auto"/>
            <w:vAlign w:val="center"/>
          </w:tcPr>
          <w:p w14:paraId="2E741B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kern w:val="2"/>
                <w:sz w:val="18"/>
                <w:szCs w:val="18"/>
                <w:highlight w:val="none"/>
                <w:lang w:val="en-US" w:eastAsia="zh-CN" w:bidi="ar-SA"/>
              </w:rPr>
            </w:pPr>
            <w:r>
              <w:rPr>
                <w:rFonts w:hint="default" w:ascii="Times New Roman" w:hAnsi="Times New Roman" w:cs="Times New Roman" w:eastAsiaTheme="minorEastAsia"/>
                <w:color w:val="auto"/>
                <w:sz w:val="18"/>
                <w:szCs w:val="18"/>
                <w:highlight w:val="none"/>
                <w:lang w:val="en-US" w:eastAsia="zh-CN"/>
              </w:rPr>
              <w:t>8</w:t>
            </w:r>
          </w:p>
        </w:tc>
        <w:tc>
          <w:tcPr>
            <w:tcW w:w="1434" w:type="dxa"/>
            <w:shd w:val="clear" w:color="auto" w:fill="auto"/>
            <w:vAlign w:val="center"/>
          </w:tcPr>
          <w:p w14:paraId="7AF7A2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rPr>
              <w:t>√</w:t>
            </w:r>
          </w:p>
        </w:tc>
        <w:tc>
          <w:tcPr>
            <w:tcW w:w="1325" w:type="dxa"/>
            <w:shd w:val="clear" w:color="auto" w:fill="auto"/>
            <w:vAlign w:val="center"/>
          </w:tcPr>
          <w:p w14:paraId="61D3E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default" w:ascii="Times New Roman" w:hAnsi="Times New Roman" w:eastAsia="宋体" w:cs="Times New Roman"/>
                <w:color w:val="auto"/>
                <w:kern w:val="0"/>
                <w:sz w:val="20"/>
                <w:szCs w:val="20"/>
                <w:highlight w:val="none"/>
                <w:lang w:val="en-US" w:eastAsia="zh-CN" w:bidi="ar-SA"/>
              </w:rPr>
            </w:pPr>
          </w:p>
        </w:tc>
      </w:tr>
    </w:tbl>
    <w:p w14:paraId="5792F936">
      <w:pPr>
        <w:pStyle w:val="3"/>
        <w:rPr>
          <w:rFonts w:hint="default" w:ascii="Times New Roman" w:hAnsi="Times New Roman" w:cs="Times New Roman"/>
          <w:color w:val="auto"/>
          <w:highlight w:val="none"/>
          <w:lang w:val="en-US" w:eastAsia="zh-CN"/>
        </w:rPr>
      </w:pPr>
      <w:bookmarkStart w:id="33" w:name="_Toc14586"/>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基础设施规划</w:t>
      </w:r>
      <w:bookmarkEnd w:id="32"/>
      <w:bookmarkEnd w:id="33"/>
    </w:p>
    <w:p w14:paraId="7A10D468">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.6.1道路交通规划</w:t>
      </w:r>
    </w:p>
    <w:p w14:paraId="35049583">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保护区内国道G248、嫩哇路、下村路、向东路、辖曼路、班佑路等美丽乡村路以及部分通组路进行提升改造，涉及总长度约150km。自然保护区国省道、美丽乡村道、通组道路等工程由县交通局等按本规划及片区国土空间规划等组织实施，项目投资不纳入本次规划。</w:t>
      </w:r>
    </w:p>
    <w:p w14:paraId="7C0365DC">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.6.2 给排水工程规划</w:t>
      </w:r>
    </w:p>
    <w:p w14:paraId="57604F7A">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自然保护区原有居民、游客给排水工程，以及实施农村人居环境整治、长江上游城市环境设施效能提升等工程，包括污水管网、雨水管网、供水管网、污水处理站、污水处理一体化设施及配套附属设施，由县住建局、县水务局等按本规划及片区国土空间规划等组织实施，项目投资不纳入本次规划。</w:t>
      </w:r>
    </w:p>
    <w:p w14:paraId="3B441650">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.6.3 供电工程规划</w:t>
      </w:r>
    </w:p>
    <w:p w14:paraId="4AC5900E">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lang w:val="en-US" w:eastAsia="zh-CN"/>
        </w:rPr>
        <w:t>保护区范围内及周边新建三线入地、供电工程由县住建局、县电力公司按本规划及片区国土空间规划等组织实施，项目投资不纳入本次规划。</w:t>
      </w:r>
    </w:p>
    <w:p w14:paraId="6A8F5A51">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.6.4 信息工程规划</w:t>
      </w:r>
    </w:p>
    <w:p w14:paraId="7CA8514F">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lang w:eastAsia="zh-CN"/>
        </w:rPr>
        <w:t>按照自然保护区管理信息化建设的有关要求，建立满足保护需求的信息化、智能化管理系统，构建服务于</w:t>
      </w:r>
      <w:r>
        <w:rPr>
          <w:rFonts w:hint="default" w:ascii="Times New Roman" w:hAnsi="Times New Roman" w:cs="Times New Roman"/>
          <w:color w:val="auto"/>
          <w:highlight w:val="none"/>
          <w:lang w:val="en-US" w:eastAsia="zh-CN"/>
        </w:rPr>
        <w:t>若尔盖</w:t>
      </w:r>
      <w:r>
        <w:rPr>
          <w:rFonts w:hint="default" w:ascii="Times New Roman" w:hAnsi="Times New Roman" w:cs="Times New Roman"/>
          <w:color w:val="auto"/>
          <w:highlight w:val="none"/>
          <w:lang w:eastAsia="zh-CN"/>
        </w:rPr>
        <w:t>全域</w:t>
      </w:r>
      <w:r>
        <w:rPr>
          <w:rFonts w:hint="default" w:ascii="Times New Roman" w:hAnsi="Times New Roman" w:cs="Times New Roman"/>
          <w:color w:val="auto"/>
          <w:highlight w:val="none"/>
          <w:lang w:val="en-US" w:eastAsia="zh-CN"/>
        </w:rPr>
        <w:t>信息化综合管理平台，提升保护管理能力和水平，实施5G信号基站等信息化建设，由县经济商务和信息化局按本规划及片区国土空间规划等组织实施，项目投资不纳入本次规划。</w:t>
      </w:r>
    </w:p>
    <w:p w14:paraId="26A20490">
      <w:pPr>
        <w:pStyle w:val="3"/>
        <w:rPr>
          <w:rFonts w:hint="default" w:ascii="Times New Roman" w:hAnsi="Times New Roman" w:cs="Times New Roman"/>
          <w:color w:val="auto"/>
          <w:highlight w:val="none"/>
          <w:lang w:val="en-US" w:eastAsia="zh-CN"/>
        </w:rPr>
      </w:pPr>
      <w:bookmarkStart w:id="34" w:name="_Toc22390"/>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.7 原有居民生产活动安排</w:t>
      </w:r>
      <w:bookmarkEnd w:id="34"/>
    </w:p>
    <w:p w14:paraId="3D26E4F1">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中华人民共和国自然保护区条例》，核心保护区内禁止人为活动，但原有居民必要的生产生活活动，以及确需保留、无法避让的已有重要基础设施的运行、维护、改造除外。自然保护区区域内原有居民的生产生活活动，应当以不超出现有规模和利用强度、合理改善生产生活条件为前提。</w:t>
      </w:r>
    </w:p>
    <w:p w14:paraId="0C6C88BF">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若尔盖自然保护区内原有居民的生产活动安排，以传统畜牧业为基础，同时遵循生态保护优先原则，主要包括以下方面：</w:t>
      </w:r>
    </w:p>
    <w:p w14:paraId="2716AF9B">
      <w:pPr>
        <w:numPr>
          <w:ilvl w:val="0"/>
          <w:numId w:val="18"/>
        </w:num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传统牧业与科学化转型</w:t>
      </w:r>
    </w:p>
    <w:p w14:paraId="5D9D468B">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畜牧业仍是原有居民的主要生产活动。其安排正从传统的无节制自由放牧，向“轮牧+补饲+圈养”的科学模式转变。通过协助维护改造暖棚和贮草架，实施舍饲与轮牧结合，有效减轻天然草场压力。</w:t>
      </w:r>
      <w:r>
        <w:rPr>
          <w:rFonts w:hint="default" w:ascii="Times New Roman" w:hAnsi="Times New Roman" w:eastAsia="仿宋" w:cs="Times New Roman"/>
          <w:color w:val="auto"/>
          <w:sz w:val="28"/>
          <w:highlight w:val="none"/>
          <w:lang w:val="en-US" w:eastAsia="zh-CN"/>
        </w:rPr>
        <w:t>实行季节性轮牧、核定片区载畜量管控，划定固定转场通行路线，避开鸟类繁殖、植物生长关键时段集中放牧</w:t>
      </w:r>
      <w:r>
        <w:rPr>
          <w:rFonts w:hint="default" w:ascii="Times New Roman" w:hAnsi="Times New Roman" w:cs="Times New Roman"/>
          <w:color w:val="auto"/>
          <w:sz w:val="28"/>
          <w:highlight w:val="none"/>
          <w:lang w:val="en-US" w:eastAsia="zh-CN"/>
        </w:rPr>
        <w:t>。</w:t>
      </w:r>
    </w:p>
    <w:p w14:paraId="6EF578AE">
      <w:pPr>
        <w:numPr>
          <w:ilvl w:val="0"/>
          <w:numId w:val="18"/>
        </w:num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生态管护与公益性岗位</w:t>
      </w:r>
    </w:p>
    <w:p w14:paraId="10F5276F">
      <w:pPr>
        <w:ind w:firstLine="560"/>
        <w:rPr>
          <w:rFonts w:hint="default" w:ascii="Times New Roman" w:hAnsi="Times New Roman" w:cs="Times New Roman"/>
          <w:color w:val="0000FF"/>
          <w:highlight w:val="none"/>
          <w:lang w:val="en-US" w:eastAsia="zh-CN"/>
        </w:rPr>
      </w:pPr>
      <w:r>
        <w:rPr>
          <w:rFonts w:hint="default" w:ascii="Times New Roman" w:hAnsi="Times New Roman" w:cs="Times New Roman"/>
          <w:color w:val="auto"/>
          <w:highlight w:val="none"/>
          <w:lang w:val="en-US" w:eastAsia="zh-CN"/>
        </w:rPr>
        <w:t>受保护区管理以及减蓄降牧要求，传统放牧空间受到压缩，原有居民难以保障收入来源，可鼓励原有居民积极选聘生态管护员和巡护员岗位，扩大岗位覆盖面，吸纳当地牧民参与湿地巡护、鼠害治理、退化湿地修复等项目实施，提高岗位补贴标准，强化技能培训，引导牧民获得稳定就业岗位和收入来源</w:t>
      </w:r>
      <w:r>
        <w:rPr>
          <w:rFonts w:hint="default" w:ascii="Times New Roman" w:hAnsi="Times New Roman" w:cs="Times New Roman"/>
          <w:color w:val="0000FF"/>
          <w:highlight w:val="none"/>
          <w:lang w:val="en-US" w:eastAsia="zh-CN"/>
        </w:rPr>
        <w:t>。</w:t>
      </w:r>
    </w:p>
    <w:p w14:paraId="3FEBB7D5">
      <w:pPr>
        <w:numPr>
          <w:ilvl w:val="0"/>
          <w:numId w:val="18"/>
        </w:num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生态补偿与民生保障</w:t>
      </w:r>
    </w:p>
    <w:p w14:paraId="135C87B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因保护而受影响的居民，落实系统的生态补偿机制。建立“政府主导、市场补充、社区参与”的湿地生态效益补偿机制，让保护湿地的社区和牧民获得合理经济回报。规划期内，对因保护湿地以及保护国家重点鸟类和重点野生植物而丧失生产经营空间以及利益受损的保护区原有居民，通过专项资金进行直接经济补偿。</w:t>
      </w:r>
    </w:p>
    <w:p w14:paraId="76546C8E">
      <w:pPr>
        <w:numPr>
          <w:ilvl w:val="0"/>
          <w:numId w:val="18"/>
        </w:num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多元产业与文旅融合</w:t>
      </w:r>
    </w:p>
    <w:p w14:paraId="4AB79CED">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为拓宽增收渠道，积极引导居民发展旅游、运输、建筑、民族手工艺等替代产业。具体措施包括发展民宿经济；培育非遗文创，带动妇女居家就业；开发文创、黑青稞系列产品等。</w:t>
      </w:r>
    </w:p>
    <w:p w14:paraId="2DF22B3B">
      <w:pPr>
        <w:pStyle w:val="2"/>
        <w:keepNext w:val="0"/>
        <w:keepLines/>
        <w:pageBreakBefore/>
        <w:widowControl w:val="0"/>
        <w:numPr>
          <w:ilvl w:val="0"/>
          <w:numId w:val="2"/>
        </w:numPr>
        <w:kinsoku/>
        <w:wordWrap/>
        <w:overflowPunct/>
        <w:topLinePunct w:val="0"/>
        <w:autoSpaceDE/>
        <w:autoSpaceDN/>
        <w:bidi w:val="0"/>
        <w:adjustRightInd/>
        <w:snapToGrid/>
        <w:spacing w:after="156"/>
        <w:ind w:left="0" w:leftChars="0" w:firstLine="0" w:firstLineChars="0"/>
        <w:textAlignment w:val="auto"/>
        <w:rPr>
          <w:rFonts w:hint="default" w:ascii="Times New Roman" w:hAnsi="Times New Roman" w:cs="Times New Roman"/>
          <w:color w:val="auto"/>
          <w:highlight w:val="none"/>
        </w:rPr>
      </w:pPr>
      <w:bookmarkStart w:id="35" w:name="_Toc3630"/>
      <w:bookmarkStart w:id="36" w:name="_Toc1113"/>
      <w:r>
        <w:rPr>
          <w:rFonts w:hint="default" w:ascii="Times New Roman" w:hAnsi="Times New Roman" w:cs="Times New Roman"/>
          <w:color w:val="auto"/>
          <w:highlight w:val="none"/>
        </w:rPr>
        <w:t>重点建设工程</w:t>
      </w:r>
      <w:bookmarkEnd w:id="35"/>
      <w:bookmarkEnd w:id="36"/>
    </w:p>
    <w:p w14:paraId="4453D5F1">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lang w:eastAsia="zh-CN"/>
        </w:rPr>
        <w:t>根据若尔盖国家级自然保护区分布区域广、海拔高、生态环境敏感脆弱、周边经济欠发达且财力有限的实际特点，在建设过程中需突出重点、分步实施，集中有限的人力、物力和财力优先安排一批关键性项目，以实现保护效益的最大化。为此，从保护管理、科研监测、公众教育、可持续发展以及基础设施建设五大工程类别中，筛选整理出以下重点建设工程。重点工程的优先实施，将为若尔盖自然保护区的有效保护和科学管理提供坚实支撑。</w:t>
      </w:r>
    </w:p>
    <w:p w14:paraId="6AC88DBC">
      <w:pPr>
        <w:pStyle w:val="3"/>
        <w:rPr>
          <w:rFonts w:hint="default" w:ascii="Times New Roman" w:hAnsi="Times New Roman" w:cs="Times New Roman"/>
          <w:color w:val="auto"/>
          <w:highlight w:val="none"/>
          <w:lang w:val="en-US" w:eastAsia="zh-CN"/>
        </w:rPr>
      </w:pPr>
      <w:bookmarkStart w:id="37" w:name="_Toc17932"/>
      <w:bookmarkStart w:id="38" w:name="_Toc858"/>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rPr>
        <w:t>.1保护</w:t>
      </w:r>
      <w:r>
        <w:rPr>
          <w:rFonts w:hint="default" w:ascii="Times New Roman" w:hAnsi="Times New Roman" w:cs="Times New Roman"/>
          <w:color w:val="auto"/>
          <w:highlight w:val="none"/>
          <w:lang w:val="en-US" w:eastAsia="zh-CN"/>
        </w:rPr>
        <w:t>管理工程</w:t>
      </w:r>
      <w:bookmarkEnd w:id="37"/>
      <w:bookmarkEnd w:id="38"/>
    </w:p>
    <w:p w14:paraId="0E0BF46C">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.1.1 勘界立标工程</w:t>
      </w:r>
    </w:p>
    <w:p w14:paraId="159B7F80">
      <w:pPr>
        <w:keepNext w:val="0"/>
        <w:keepLines w:val="0"/>
        <w:pageBreakBefore w:val="0"/>
        <w:widowControl w:val="0"/>
        <w:tabs>
          <w:tab w:val="left" w:pos="420"/>
          <w:tab w:val="left" w:pos="840"/>
        </w:tabs>
        <w:kinsoku/>
        <w:wordWrap/>
        <w:overflowPunct/>
        <w:topLinePunct w:val="0"/>
        <w:autoSpaceDE/>
        <w:autoSpaceDN/>
        <w:bidi w:val="0"/>
        <w:adjustRightInd/>
        <w:snapToGrid/>
        <w:spacing w:line="570" w:lineRule="exact"/>
        <w:ind w:firstLine="560" w:firstLineChars="200"/>
        <w:textAlignment w:val="auto"/>
        <w:rPr>
          <w:rFonts w:hint="default" w:ascii="Times New Roman" w:hAnsi="Times New Roman" w:cs="Times New Roman"/>
          <w:color w:val="auto"/>
          <w:sz w:val="28"/>
          <w:highlight w:val="none"/>
          <w:lang w:val="en-US" w:eastAsia="zh-CN"/>
        </w:rPr>
      </w:pPr>
      <w:r>
        <w:rPr>
          <w:rFonts w:hint="default" w:ascii="Times New Roman" w:hAnsi="Times New Roman" w:cs="Times New Roman"/>
          <w:color w:val="auto"/>
          <w:highlight w:val="none"/>
          <w:lang w:val="en-US" w:eastAsia="zh-CN"/>
        </w:rPr>
        <w:t>建设地点：</w:t>
      </w:r>
      <w:r>
        <w:rPr>
          <w:rFonts w:hint="default" w:ascii="Times New Roman" w:hAnsi="Times New Roman" w:eastAsia="仿宋" w:cs="Times New Roman"/>
          <w:color w:val="auto"/>
          <w:sz w:val="28"/>
          <w:highlight w:val="none"/>
          <w:lang w:val="en-US" w:eastAsia="zh-CN"/>
        </w:rPr>
        <w:t>自然保护区全域法定外围行政边界；核心保护区与一般控制区分区交界线</w:t>
      </w:r>
      <w:r>
        <w:rPr>
          <w:rFonts w:hint="default" w:ascii="Times New Roman" w:hAnsi="Times New Roman" w:cs="Times New Roman"/>
          <w:color w:val="auto"/>
          <w:sz w:val="28"/>
          <w:highlight w:val="none"/>
          <w:lang w:val="en-US" w:eastAsia="zh-CN"/>
        </w:rPr>
        <w:t>；</w:t>
      </w:r>
      <w:r>
        <w:rPr>
          <w:rFonts w:hint="default" w:ascii="Times New Roman" w:hAnsi="Times New Roman" w:cs="Times New Roman"/>
          <w:color w:val="auto"/>
          <w:highlight w:val="none"/>
          <w:lang w:val="en-US" w:eastAsia="zh-CN"/>
        </w:rPr>
        <w:t>在麦溪、红星、班佑和唐克进入保护区边界及保护区交叉路口，以及主要结合道路、人类活动较多的区域</w:t>
      </w:r>
      <w:r>
        <w:rPr>
          <w:rFonts w:hint="default" w:ascii="Times New Roman" w:hAnsi="Times New Roman" w:cs="Times New Roman"/>
          <w:color w:val="auto"/>
          <w:sz w:val="28"/>
          <w:highlight w:val="none"/>
          <w:lang w:val="en-US" w:eastAsia="zh-CN"/>
        </w:rPr>
        <w:t>。</w:t>
      </w:r>
    </w:p>
    <w:p w14:paraId="56335437">
      <w:pPr>
        <w:keepNext w:val="0"/>
        <w:keepLines w:val="0"/>
        <w:pageBreakBefore w:val="0"/>
        <w:widowControl w:val="0"/>
        <w:tabs>
          <w:tab w:val="left" w:pos="420"/>
          <w:tab w:val="left" w:pos="840"/>
        </w:tabs>
        <w:kinsoku/>
        <w:wordWrap/>
        <w:overflowPunct/>
        <w:topLinePunct w:val="0"/>
        <w:autoSpaceDE/>
        <w:autoSpaceDN/>
        <w:bidi w:val="0"/>
        <w:adjustRightInd/>
        <w:snapToGrid/>
        <w:spacing w:line="570" w:lineRule="exact"/>
        <w:ind w:firstLine="56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cs="Times New Roman"/>
          <w:color w:val="auto"/>
          <w:sz w:val="28"/>
          <w:highlight w:val="none"/>
          <w:lang w:val="en-US" w:eastAsia="zh-CN"/>
        </w:rPr>
        <w:t>建设内容及规模：</w:t>
      </w:r>
      <w:r>
        <w:rPr>
          <w:rFonts w:hint="default" w:ascii="Times New Roman" w:hAnsi="Times New Roman" w:eastAsia="仿宋" w:cs="Times New Roman"/>
          <w:color w:val="auto"/>
          <w:sz w:val="28"/>
          <w:highlight w:val="none"/>
          <w:lang w:val="en-US" w:eastAsia="zh-CN"/>
        </w:rPr>
        <w:t>包含法定边界确权标识、功能分区管控标识、</w:t>
      </w:r>
      <w:r>
        <w:rPr>
          <w:rFonts w:hint="default" w:ascii="Times New Roman" w:hAnsi="Times New Roman" w:cs="Times New Roman"/>
          <w:color w:val="auto"/>
          <w:highlight w:val="none"/>
          <w:lang w:val="en-US" w:eastAsia="zh-CN"/>
        </w:rPr>
        <w:t>指引标识，警示、禁止标识和解说标识。建设界碑700块、界桩300块、设置指引标识29个，警示、禁止标识10个、解说标识30个。</w:t>
      </w:r>
    </w:p>
    <w:p w14:paraId="388D3231">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.1.2 保护站（点）工程</w:t>
      </w:r>
    </w:p>
    <w:p w14:paraId="157FFD59">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建设地点：唐克镇、班佑、达扎寺镇和辖曼镇、唐克镇交界处。</w:t>
      </w:r>
    </w:p>
    <w:p w14:paraId="255EE9E0">
      <w:pPr>
        <w:ind w:firstLine="5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建设内容及规模本次规划在原有管理站的基础上，新增3处保护管理站，即唐克保护管理站、班佑保护管理站和德纳合保护管理站。新建管理站</w:t>
      </w:r>
      <w:r>
        <w:rPr>
          <w:rFonts w:hint="default" w:ascii="Times New Roman" w:hAnsi="Times New Roman" w:eastAsia="仿宋" w:cs="Times New Roman"/>
          <w:color w:val="auto"/>
          <w:kern w:val="0"/>
          <w:sz w:val="28"/>
          <w:szCs w:val="28"/>
          <w:highlight w:val="none"/>
          <w:lang w:val="en-US" w:eastAsia="zh-CN" w:bidi="ar"/>
        </w:rPr>
        <w:t xml:space="preserve">主体建筑设计为 </w:t>
      </w:r>
      <w:r>
        <w:rPr>
          <w:rFonts w:hint="default" w:ascii="Times New Roman" w:hAnsi="Times New Roman" w:eastAsia="宋体" w:cs="Times New Roman"/>
          <w:color w:val="auto"/>
          <w:kern w:val="0"/>
          <w:sz w:val="28"/>
          <w:szCs w:val="28"/>
          <w:highlight w:val="none"/>
          <w:lang w:val="en-US" w:eastAsia="zh-CN" w:bidi="ar"/>
        </w:rPr>
        <w:t xml:space="preserve">2 </w:t>
      </w:r>
      <w:r>
        <w:rPr>
          <w:rFonts w:hint="default" w:ascii="Times New Roman" w:hAnsi="Times New Roman" w:eastAsia="仿宋" w:cs="Times New Roman"/>
          <w:color w:val="auto"/>
          <w:kern w:val="0"/>
          <w:sz w:val="28"/>
          <w:szCs w:val="28"/>
          <w:highlight w:val="none"/>
          <w:lang w:val="en-US" w:eastAsia="zh-CN" w:bidi="ar"/>
        </w:rPr>
        <w:t>层</w:t>
      </w:r>
      <w:r>
        <w:rPr>
          <w:rFonts w:hint="default" w:ascii="Times New Roman" w:hAnsi="Times New Roman" w:cs="Times New Roman"/>
          <w:color w:val="auto"/>
          <w:highlight w:val="none"/>
          <w:lang w:val="en-US" w:eastAsia="zh-CN"/>
        </w:rPr>
        <w:t>，建筑面积每个约300㎡。设计建设业务用房、公共用房、服务用房和设备用房，其中业务用房主要设置行政管理室、业务管理室，公共用房主要设置会议室、档案室、资料室等，服务用房主要设置储藏室、餐厅等，设备用房主要设置配电室、控制室等，配套停车场、生活污水处理设施等；配备办公、通信、采暖、照明、巡护、取证、消防、卫生、应急救护以及外业调查等设备。</w:t>
      </w:r>
    </w:p>
    <w:p w14:paraId="657593BD">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.1.3 管护工程</w:t>
      </w:r>
    </w:p>
    <w:p w14:paraId="6F6835E8">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建设地点：退化严重的草原、河湖水域岸线管理范围。</w:t>
      </w:r>
    </w:p>
    <w:p w14:paraId="17F53F6D">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完善湿地保护生态补偿机制；部分关键地区有序实施禁牧，对具有特殊生态功能、退化严重的草原实行禁牧，实现草畜平衡；严格水域岸线管控，依法划定白河、黑河等规模以上河湖水域岸线管理范围，严格管控流经城镇河段岸线，全面禁止河湖周边采矿、采砂、渔猎等活动；严格涉河建设项目审批，积极落实政务服务一体化平台管理要求，规范涉河建设项目审批流程。</w:t>
      </w:r>
    </w:p>
    <w:p w14:paraId="4377D3D0">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.1.4 巡护工程</w:t>
      </w:r>
    </w:p>
    <w:p w14:paraId="402FF9C0">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建设地点：保护区全域范围以及现有及规划新建的管护站点。具体涵盖保护区核心保护区和一般控制区的巡护牧道。</w:t>
      </w:r>
    </w:p>
    <w:p w14:paraId="289A11E2">
      <w:pPr>
        <w:ind w:firstLine="56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建设内容及规模：在保护区全域范围内改造巡护道路建设</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00km；购置巡护车4辆、无人机2架，配备多功能巡护机器狗10台，同步建设智慧巡护指挥调度平台，构建“天—空—地”一体化智能巡护监测体系。</w:t>
      </w:r>
    </w:p>
    <w:p w14:paraId="2BFCBB36">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.1.5 野生动物及栖息地保护工程</w:t>
      </w:r>
    </w:p>
    <w:p w14:paraId="36D4C58C">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保护区全域，重点部署在鼠（兔）害高发区、土地沙化退化严重区域，花湖、嫩哇、辖曼等黑颈鹤主要栖息繁殖地带，以及保护区内主要交通干线与野生动物迁移廊道交叉重叠的关键区段，重点选在兽类活动频繁的沟谷、垭口及河流交汇处，覆盖黑颈鹤、狼、狐狸等物种的典型迁移路线和家域范围。</w:t>
      </w:r>
    </w:p>
    <w:p w14:paraId="183F04E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开展黑颈鹤巣区重建与栖息地修复100公顷、建设招引设施建设100个（含猛禽栖息架、狼窝、狐狸窝、人工巢基等），主要在鼠（兔）害严重区域及沙化退化地带，于山顶、山腰等开阔高处设置雕、大鵟、隼等猛禽栖息架，为猛禽提供停栖、瞭望和筑巢场所，吸引天敌控制鼠兔种群数量；在适宜区域补充建设狼窝、狐狸窝等人工兽类巢穴，为狼、狐狸等肉食性兽类提供栖息繁衍条件，完善草原生态系统食物链，增强天敌种群的自然调控能力；同步在花湖等黑颈鹤繁殖区建设人工巢基和招引架，修复退化沼泽和岛状草甸生境，形成鸟类与兽类兼顾、湿地与草原协同的全域生物防治与栖息地修复体系。配合交通部门，建设动物通道10Km，在保护区关键区段修建或改造上跨式、下穿式及涵洞式等野生动物通道，依据不同动物的迁移习性和栖息地连接需求进行差异化设计。</w:t>
      </w:r>
    </w:p>
    <w:p w14:paraId="197B5FCC">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.1.6 野生植物及生境保护工程</w:t>
      </w:r>
    </w:p>
    <w:p w14:paraId="021A9497">
      <w:p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建设地点：保护区内红花绿绒蒿、羽叶点地梅、山莨菪等珍稀濒危植物的原生分布区，重点设在受放牧、旅游等活动干扰较为明显的草甸、灌丛及流石滩生境，兼顾其他极小种群野生植物的零星分布点。</w:t>
      </w:r>
    </w:p>
    <w:p w14:paraId="58A27C2B">
      <w:p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开展区域特色植物恢复保护1项，对红花绿绒蒿、羽叶点地梅、山莨菪等国家重点保护野生植物及极小种群物种，开展种质资源收集与人工扩繁，采取围栏封育、原生境改良等措施恢复种群数量，建立固定监测样地持续跟踪。</w:t>
      </w:r>
    </w:p>
    <w:p w14:paraId="13700AAB">
      <w:pPr>
        <w:pStyle w:val="3"/>
        <w:rPr>
          <w:rFonts w:hint="default" w:ascii="Times New Roman" w:hAnsi="Times New Roman" w:cs="Times New Roman"/>
          <w:color w:val="auto"/>
          <w:highlight w:val="none"/>
        </w:rPr>
      </w:pPr>
      <w:bookmarkStart w:id="39" w:name="_Toc30560"/>
      <w:bookmarkStart w:id="40" w:name="_Toc22862"/>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rPr>
        <w:t>.2科研</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监测工程</w:t>
      </w:r>
      <w:bookmarkEnd w:id="39"/>
      <w:bookmarkEnd w:id="40"/>
    </w:p>
    <w:p w14:paraId="0C550EAA">
      <w:pPr>
        <w:numPr>
          <w:ilvl w:val="0"/>
          <w:numId w:val="19"/>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科研监测点</w:t>
      </w:r>
    </w:p>
    <w:p w14:paraId="392E83A4">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建设地点：生物多样性监测塔、气象观测站和水质水文监测点主要布置在喀哈尔乔湿地区域，固定大样地位于保护区全域，鸟类观测台位于黑颈鹤集中繁殖区和迁徙停歇地。</w:t>
      </w:r>
    </w:p>
    <w:p w14:paraId="76CC8FB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增设5座湿地生物多样性监测塔台，集成高清摄像、声纹识别、气象水文传感器及AI视觉识别系统，新增3个6要素自动气象站，补充3个水质水文监测点，系统布设20个长期固定监测样地，涵盖生物量、草原鼠虫害、外来入侵物种和景观格局4类监测样地，补充建设2个隐蔽式鸟类观测台。</w:t>
      </w:r>
    </w:p>
    <w:p w14:paraId="514A7FB2">
      <w:pPr>
        <w:numPr>
          <w:ilvl w:val="0"/>
          <w:numId w:val="19"/>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野外监测设施</w:t>
      </w:r>
    </w:p>
    <w:p w14:paraId="0234DEF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建设地点：各保护站点以及保护区全域。</w:t>
      </w:r>
    </w:p>
    <w:p w14:paraId="2801121C">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建设内容及规模：200台AI识别功能超高清红外相机、200个低功耗智能感知杆、6套鸟类声纹智能识别系统、10套物候自动观测相机、</w:t>
      </w:r>
      <w:r>
        <w:rPr>
          <w:rFonts w:hint="default" w:ascii="Times New Roman" w:hAnsi="Times New Roman" w:cs="Times New Roman"/>
          <w:color w:val="auto"/>
          <w:kern w:val="2"/>
          <w:sz w:val="28"/>
          <w:szCs w:val="24"/>
          <w:highlight w:val="none"/>
          <w:lang w:val="en-US" w:eastAsia="zh-CN" w:bidi="ar-SA"/>
        </w:rPr>
        <w:t>2</w:t>
      </w:r>
      <w:r>
        <w:rPr>
          <w:rFonts w:hint="default" w:ascii="Times New Roman" w:hAnsi="Times New Roman" w:eastAsia="仿宋" w:cs="Times New Roman"/>
          <w:color w:val="auto"/>
          <w:kern w:val="2"/>
          <w:sz w:val="28"/>
          <w:szCs w:val="24"/>
          <w:highlight w:val="none"/>
          <w:lang w:val="en-US" w:eastAsia="zh-CN" w:bidi="ar-SA"/>
        </w:rPr>
        <w:t>架</w:t>
      </w:r>
      <w:r>
        <w:rPr>
          <w:rFonts w:hint="default" w:ascii="Times New Roman" w:hAnsi="Times New Roman" w:cs="Times New Roman"/>
          <w:color w:val="auto"/>
          <w:kern w:val="2"/>
          <w:sz w:val="28"/>
          <w:szCs w:val="24"/>
          <w:highlight w:val="none"/>
          <w:lang w:val="en-US" w:eastAsia="zh-CN" w:bidi="ar-SA"/>
        </w:rPr>
        <w:t>专业</w:t>
      </w:r>
      <w:r>
        <w:rPr>
          <w:rFonts w:hint="default" w:ascii="Times New Roman" w:hAnsi="Times New Roman" w:eastAsia="仿宋" w:cs="Times New Roman"/>
          <w:color w:val="auto"/>
          <w:kern w:val="2"/>
          <w:sz w:val="28"/>
          <w:szCs w:val="24"/>
          <w:highlight w:val="none"/>
          <w:lang w:val="en-US" w:eastAsia="zh-CN" w:bidi="ar-SA"/>
        </w:rPr>
        <w:t>无人机、</w:t>
      </w:r>
      <w:r>
        <w:rPr>
          <w:rFonts w:hint="default" w:ascii="Times New Roman" w:hAnsi="Times New Roman" w:cs="Times New Roman"/>
          <w:color w:val="auto"/>
          <w:kern w:val="2"/>
          <w:sz w:val="28"/>
          <w:szCs w:val="24"/>
          <w:highlight w:val="none"/>
          <w:lang w:val="en-US" w:eastAsia="zh-CN" w:bidi="ar-SA"/>
        </w:rPr>
        <w:t>2艘功能型无人船、</w:t>
      </w:r>
      <w:r>
        <w:rPr>
          <w:rFonts w:hint="default" w:ascii="Times New Roman" w:hAnsi="Times New Roman" w:cs="Times New Roman"/>
          <w:color w:val="auto"/>
          <w:highlight w:val="none"/>
          <w:lang w:val="en-US" w:eastAsia="zh-CN"/>
        </w:rPr>
        <w:t>4台专业级长焦相机、5套智能摄影云台、10架望远镜、2艘电动皮划艇</w:t>
      </w:r>
      <w:r>
        <w:rPr>
          <w:rFonts w:hint="default" w:ascii="Times New Roman" w:hAnsi="Times New Roman" w:cs="Times New Roman"/>
          <w:color w:val="auto"/>
          <w:kern w:val="2"/>
          <w:sz w:val="28"/>
          <w:szCs w:val="24"/>
          <w:highlight w:val="none"/>
          <w:lang w:val="en-US" w:eastAsia="zh-CN" w:bidi="ar-SA"/>
        </w:rPr>
        <w:t>。</w:t>
      </w:r>
    </w:p>
    <w:p w14:paraId="49643C5E">
      <w:pPr>
        <w:numPr>
          <w:ilvl w:val="0"/>
          <w:numId w:val="19"/>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科研仪器设备</w:t>
      </w:r>
    </w:p>
    <w:p w14:paraId="407DF61F">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建设地点：若尔盖湿地管理局。</w:t>
      </w:r>
    </w:p>
    <w:p w14:paraId="3B55FB9C">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建设内容：升级智慧一体化化监测管理平台，配置专业GIS系统，AI物种智能识别系统、提高云存储和算力计算；应用公众展示互动展示大屏3套。</w:t>
      </w:r>
    </w:p>
    <w:p w14:paraId="7DBA1445">
      <w:pPr>
        <w:numPr>
          <w:ilvl w:val="0"/>
          <w:numId w:val="19"/>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标本制作</w:t>
      </w:r>
    </w:p>
    <w:p w14:paraId="2AB14B24">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建设地点：保护区全域，标本采集范围覆盖保护区全域典型湿地、草原及山地生境。</w:t>
      </w:r>
    </w:p>
    <w:p w14:paraId="5C8BDD53">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系统制作动植物及生态标本200份，其中植物标本100份，动物标本80份，土壤与泥炭样本20份；配备枝剪、标本夹、捕虫网等采集工具及烘干设备、防虫防潮专业保存柜，同步建立电子数据库，对每份标本的采集地、经纬度及生境信息进行数字化记录。</w:t>
      </w:r>
    </w:p>
    <w:p w14:paraId="1038182A">
      <w:pPr>
        <w:numPr>
          <w:ilvl w:val="0"/>
          <w:numId w:val="19"/>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开展保护区科研监测与专项规划</w:t>
      </w:r>
    </w:p>
    <w:p w14:paraId="7276EA00">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建设地点：保护区全域。</w:t>
      </w:r>
    </w:p>
    <w:p w14:paraId="5F213807">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建设内容及规模：常规本底调查6项；专题调查8项；开展专项研究12项；开展常规检测</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项；开展专项监测</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项。</w:t>
      </w:r>
    </w:p>
    <w:p w14:paraId="06F7F475">
      <w:pPr>
        <w:pStyle w:val="3"/>
        <w:rPr>
          <w:rFonts w:hint="default" w:ascii="Times New Roman" w:hAnsi="Times New Roman" w:cs="Times New Roman"/>
          <w:color w:val="auto"/>
          <w:highlight w:val="none"/>
          <w:lang w:val="en-US" w:eastAsia="zh-CN"/>
        </w:rPr>
      </w:pPr>
      <w:bookmarkStart w:id="41" w:name="_Toc29370"/>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.3 生态修复工程</w:t>
      </w:r>
      <w:bookmarkEnd w:id="41"/>
    </w:p>
    <w:p w14:paraId="43E8C302">
      <w:pPr>
        <w:numPr>
          <w:ilvl w:val="0"/>
          <w:numId w:val="20"/>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退化湿地修复</w:t>
      </w:r>
    </w:p>
    <w:p w14:paraId="3EF896C5">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建设地点：典型泥炭沼泽、湖泊湿地集中分布区。</w:t>
      </w:r>
    </w:p>
    <w:p w14:paraId="1B8211C1">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建设内容及规模：通过填埋排水沟、抬高地下水位等措施恢复泥炭沼泽水文条件，开展800公顷典型退化沼泽湿地修复工程；高原湖泊水位维持工程1项，保障湖泊生态水位；实施小微湖泊修复恢复工程1项，</w:t>
      </w:r>
      <w:r>
        <w:rPr>
          <w:rFonts w:hint="default" w:ascii="Times New Roman" w:hAnsi="Times New Roman" w:eastAsia="Segoe UI" w:cs="Times New Roman"/>
          <w:i w:val="0"/>
          <w:iCs w:val="0"/>
          <w:caps w:val="0"/>
          <w:color w:val="0F1115"/>
          <w:spacing w:val="0"/>
          <w:sz w:val="24"/>
          <w:szCs w:val="24"/>
          <w:highlight w:val="none"/>
          <w:shd w:val="clear" w:fill="FFFFFF"/>
        </w:rPr>
        <w:t>恢复退化湖泡湿地功能</w:t>
      </w:r>
      <w:r>
        <w:rPr>
          <w:rFonts w:hint="default" w:ascii="Times New Roman" w:hAnsi="Times New Roman" w:cs="Times New Roman"/>
          <w:color w:val="auto"/>
          <w:highlight w:val="none"/>
          <w:lang w:val="en-US" w:eastAsia="zh-CN"/>
        </w:rPr>
        <w:t>。</w:t>
      </w:r>
    </w:p>
    <w:p w14:paraId="59B63D5B">
      <w:pPr>
        <w:numPr>
          <w:ilvl w:val="0"/>
          <w:numId w:val="20"/>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退化草原治理</w:t>
      </w:r>
    </w:p>
    <w:p w14:paraId="079E2F36">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建设地点：位于保护区内重度及中轻度退化草原草场，重点布设在放牧干扰较强、草群盖度下降明显的区域。</w:t>
      </w:r>
    </w:p>
    <w:p w14:paraId="2BC76BD2">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建设内容及规模：对重度退化草原实施300公顷生态修复，采取禁牧封育、补播优良草种、施有机肥等措施恢复植被；对中轻度退化草原实施500公顷生态修复，通过休牧轮牧、切根补播等措施提升草群质量和盖度。</w:t>
      </w:r>
    </w:p>
    <w:p w14:paraId="7EB7F1D0">
      <w:pPr>
        <w:numPr>
          <w:ilvl w:val="0"/>
          <w:numId w:val="20"/>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水生态修复</w:t>
      </w:r>
    </w:p>
    <w:p w14:paraId="38A27854">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建设地点：位于保护区内主要河流（白河、黑河等）沿岸及湖泊周边。</w:t>
      </w:r>
    </w:p>
    <w:p w14:paraId="297C82ED">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重点实施河道缓冲带建设、岸线生态修复及河湖水系连通工程，包括建设河流缓冲带50km，在河道两侧种植乔灌草植被，拦截面源污染物；实施河湖岸线生态修复50km，采用生态护岸、植被恢复等措施稳定岸线；推进河湖水连通工程20km，疏通断头河、恢复水系连通性。</w:t>
      </w:r>
    </w:p>
    <w:p w14:paraId="346654DB">
      <w:pPr>
        <w:numPr>
          <w:ilvl w:val="0"/>
          <w:numId w:val="20"/>
        </w:numPr>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沙化土地治理</w:t>
      </w:r>
    </w:p>
    <w:p w14:paraId="65305820">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建设地点：位于保护区内极重度、重度、中度和轻度沙化土地集中分布区，重点覆盖风蚀沙化严重的裸露沙地及植被盖度较低的退化地块。</w:t>
      </w:r>
    </w:p>
    <w:p w14:paraId="2D155676">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建设内容及规模：针对极重度、重度、中度和轻度沙地共400公顷，分类实施综合治理，采取设置草方格沙障、灌草立体配置固沙、补播乡土沙生植物等措施，恢复沙化土地植被盖度.</w:t>
      </w:r>
    </w:p>
    <w:p w14:paraId="30D788FB">
      <w:pPr>
        <w:pStyle w:val="3"/>
        <w:rPr>
          <w:rFonts w:hint="default" w:ascii="Times New Roman" w:hAnsi="Times New Roman" w:cs="Times New Roman"/>
          <w:color w:val="auto"/>
          <w:highlight w:val="none"/>
        </w:rPr>
      </w:pPr>
      <w:bookmarkStart w:id="42" w:name="_Toc20941"/>
      <w:bookmarkStart w:id="43" w:name="_Toc22536"/>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4公共服务</w:t>
      </w:r>
      <w:r>
        <w:rPr>
          <w:rFonts w:hint="default" w:ascii="Times New Roman" w:hAnsi="Times New Roman" w:cs="Times New Roman"/>
          <w:color w:val="auto"/>
          <w:highlight w:val="none"/>
        </w:rPr>
        <w:t>工程</w:t>
      </w:r>
      <w:bookmarkEnd w:id="42"/>
      <w:bookmarkEnd w:id="43"/>
    </w:p>
    <w:p w14:paraId="0E2B8E78">
      <w:pPr>
        <w:pStyle w:val="9"/>
        <w:numPr>
          <w:ilvl w:val="0"/>
          <w:numId w:val="21"/>
        </w:numPr>
        <w:rPr>
          <w:rFonts w:hint="default" w:ascii="Times New Roman" w:hAnsi="Times New Roman" w:cs="Times New Roman"/>
          <w:color w:val="auto"/>
          <w:highlight w:val="none"/>
          <w:lang w:val="en-US" w:eastAsia="zh-CN"/>
        </w:rPr>
      </w:pPr>
      <w:bookmarkStart w:id="44" w:name="_Toc19383"/>
      <w:r>
        <w:rPr>
          <w:rFonts w:hint="default" w:ascii="Times New Roman" w:hAnsi="Times New Roman" w:cs="Times New Roman"/>
          <w:color w:val="auto"/>
          <w:highlight w:val="none"/>
          <w:lang w:val="en-US" w:eastAsia="zh-CN"/>
        </w:rPr>
        <w:t>解说培训和认证体系：课程体系开发1项；师资与培训费1项；考核与认证费1项；管理与运营费1项。</w:t>
      </w:r>
    </w:p>
    <w:p w14:paraId="01EC6725">
      <w:pPr>
        <w:pStyle w:val="9"/>
        <w:numPr>
          <w:ilvl w:val="0"/>
          <w:numId w:val="2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若尔盖国家公园科普宣教中心</w:t>
      </w:r>
    </w:p>
    <w:p w14:paraId="4A948072">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建设地点：达扎寺镇</w:t>
      </w:r>
    </w:p>
    <w:p w14:paraId="31320378">
      <w:pPr>
        <w:numPr>
          <w:ilvl w:val="0"/>
          <w:numId w:val="0"/>
        </w:numPr>
        <w:ind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建设内容及规模：建设若尔盖国家公园科普宣教中心，建设面积5000㎡，配套供电、给排水设施各1套；配套办公设备及家具各10套；配套展示设备10套；室内布展3000㎡；讲解设备100套；室外绿化500㎡。</w:t>
      </w:r>
    </w:p>
    <w:p w14:paraId="26916668">
      <w:pPr>
        <w:pStyle w:val="9"/>
        <w:numPr>
          <w:ilvl w:val="0"/>
          <w:numId w:val="2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解说标识系统规划：</w:t>
      </w:r>
      <w:r>
        <w:rPr>
          <w:rFonts w:hint="default" w:ascii="Times New Roman" w:hAnsi="Times New Roman" w:cs="Times New Roman"/>
          <w:color w:val="auto"/>
          <w:highlight w:val="none"/>
          <w:lang w:val="en-US" w:eastAsia="zh-CN"/>
        </w:rPr>
        <w:t>解说标识设计1项；室外电子显示屏2块；宣传标识牌20个；语音解说系统1套。</w:t>
      </w:r>
    </w:p>
    <w:p w14:paraId="15C924E5">
      <w:pPr>
        <w:pStyle w:val="9"/>
        <w:numPr>
          <w:ilvl w:val="0"/>
          <w:numId w:val="2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研学教育、科普讲解专属配套场地：</w:t>
      </w:r>
      <w:r>
        <w:rPr>
          <w:rFonts w:hint="default" w:ascii="Times New Roman" w:hAnsi="Times New Roman" w:cs="Times New Roman"/>
          <w:color w:val="auto"/>
          <w:highlight w:val="none"/>
          <w:lang w:val="en-US" w:eastAsia="zh-CN"/>
        </w:rPr>
        <w:t>在花湖湿地新建科普宣教长廊800m；在喀哈尔乔湿地新建自然教育径800m。</w:t>
      </w:r>
    </w:p>
    <w:bookmarkEnd w:id="44"/>
    <w:p w14:paraId="689C93DC">
      <w:pPr>
        <w:numPr>
          <w:ilvl w:val="0"/>
          <w:numId w:val="2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花湖景区改造升级：核心景观设施改造提升4项；游览交通与配套体系提升4项；游客服务设施提升4项；智慧化与体验升级4项。</w:t>
      </w:r>
    </w:p>
    <w:p w14:paraId="3426581D">
      <w:pPr>
        <w:numPr>
          <w:ilvl w:val="0"/>
          <w:numId w:val="2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黄河第一湾改造提升：核心景观设施改造提升1项；游览交通与配套体系提升3项；游客服务设施提升3项；智慧化与体验升级3项。</w:t>
      </w:r>
    </w:p>
    <w:p w14:paraId="24CCBA05">
      <w:pPr>
        <w:numPr>
          <w:ilvl w:val="0"/>
          <w:numId w:val="21"/>
        </w:num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藏家乐规范管理1项；入口社区建设3处；特色小镇建设2项。</w:t>
      </w:r>
    </w:p>
    <w:p w14:paraId="020C6C7A">
      <w:pPr>
        <w:pStyle w:val="3"/>
        <w:rPr>
          <w:rFonts w:hint="default" w:ascii="Times New Roman" w:hAnsi="Times New Roman" w:cs="Times New Roman"/>
          <w:color w:val="auto"/>
          <w:highlight w:val="none"/>
          <w:lang w:val="en-US" w:eastAsia="zh-CN"/>
        </w:rPr>
      </w:pPr>
      <w:bookmarkStart w:id="45" w:name="_Toc18714"/>
      <w:bookmarkStart w:id="46" w:name="_Toc1302"/>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.5防灾减灾工程</w:t>
      </w:r>
      <w:bookmarkEnd w:id="45"/>
    </w:p>
    <w:p w14:paraId="10B5666E">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建设地点：保护区全域以及各个管护站。</w:t>
      </w:r>
    </w:p>
    <w:p w14:paraId="207B86DF">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w:t>
      </w:r>
    </w:p>
    <w:p w14:paraId="210977E3">
      <w:pPr>
        <w:numPr>
          <w:ilvl w:val="0"/>
          <w:numId w:val="22"/>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草原防火：修缮已有防火瞭望塔。</w:t>
      </w:r>
    </w:p>
    <w:p w14:paraId="27F374AA">
      <w:pPr>
        <w:numPr>
          <w:ilvl w:val="0"/>
          <w:numId w:val="22"/>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灾害防治：开展水土流失综合治理5公顷，冰冻雪灾防治1项。</w:t>
      </w:r>
    </w:p>
    <w:p w14:paraId="06019BBA">
      <w:pPr>
        <w:numPr>
          <w:ilvl w:val="0"/>
          <w:numId w:val="22"/>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野生动物救治及疫源疫病防控：配套鸟类疫源疫病检测设备8套；病虫鼠害检疫防治设备8套；鼠害检疫工具箱8个；病虫检疫工作箱8个。</w:t>
      </w:r>
    </w:p>
    <w:p w14:paraId="64B9E164">
      <w:pPr>
        <w:numPr>
          <w:ilvl w:val="0"/>
          <w:numId w:val="22"/>
        </w:numPr>
        <w:spacing w:line="360" w:lineRule="auto"/>
        <w:ind w:left="0" w:leftChars="0" w:firstLine="56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应急能力保障工程：购买1辆消防车、1辆多功能除雪车、防火用具以及防汛物资。</w:t>
      </w:r>
    </w:p>
    <w:p w14:paraId="69362E91">
      <w:pPr>
        <w:pStyle w:val="3"/>
        <w:rPr>
          <w:rFonts w:hint="default" w:ascii="Times New Roman" w:hAnsi="Times New Roman" w:cs="Times New Roman"/>
          <w:color w:val="auto"/>
          <w:highlight w:val="none"/>
          <w:lang w:val="en-US" w:eastAsia="zh-CN"/>
        </w:rPr>
      </w:pPr>
      <w:bookmarkStart w:id="47" w:name="_Toc12771"/>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.6基础设施工程</w:t>
      </w:r>
      <w:bookmarkEnd w:id="46"/>
      <w:bookmarkEnd w:id="47"/>
    </w:p>
    <w:p w14:paraId="4209D663">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.6.1 道路交通工程</w:t>
      </w:r>
    </w:p>
    <w:p w14:paraId="4109D47B">
      <w:pPr>
        <w:ind w:firstLine="560"/>
        <w:rPr>
          <w:rFonts w:hint="default" w:ascii="Times New Roman" w:hAnsi="Times New Roman" w:cs="Times New Roman"/>
          <w:highlight w:val="none"/>
          <w:lang w:val="en-US" w:eastAsia="zh-CN"/>
        </w:rPr>
      </w:pPr>
      <w:r>
        <w:rPr>
          <w:rFonts w:hint="default" w:ascii="Times New Roman" w:hAnsi="Times New Roman" w:cs="Times New Roman"/>
          <w:color w:val="auto"/>
          <w:highlight w:val="none"/>
          <w:lang w:val="en-US" w:eastAsia="zh-CN"/>
        </w:rPr>
        <w:t>保障</w:t>
      </w:r>
      <w:r>
        <w:rPr>
          <w:rFonts w:hint="default" w:ascii="Times New Roman" w:hAnsi="Times New Roman" w:cs="Times New Roman"/>
          <w:color w:val="auto"/>
          <w:highlight w:val="none"/>
        </w:rPr>
        <w:t>新建</w:t>
      </w:r>
      <w:r>
        <w:rPr>
          <w:rFonts w:hint="default" w:ascii="Times New Roman" w:hAnsi="Times New Roman" w:cs="Times New Roman"/>
          <w:color w:val="auto"/>
          <w:highlight w:val="none"/>
          <w:lang w:val="en-US" w:eastAsia="zh-CN"/>
        </w:rPr>
        <w:t>管理站的配套建设，连接至现有交通道路。</w:t>
      </w:r>
    </w:p>
    <w:p w14:paraId="1DDC4E63">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.6.2 给排水工程</w:t>
      </w:r>
    </w:p>
    <w:p w14:paraId="7A9F0517">
      <w:pPr>
        <w:keepNext w:val="0"/>
        <w:keepLines w:val="0"/>
        <w:widowControl/>
        <w:suppressLineNumbers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保障</w:t>
      </w:r>
      <w:r>
        <w:rPr>
          <w:rFonts w:hint="default" w:ascii="Times New Roman" w:hAnsi="Times New Roman" w:cs="Times New Roman"/>
          <w:color w:val="auto"/>
          <w:highlight w:val="none"/>
        </w:rPr>
        <w:t>新建</w:t>
      </w:r>
      <w:r>
        <w:rPr>
          <w:rFonts w:hint="default" w:ascii="Times New Roman" w:hAnsi="Times New Roman" w:cs="Times New Roman"/>
          <w:color w:val="auto"/>
          <w:highlight w:val="none"/>
          <w:lang w:val="en-US" w:eastAsia="zh-CN"/>
        </w:rPr>
        <w:t>管理站的配套建设给排水设施，以满足生活用水需求。</w:t>
      </w:r>
    </w:p>
    <w:p w14:paraId="676919A5">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.6.3 供电工程</w:t>
      </w:r>
    </w:p>
    <w:p w14:paraId="29850CD6">
      <w:pPr>
        <w:rPr>
          <w:rFonts w:hint="default" w:ascii="Times New Roman" w:hAnsi="Times New Roman" w:cs="Times New Roman"/>
          <w:highlight w:val="none"/>
          <w:lang w:val="en-US" w:eastAsia="zh-CN"/>
        </w:rPr>
      </w:pPr>
      <w:r>
        <w:rPr>
          <w:rFonts w:hint="default" w:ascii="Times New Roman" w:hAnsi="Times New Roman" w:cs="Times New Roman"/>
          <w:color w:val="auto"/>
          <w:highlight w:val="none"/>
          <w:lang w:val="en-US" w:eastAsia="zh-CN"/>
        </w:rPr>
        <w:t>保障</w:t>
      </w:r>
      <w:r>
        <w:rPr>
          <w:rFonts w:hint="default" w:ascii="Times New Roman" w:hAnsi="Times New Roman" w:cs="Times New Roman"/>
          <w:color w:val="auto"/>
          <w:highlight w:val="none"/>
        </w:rPr>
        <w:t>新建</w:t>
      </w:r>
      <w:r>
        <w:rPr>
          <w:rFonts w:hint="default" w:ascii="Times New Roman" w:hAnsi="Times New Roman" w:cs="Times New Roman"/>
          <w:color w:val="auto"/>
          <w:highlight w:val="none"/>
          <w:lang w:val="en-US" w:eastAsia="zh-CN"/>
        </w:rPr>
        <w:t>管理站的配套建设供电设施，以满足办公和生活的用电需求。</w:t>
      </w:r>
    </w:p>
    <w:p w14:paraId="3BF0B321">
      <w:pPr>
        <w:pStyle w:val="4"/>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.6.4 信息工程</w:t>
      </w:r>
    </w:p>
    <w:p w14:paraId="140D3B1B">
      <w:pPr>
        <w:rPr>
          <w:rFonts w:hint="default" w:ascii="Times New Roman" w:hAnsi="Times New Roman" w:cs="Times New Roman"/>
          <w:highlight w:val="none"/>
          <w:lang w:val="en-US" w:eastAsia="zh-CN"/>
        </w:rPr>
      </w:pPr>
      <w:r>
        <w:rPr>
          <w:rFonts w:hint="default" w:ascii="Times New Roman" w:hAnsi="Times New Roman" w:cs="Times New Roman"/>
          <w:color w:val="auto"/>
          <w:highlight w:val="none"/>
          <w:lang w:val="en-US" w:eastAsia="zh-CN"/>
        </w:rPr>
        <w:t>保障</w:t>
      </w:r>
      <w:r>
        <w:rPr>
          <w:rFonts w:hint="default" w:ascii="Times New Roman" w:hAnsi="Times New Roman" w:cs="Times New Roman"/>
          <w:color w:val="auto"/>
          <w:highlight w:val="none"/>
        </w:rPr>
        <w:t>新建</w:t>
      </w:r>
      <w:r>
        <w:rPr>
          <w:rFonts w:hint="default" w:ascii="Times New Roman" w:hAnsi="Times New Roman" w:cs="Times New Roman"/>
          <w:color w:val="auto"/>
          <w:highlight w:val="none"/>
          <w:lang w:val="en-US" w:eastAsia="zh-CN"/>
        </w:rPr>
        <w:t>管理站的配套建设信号网络设施，以满足办公和生活的用电需求</w:t>
      </w:r>
      <w:r>
        <w:rPr>
          <w:rFonts w:hint="default" w:ascii="Times New Roman" w:hAnsi="Times New Roman" w:cs="Times New Roman"/>
          <w:color w:val="auto"/>
          <w:highlight w:val="none"/>
          <w:lang w:eastAsia="zh-CN"/>
        </w:rPr>
        <w:t>。</w:t>
      </w:r>
    </w:p>
    <w:p w14:paraId="4D2C1774">
      <w:pPr>
        <w:pStyle w:val="3"/>
        <w:rPr>
          <w:rFonts w:hint="default" w:ascii="Times New Roman" w:hAnsi="Times New Roman" w:cs="Times New Roman"/>
          <w:color w:val="auto"/>
          <w:highlight w:val="none"/>
          <w:lang w:val="en-US" w:eastAsia="zh-CN"/>
        </w:rPr>
      </w:pPr>
      <w:bookmarkStart w:id="48" w:name="_Toc9915"/>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.7原有居民生产生活活动保障工程</w:t>
      </w:r>
      <w:bookmarkEnd w:id="48"/>
    </w:p>
    <w:p w14:paraId="260F1AF2">
      <w:pPr>
        <w:pStyle w:val="9"/>
        <w:numPr>
          <w:ilvl w:val="0"/>
          <w:numId w:val="0"/>
        </w:numPr>
        <w:ind w:left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开展湿地生态效益补偿机制建设1项，维护改造暖棚5个和贮草架30个。</w:t>
      </w:r>
    </w:p>
    <w:p w14:paraId="2FBF5864">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0FDCA155">
      <w:pPr>
        <w:pStyle w:val="2"/>
        <w:keepNext w:val="0"/>
        <w:keepLines/>
        <w:pageBreakBefore/>
        <w:widowControl w:val="0"/>
        <w:numPr>
          <w:ilvl w:val="0"/>
          <w:numId w:val="2"/>
        </w:numPr>
        <w:kinsoku/>
        <w:wordWrap/>
        <w:overflowPunct/>
        <w:topLinePunct w:val="0"/>
        <w:autoSpaceDE/>
        <w:autoSpaceDN/>
        <w:bidi w:val="0"/>
        <w:adjustRightInd/>
        <w:snapToGrid/>
        <w:spacing w:after="156"/>
        <w:ind w:left="0" w:leftChars="0" w:firstLine="0" w:firstLineChars="0"/>
        <w:textAlignment w:val="auto"/>
        <w:rPr>
          <w:rFonts w:hint="default" w:ascii="Times New Roman" w:hAnsi="Times New Roman" w:cs="Times New Roman"/>
          <w:color w:val="auto"/>
          <w:highlight w:val="none"/>
        </w:rPr>
      </w:pPr>
      <w:bookmarkStart w:id="49" w:name="_Toc20747"/>
      <w:bookmarkStart w:id="50" w:name="_Toc12395"/>
      <w:r>
        <w:rPr>
          <w:rFonts w:hint="default" w:ascii="Times New Roman" w:hAnsi="Times New Roman" w:cs="Times New Roman"/>
          <w:color w:val="auto"/>
          <w:highlight w:val="none"/>
        </w:rPr>
        <w:t>投资估算</w:t>
      </w:r>
      <w:bookmarkEnd w:id="49"/>
      <w:bookmarkEnd w:id="50"/>
    </w:p>
    <w:p w14:paraId="7A60662F">
      <w:pPr>
        <w:pStyle w:val="3"/>
        <w:rPr>
          <w:rFonts w:hint="default" w:ascii="Times New Roman" w:hAnsi="Times New Roman" w:cs="Times New Roman"/>
          <w:color w:val="auto"/>
          <w:highlight w:val="none"/>
        </w:rPr>
      </w:pPr>
      <w:bookmarkStart w:id="51" w:name="_Toc19835"/>
      <w:bookmarkStart w:id="52" w:name="_Toc13379"/>
      <w:r>
        <w:rPr>
          <w:rFonts w:hint="eastAsia" w:ascii="Times New Roman" w:hAnsi="Times New Roman" w:cs="Times New Roman"/>
          <w:color w:val="auto"/>
          <w:highlight w:val="none"/>
          <w:lang w:val="en-US" w:eastAsia="zh-CN"/>
        </w:rPr>
        <w:t>6</w:t>
      </w:r>
      <w:r>
        <w:rPr>
          <w:rFonts w:hint="default" w:ascii="Times New Roman" w:hAnsi="Times New Roman" w:cs="Times New Roman"/>
          <w:color w:val="auto"/>
          <w:highlight w:val="none"/>
        </w:rPr>
        <w:t>.1投资估算</w:t>
      </w:r>
      <w:bookmarkEnd w:id="51"/>
      <w:bookmarkEnd w:id="52"/>
    </w:p>
    <w:p w14:paraId="4D5B447A">
      <w:pPr>
        <w:pStyle w:val="9"/>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规划总投资估算26838.38万元，其中，工程直接费用24296.92万元，包括保护管理工程4879.74万元、科研与监测工程2383万元、生态修复工程8900万元、公众服务工程7162万元、防灾减灾工程372.68万元、基础设施建设工程580万元、原有居民生产活动工程19.5万元；间接费用1263.44万元；预备费1278.02万元。各工程具体投资及占比</w:t>
      </w:r>
      <w:r>
        <w:rPr>
          <w:rFonts w:hint="default" w:ascii="Times New Roman" w:hAnsi="Times New Roman" w:cs="Times New Roman"/>
          <w:color w:val="auto"/>
          <w:highlight w:val="none"/>
          <w:lang w:eastAsia="zh-CN"/>
        </w:rPr>
        <w:t>见表</w:t>
      </w:r>
      <w:r>
        <w:rPr>
          <w:rFonts w:hint="eastAsia" w:ascii="Times New Roman" w:hAnsi="Times New Roman" w:cs="Times New Roman"/>
          <w:color w:val="auto"/>
          <w:highlight w:val="none"/>
          <w:lang w:val="en-US" w:eastAsia="zh-CN"/>
        </w:rPr>
        <w:t>6</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1。</w:t>
      </w:r>
    </w:p>
    <w:p w14:paraId="03EA4465">
      <w:pPr>
        <w:keepNext w:val="0"/>
        <w:keepLines w:val="0"/>
        <w:pageBreakBefore w:val="0"/>
        <w:widowControl w:val="0"/>
        <w:kinsoku/>
        <w:wordWrap/>
        <w:overflowPunct/>
        <w:topLinePunct w:val="0"/>
        <w:autoSpaceDE/>
        <w:autoSpaceDN/>
        <w:bidi w:val="0"/>
        <w:adjustRightInd/>
        <w:snapToGrid/>
        <w:ind w:firstLine="560"/>
        <w:jc w:val="center"/>
        <w:textAlignment w:val="auto"/>
        <w:rPr>
          <w:rFonts w:hint="default" w:ascii="Times New Roman" w:hAnsi="Times New Roman" w:cs="Times New Roman"/>
          <w:color w:val="auto"/>
          <w:highlight w:val="none"/>
          <w:lang w:eastAsia="zh-CN"/>
        </w:rPr>
      </w:pPr>
      <w:r>
        <w:rPr>
          <w:rFonts w:hint="default" w:ascii="Times New Roman" w:hAnsi="Times New Roman" w:cs="Times New Roman"/>
          <w:b/>
          <w:bCs/>
          <w:color w:val="auto"/>
          <w:highlight w:val="none"/>
        </w:rPr>
        <w:t>表</w:t>
      </w:r>
      <w:r>
        <w:rPr>
          <w:rFonts w:hint="eastAsia" w:ascii="Times New Roman" w:hAnsi="Times New Roman" w:cs="Times New Roman"/>
          <w:b/>
          <w:bCs/>
          <w:color w:val="auto"/>
          <w:highlight w:val="none"/>
          <w:lang w:val="en-US" w:eastAsia="zh-CN"/>
        </w:rPr>
        <w:t>6</w:t>
      </w: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1-1总体规划投资估算</w:t>
      </w:r>
      <w:r>
        <w:rPr>
          <w:rFonts w:hint="default" w:ascii="Times New Roman" w:hAnsi="Times New Roman" w:cs="Times New Roman"/>
          <w:b/>
          <w:bCs/>
          <w:color w:val="auto"/>
          <w:highlight w:val="none"/>
        </w:rPr>
        <w:t>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9"/>
        <w:gridCol w:w="2111"/>
        <w:gridCol w:w="1388"/>
        <w:gridCol w:w="1079"/>
        <w:gridCol w:w="841"/>
        <w:gridCol w:w="1023"/>
        <w:gridCol w:w="968"/>
        <w:gridCol w:w="1282"/>
      </w:tblGrid>
      <w:tr w14:paraId="7E42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9" w:hRule="atLeast"/>
        </w:trPr>
        <w:tc>
          <w:tcPr>
            <w:tcW w:w="459" w:type="pct"/>
            <w:vMerge w:val="restart"/>
            <w:shd w:val="clear" w:color="auto" w:fill="auto"/>
            <w:noWrap/>
            <w:vAlign w:val="center"/>
          </w:tcPr>
          <w:p w14:paraId="68F59604">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rPr>
            </w:pPr>
            <w:bookmarkStart w:id="53" w:name="_Toc14582"/>
            <w:r>
              <w:rPr>
                <w:rFonts w:hint="default" w:ascii="Times New Roman" w:hAnsi="Times New Roman" w:eastAsia="宋体" w:cs="Times New Roman"/>
                <w:b/>
                <w:bCs/>
                <w:i w:val="0"/>
                <w:iCs w:val="0"/>
                <w:color w:val="000000"/>
                <w:kern w:val="0"/>
                <w:sz w:val="18"/>
                <w:szCs w:val="18"/>
                <w:highlight w:val="none"/>
                <w:u w:val="none"/>
                <w:lang w:val="en-US" w:eastAsia="zh-CN" w:bidi="ar"/>
              </w:rPr>
              <w:t>序号</w:t>
            </w:r>
          </w:p>
        </w:tc>
        <w:tc>
          <w:tcPr>
            <w:tcW w:w="1102" w:type="pct"/>
            <w:vMerge w:val="restart"/>
            <w:shd w:val="clear" w:color="auto" w:fill="auto"/>
            <w:noWrap/>
            <w:vAlign w:val="center"/>
          </w:tcPr>
          <w:p w14:paraId="79CD68FC">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建设项目</w:t>
            </w:r>
          </w:p>
        </w:tc>
        <w:tc>
          <w:tcPr>
            <w:tcW w:w="725" w:type="pct"/>
            <w:vMerge w:val="restart"/>
            <w:shd w:val="clear" w:color="auto" w:fill="auto"/>
            <w:vAlign w:val="center"/>
          </w:tcPr>
          <w:p w14:paraId="7DBFAEF3">
            <w:pPr>
              <w:spacing w:line="240" w:lineRule="auto"/>
              <w:ind w:firstLine="0" w:firstLineChars="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lang w:val="en-US" w:eastAsia="zh-CN"/>
              </w:rPr>
              <w:t>投资小计</w:t>
            </w:r>
            <w:r>
              <w:rPr>
                <w:rFonts w:hint="default" w:ascii="Times New Roman" w:hAnsi="Times New Roman" w:eastAsia="宋体" w:cs="Times New Roman"/>
                <w:b/>
                <w:bCs/>
                <w:color w:val="auto"/>
                <w:sz w:val="18"/>
                <w:szCs w:val="18"/>
                <w:highlight w:val="none"/>
                <w:lang w:val="en-US" w:eastAsia="zh-CN"/>
              </w:rPr>
              <w:br w:type="textWrapping"/>
            </w:r>
            <w:r>
              <w:rPr>
                <w:rFonts w:hint="default" w:ascii="Times New Roman" w:hAnsi="Times New Roman" w:eastAsia="宋体" w:cs="Times New Roman"/>
                <w:b/>
                <w:bCs/>
                <w:color w:val="auto"/>
                <w:sz w:val="18"/>
                <w:szCs w:val="18"/>
                <w:highlight w:val="none"/>
                <w:lang w:val="en-US" w:eastAsia="zh-CN"/>
              </w:rPr>
              <w:t>（万元）</w:t>
            </w:r>
          </w:p>
        </w:tc>
        <w:tc>
          <w:tcPr>
            <w:tcW w:w="1537" w:type="pct"/>
            <w:gridSpan w:val="3"/>
            <w:shd w:val="clear" w:color="auto" w:fill="auto"/>
            <w:noWrap/>
            <w:vAlign w:val="center"/>
          </w:tcPr>
          <w:p w14:paraId="0C16414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投资构成（万元）</w:t>
            </w:r>
          </w:p>
        </w:tc>
        <w:tc>
          <w:tcPr>
            <w:tcW w:w="1175" w:type="pct"/>
            <w:gridSpan w:val="2"/>
            <w:shd w:val="clear" w:color="auto" w:fill="auto"/>
            <w:noWrap/>
            <w:vAlign w:val="center"/>
          </w:tcPr>
          <w:p w14:paraId="0BAD7C0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投资期限（万元）</w:t>
            </w:r>
          </w:p>
        </w:tc>
      </w:tr>
      <w:tr w14:paraId="20D3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459" w:type="pct"/>
            <w:vMerge w:val="continue"/>
            <w:shd w:val="clear" w:color="auto" w:fill="auto"/>
            <w:noWrap/>
            <w:vAlign w:val="center"/>
          </w:tcPr>
          <w:p w14:paraId="0BA91033">
            <w:pPr>
              <w:jc w:val="center"/>
              <w:rPr>
                <w:rFonts w:hint="default" w:ascii="Times New Roman" w:hAnsi="Times New Roman" w:eastAsia="宋体" w:cs="Times New Roman"/>
                <w:b/>
                <w:bCs/>
                <w:i w:val="0"/>
                <w:iCs w:val="0"/>
                <w:color w:val="000000"/>
                <w:sz w:val="18"/>
                <w:szCs w:val="18"/>
                <w:highlight w:val="none"/>
                <w:u w:val="none"/>
              </w:rPr>
            </w:pPr>
          </w:p>
        </w:tc>
        <w:tc>
          <w:tcPr>
            <w:tcW w:w="1102" w:type="pct"/>
            <w:vMerge w:val="continue"/>
            <w:shd w:val="clear" w:color="auto" w:fill="auto"/>
            <w:noWrap/>
            <w:vAlign w:val="center"/>
          </w:tcPr>
          <w:p w14:paraId="4BC575CC">
            <w:pPr>
              <w:jc w:val="center"/>
              <w:rPr>
                <w:rFonts w:hint="default" w:ascii="Times New Roman" w:hAnsi="Times New Roman" w:eastAsia="宋体" w:cs="Times New Roman"/>
                <w:b/>
                <w:bCs/>
                <w:i w:val="0"/>
                <w:iCs w:val="0"/>
                <w:color w:val="000000"/>
                <w:sz w:val="18"/>
                <w:szCs w:val="18"/>
                <w:highlight w:val="none"/>
                <w:u w:val="none"/>
              </w:rPr>
            </w:pPr>
          </w:p>
        </w:tc>
        <w:tc>
          <w:tcPr>
            <w:tcW w:w="725" w:type="pct"/>
            <w:vMerge w:val="continue"/>
            <w:shd w:val="clear" w:color="auto" w:fill="auto"/>
            <w:noWrap/>
            <w:vAlign w:val="center"/>
          </w:tcPr>
          <w:p w14:paraId="2F98597C">
            <w:pPr>
              <w:jc w:val="center"/>
              <w:rPr>
                <w:rFonts w:hint="default" w:ascii="Times New Roman" w:hAnsi="Times New Roman" w:eastAsia="宋体" w:cs="Times New Roman"/>
                <w:b/>
                <w:bCs/>
                <w:i w:val="0"/>
                <w:iCs w:val="0"/>
                <w:color w:val="000000"/>
                <w:sz w:val="18"/>
                <w:szCs w:val="18"/>
                <w:highlight w:val="none"/>
                <w:u w:val="none"/>
              </w:rPr>
            </w:pPr>
          </w:p>
        </w:tc>
        <w:tc>
          <w:tcPr>
            <w:tcW w:w="563" w:type="pct"/>
            <w:shd w:val="clear" w:color="auto" w:fill="auto"/>
            <w:noWrap/>
            <w:vAlign w:val="center"/>
          </w:tcPr>
          <w:p w14:paraId="1FC073C3">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建安</w:t>
            </w:r>
          </w:p>
        </w:tc>
        <w:tc>
          <w:tcPr>
            <w:tcW w:w="439" w:type="pct"/>
            <w:shd w:val="clear" w:color="auto" w:fill="auto"/>
            <w:noWrap/>
            <w:vAlign w:val="center"/>
          </w:tcPr>
          <w:p w14:paraId="77344DE9">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设备</w:t>
            </w:r>
          </w:p>
        </w:tc>
        <w:tc>
          <w:tcPr>
            <w:tcW w:w="534" w:type="pct"/>
            <w:shd w:val="clear" w:color="auto" w:fill="auto"/>
            <w:noWrap/>
            <w:vAlign w:val="center"/>
          </w:tcPr>
          <w:p w14:paraId="7596E4EE">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其它</w:t>
            </w:r>
          </w:p>
        </w:tc>
        <w:tc>
          <w:tcPr>
            <w:tcW w:w="505" w:type="pct"/>
            <w:shd w:val="clear" w:color="auto" w:fill="auto"/>
            <w:noWrap/>
            <w:vAlign w:val="center"/>
          </w:tcPr>
          <w:p w14:paraId="01AD8937">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lang w:val="en-US" w:eastAsia="zh-CN"/>
              </w:rPr>
            </w:pPr>
            <w:r>
              <w:rPr>
                <w:rFonts w:hint="default" w:ascii="Times New Roman" w:hAnsi="Times New Roman" w:eastAsia="宋体" w:cs="Times New Roman"/>
                <w:b/>
                <w:bCs/>
                <w:i w:val="0"/>
                <w:iCs w:val="0"/>
                <w:color w:val="000000"/>
                <w:sz w:val="18"/>
                <w:szCs w:val="18"/>
                <w:highlight w:val="none"/>
                <w:u w:val="none"/>
                <w:lang w:val="en-US" w:eastAsia="zh-CN"/>
              </w:rPr>
              <w:t>近期</w:t>
            </w:r>
          </w:p>
        </w:tc>
        <w:tc>
          <w:tcPr>
            <w:tcW w:w="669" w:type="pct"/>
            <w:shd w:val="clear" w:color="auto" w:fill="auto"/>
            <w:noWrap/>
            <w:vAlign w:val="center"/>
          </w:tcPr>
          <w:p w14:paraId="2D76F2E6">
            <w:pPr>
              <w:keepNext w:val="0"/>
              <w:keepLines w:val="0"/>
              <w:widowControl/>
              <w:suppressLineNumbers w:val="0"/>
              <w:ind w:left="0" w:leftChars="0" w:firstLine="0" w:firstLineChars="0"/>
              <w:jc w:val="both"/>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中长期</w:t>
            </w:r>
          </w:p>
        </w:tc>
      </w:tr>
      <w:tr w14:paraId="2354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52C3CA49">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p>
        </w:tc>
        <w:tc>
          <w:tcPr>
            <w:tcW w:w="1102" w:type="pct"/>
            <w:shd w:val="clear" w:color="auto" w:fill="auto"/>
            <w:noWrap/>
            <w:vAlign w:val="center"/>
          </w:tcPr>
          <w:p w14:paraId="2213EBD4">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总投资</w:t>
            </w:r>
          </w:p>
        </w:tc>
        <w:tc>
          <w:tcPr>
            <w:tcW w:w="1388" w:type="dxa"/>
            <w:shd w:val="clear" w:color="auto" w:fill="auto"/>
            <w:noWrap/>
            <w:vAlign w:val="center"/>
          </w:tcPr>
          <w:p w14:paraId="401A41BD">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26838.38 </w:t>
            </w:r>
          </w:p>
        </w:tc>
        <w:tc>
          <w:tcPr>
            <w:tcW w:w="1079" w:type="dxa"/>
            <w:shd w:val="clear" w:color="auto" w:fill="auto"/>
            <w:noWrap/>
            <w:vAlign w:val="center"/>
          </w:tcPr>
          <w:p w14:paraId="2A4EB3C0">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21306.44 </w:t>
            </w:r>
          </w:p>
        </w:tc>
        <w:tc>
          <w:tcPr>
            <w:tcW w:w="841" w:type="dxa"/>
            <w:shd w:val="clear" w:color="auto" w:fill="auto"/>
            <w:noWrap/>
            <w:vAlign w:val="center"/>
          </w:tcPr>
          <w:p w14:paraId="3AE5F9F6">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2715.98 </w:t>
            </w:r>
          </w:p>
        </w:tc>
        <w:tc>
          <w:tcPr>
            <w:tcW w:w="1023" w:type="dxa"/>
            <w:shd w:val="clear" w:color="auto" w:fill="auto"/>
            <w:noWrap/>
            <w:vAlign w:val="center"/>
          </w:tcPr>
          <w:p w14:paraId="07A6E39C">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2815.96 </w:t>
            </w:r>
          </w:p>
        </w:tc>
        <w:tc>
          <w:tcPr>
            <w:tcW w:w="968" w:type="dxa"/>
            <w:shd w:val="clear" w:color="auto" w:fill="auto"/>
            <w:noWrap/>
            <w:vAlign w:val="center"/>
          </w:tcPr>
          <w:p w14:paraId="04881C53">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9365.88 </w:t>
            </w:r>
          </w:p>
        </w:tc>
        <w:tc>
          <w:tcPr>
            <w:tcW w:w="1282" w:type="dxa"/>
            <w:shd w:val="clear" w:color="auto" w:fill="auto"/>
            <w:noWrap/>
            <w:vAlign w:val="center"/>
          </w:tcPr>
          <w:p w14:paraId="0AEDF7C1">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17472.50 </w:t>
            </w:r>
          </w:p>
        </w:tc>
      </w:tr>
      <w:tr w14:paraId="4ABC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1EA35E31">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一</w:t>
            </w:r>
          </w:p>
        </w:tc>
        <w:tc>
          <w:tcPr>
            <w:tcW w:w="1102" w:type="pct"/>
            <w:shd w:val="clear" w:color="auto" w:fill="auto"/>
            <w:noWrap/>
            <w:vAlign w:val="center"/>
          </w:tcPr>
          <w:p w14:paraId="2518BF19">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工程费用</w:t>
            </w:r>
          </w:p>
        </w:tc>
        <w:tc>
          <w:tcPr>
            <w:tcW w:w="1388" w:type="dxa"/>
            <w:shd w:val="clear" w:color="auto" w:fill="auto"/>
            <w:noWrap/>
            <w:vAlign w:val="center"/>
          </w:tcPr>
          <w:p w14:paraId="17BFA035">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24296.92</w:t>
            </w:r>
          </w:p>
        </w:tc>
        <w:tc>
          <w:tcPr>
            <w:tcW w:w="1079" w:type="dxa"/>
            <w:shd w:val="clear" w:color="auto" w:fill="auto"/>
            <w:noWrap/>
            <w:vAlign w:val="center"/>
          </w:tcPr>
          <w:p w14:paraId="222F1A6A">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21306.44</w:t>
            </w:r>
          </w:p>
        </w:tc>
        <w:tc>
          <w:tcPr>
            <w:tcW w:w="841" w:type="dxa"/>
            <w:shd w:val="clear" w:color="auto" w:fill="auto"/>
            <w:noWrap/>
            <w:vAlign w:val="center"/>
          </w:tcPr>
          <w:p w14:paraId="5D292065">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2715.98</w:t>
            </w:r>
          </w:p>
        </w:tc>
        <w:tc>
          <w:tcPr>
            <w:tcW w:w="1023" w:type="dxa"/>
            <w:shd w:val="clear" w:color="auto" w:fill="auto"/>
            <w:noWrap/>
            <w:vAlign w:val="center"/>
          </w:tcPr>
          <w:p w14:paraId="09D7D5A7">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274.5</w:t>
            </w:r>
          </w:p>
        </w:tc>
        <w:tc>
          <w:tcPr>
            <w:tcW w:w="968" w:type="dxa"/>
            <w:shd w:val="clear" w:color="auto" w:fill="auto"/>
            <w:noWrap/>
            <w:vAlign w:val="center"/>
          </w:tcPr>
          <w:p w14:paraId="63884B14">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7968.08</w:t>
            </w:r>
          </w:p>
        </w:tc>
        <w:tc>
          <w:tcPr>
            <w:tcW w:w="1282" w:type="dxa"/>
            <w:shd w:val="clear" w:color="auto" w:fill="auto"/>
            <w:noWrap/>
            <w:vAlign w:val="center"/>
          </w:tcPr>
          <w:p w14:paraId="727ABBFE">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16328.84</w:t>
            </w:r>
          </w:p>
        </w:tc>
      </w:tr>
      <w:tr w14:paraId="45E4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06DF924D">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w:t>
            </w:r>
          </w:p>
        </w:tc>
        <w:tc>
          <w:tcPr>
            <w:tcW w:w="1102" w:type="pct"/>
            <w:shd w:val="clear" w:color="auto" w:fill="auto"/>
            <w:noWrap/>
            <w:vAlign w:val="center"/>
          </w:tcPr>
          <w:p w14:paraId="6BC499FD">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保护管理工程</w:t>
            </w:r>
          </w:p>
        </w:tc>
        <w:tc>
          <w:tcPr>
            <w:tcW w:w="1388" w:type="dxa"/>
            <w:shd w:val="clear" w:color="auto" w:fill="auto"/>
            <w:noWrap/>
            <w:vAlign w:val="center"/>
          </w:tcPr>
          <w:p w14:paraId="660AA51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4879.74</w:t>
            </w:r>
          </w:p>
        </w:tc>
        <w:tc>
          <w:tcPr>
            <w:tcW w:w="1079" w:type="dxa"/>
            <w:shd w:val="clear" w:color="auto" w:fill="auto"/>
            <w:noWrap/>
            <w:vAlign w:val="center"/>
          </w:tcPr>
          <w:p w14:paraId="03F7EA0E">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3986.94</w:t>
            </w:r>
          </w:p>
        </w:tc>
        <w:tc>
          <w:tcPr>
            <w:tcW w:w="841" w:type="dxa"/>
            <w:shd w:val="clear" w:color="auto" w:fill="auto"/>
            <w:noWrap/>
            <w:vAlign w:val="center"/>
          </w:tcPr>
          <w:p w14:paraId="07984A6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832.8</w:t>
            </w:r>
          </w:p>
        </w:tc>
        <w:tc>
          <w:tcPr>
            <w:tcW w:w="1023" w:type="dxa"/>
            <w:shd w:val="clear" w:color="auto" w:fill="auto"/>
            <w:noWrap/>
            <w:vAlign w:val="center"/>
          </w:tcPr>
          <w:p w14:paraId="606BABF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60</w:t>
            </w:r>
          </w:p>
        </w:tc>
        <w:tc>
          <w:tcPr>
            <w:tcW w:w="968" w:type="dxa"/>
            <w:shd w:val="clear" w:color="auto" w:fill="auto"/>
            <w:noWrap/>
            <w:vAlign w:val="center"/>
          </w:tcPr>
          <w:p w14:paraId="646C26F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1575.9</w:t>
            </w:r>
          </w:p>
        </w:tc>
        <w:tc>
          <w:tcPr>
            <w:tcW w:w="1282" w:type="dxa"/>
            <w:shd w:val="clear" w:color="auto" w:fill="auto"/>
            <w:noWrap/>
            <w:vAlign w:val="center"/>
          </w:tcPr>
          <w:p w14:paraId="7290463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3303.84</w:t>
            </w:r>
          </w:p>
        </w:tc>
      </w:tr>
      <w:tr w14:paraId="4D29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2F8B2E0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2</w:t>
            </w:r>
          </w:p>
        </w:tc>
        <w:tc>
          <w:tcPr>
            <w:tcW w:w="1102" w:type="pct"/>
            <w:shd w:val="clear" w:color="auto" w:fill="auto"/>
            <w:noWrap/>
            <w:vAlign w:val="center"/>
          </w:tcPr>
          <w:p w14:paraId="524AEC7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科研和监测工程</w:t>
            </w:r>
          </w:p>
        </w:tc>
        <w:tc>
          <w:tcPr>
            <w:tcW w:w="1388" w:type="dxa"/>
            <w:shd w:val="clear" w:color="auto" w:fill="auto"/>
            <w:noWrap/>
            <w:vAlign w:val="center"/>
          </w:tcPr>
          <w:p w14:paraId="24076C8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2383</w:t>
            </w:r>
          </w:p>
        </w:tc>
        <w:tc>
          <w:tcPr>
            <w:tcW w:w="1079" w:type="dxa"/>
            <w:shd w:val="clear" w:color="auto" w:fill="auto"/>
            <w:noWrap/>
            <w:vAlign w:val="center"/>
          </w:tcPr>
          <w:p w14:paraId="6B5FEB34">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945</w:t>
            </w:r>
          </w:p>
        </w:tc>
        <w:tc>
          <w:tcPr>
            <w:tcW w:w="841" w:type="dxa"/>
            <w:shd w:val="clear" w:color="auto" w:fill="auto"/>
            <w:noWrap/>
            <w:vAlign w:val="center"/>
          </w:tcPr>
          <w:p w14:paraId="1334816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1388</w:t>
            </w:r>
          </w:p>
        </w:tc>
        <w:tc>
          <w:tcPr>
            <w:tcW w:w="1023" w:type="dxa"/>
            <w:shd w:val="clear" w:color="auto" w:fill="auto"/>
            <w:noWrap/>
            <w:vAlign w:val="center"/>
          </w:tcPr>
          <w:p w14:paraId="721B736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50</w:t>
            </w:r>
          </w:p>
        </w:tc>
        <w:tc>
          <w:tcPr>
            <w:tcW w:w="968" w:type="dxa"/>
            <w:shd w:val="clear" w:color="auto" w:fill="auto"/>
            <w:noWrap/>
            <w:vAlign w:val="center"/>
          </w:tcPr>
          <w:p w14:paraId="3A569285">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1668</w:t>
            </w:r>
          </w:p>
        </w:tc>
        <w:tc>
          <w:tcPr>
            <w:tcW w:w="1282" w:type="dxa"/>
            <w:shd w:val="clear" w:color="auto" w:fill="auto"/>
            <w:noWrap/>
            <w:vAlign w:val="center"/>
          </w:tcPr>
          <w:p w14:paraId="6D2523B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715</w:t>
            </w:r>
          </w:p>
        </w:tc>
      </w:tr>
      <w:tr w14:paraId="0E878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4B79A25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w:t>
            </w:r>
          </w:p>
        </w:tc>
        <w:tc>
          <w:tcPr>
            <w:tcW w:w="1102" w:type="pct"/>
            <w:shd w:val="clear" w:color="auto" w:fill="auto"/>
            <w:noWrap/>
            <w:vAlign w:val="center"/>
          </w:tcPr>
          <w:p w14:paraId="6A47922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生态修复工程</w:t>
            </w:r>
          </w:p>
        </w:tc>
        <w:tc>
          <w:tcPr>
            <w:tcW w:w="1388" w:type="dxa"/>
            <w:shd w:val="clear" w:color="auto" w:fill="auto"/>
            <w:noWrap/>
            <w:vAlign w:val="center"/>
          </w:tcPr>
          <w:p w14:paraId="67D65CB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8900</w:t>
            </w:r>
          </w:p>
        </w:tc>
        <w:tc>
          <w:tcPr>
            <w:tcW w:w="1079" w:type="dxa"/>
            <w:shd w:val="clear" w:color="auto" w:fill="auto"/>
            <w:noWrap/>
            <w:vAlign w:val="center"/>
          </w:tcPr>
          <w:p w14:paraId="26D2338C">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8900</w:t>
            </w:r>
          </w:p>
        </w:tc>
        <w:tc>
          <w:tcPr>
            <w:tcW w:w="841" w:type="dxa"/>
            <w:shd w:val="clear" w:color="auto" w:fill="auto"/>
            <w:noWrap/>
            <w:vAlign w:val="center"/>
          </w:tcPr>
          <w:p w14:paraId="71FB276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1023" w:type="dxa"/>
            <w:shd w:val="clear" w:color="auto" w:fill="auto"/>
            <w:noWrap/>
            <w:vAlign w:val="center"/>
          </w:tcPr>
          <w:p w14:paraId="3ACAC4F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968" w:type="dxa"/>
            <w:shd w:val="clear" w:color="auto" w:fill="auto"/>
            <w:noWrap/>
            <w:vAlign w:val="center"/>
          </w:tcPr>
          <w:p w14:paraId="13D0F42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2975</w:t>
            </w:r>
          </w:p>
        </w:tc>
        <w:tc>
          <w:tcPr>
            <w:tcW w:w="1282" w:type="dxa"/>
            <w:shd w:val="clear" w:color="auto" w:fill="auto"/>
            <w:noWrap/>
            <w:vAlign w:val="center"/>
          </w:tcPr>
          <w:p w14:paraId="44B6624D">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5925</w:t>
            </w:r>
          </w:p>
        </w:tc>
      </w:tr>
      <w:tr w14:paraId="05E6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5577E37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4</w:t>
            </w:r>
          </w:p>
        </w:tc>
        <w:tc>
          <w:tcPr>
            <w:tcW w:w="1102" w:type="pct"/>
            <w:shd w:val="clear" w:color="auto" w:fill="auto"/>
            <w:noWrap/>
            <w:vAlign w:val="center"/>
          </w:tcPr>
          <w:p w14:paraId="2905943E">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公共服务</w:t>
            </w:r>
          </w:p>
        </w:tc>
        <w:tc>
          <w:tcPr>
            <w:tcW w:w="1388" w:type="dxa"/>
            <w:shd w:val="clear" w:color="auto" w:fill="auto"/>
            <w:noWrap/>
            <w:vAlign w:val="center"/>
          </w:tcPr>
          <w:p w14:paraId="557331D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7162</w:t>
            </w:r>
          </w:p>
        </w:tc>
        <w:tc>
          <w:tcPr>
            <w:tcW w:w="1079" w:type="dxa"/>
            <w:shd w:val="clear" w:color="auto" w:fill="auto"/>
            <w:noWrap/>
            <w:vAlign w:val="center"/>
          </w:tcPr>
          <w:p w14:paraId="5307AE9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6875</w:t>
            </w:r>
          </w:p>
        </w:tc>
        <w:tc>
          <w:tcPr>
            <w:tcW w:w="841" w:type="dxa"/>
            <w:shd w:val="clear" w:color="auto" w:fill="auto"/>
            <w:noWrap/>
            <w:vAlign w:val="center"/>
          </w:tcPr>
          <w:p w14:paraId="701044C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125</w:t>
            </w:r>
          </w:p>
        </w:tc>
        <w:tc>
          <w:tcPr>
            <w:tcW w:w="1023" w:type="dxa"/>
            <w:shd w:val="clear" w:color="auto" w:fill="auto"/>
            <w:noWrap/>
            <w:vAlign w:val="center"/>
          </w:tcPr>
          <w:p w14:paraId="089A343C">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162</w:t>
            </w:r>
          </w:p>
        </w:tc>
        <w:tc>
          <w:tcPr>
            <w:tcW w:w="968" w:type="dxa"/>
            <w:shd w:val="clear" w:color="auto" w:fill="auto"/>
            <w:noWrap/>
            <w:vAlign w:val="center"/>
          </w:tcPr>
          <w:p w14:paraId="15DEF65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903.5</w:t>
            </w:r>
          </w:p>
        </w:tc>
        <w:tc>
          <w:tcPr>
            <w:tcW w:w="1282" w:type="dxa"/>
            <w:shd w:val="clear" w:color="auto" w:fill="auto"/>
            <w:noWrap/>
            <w:vAlign w:val="center"/>
          </w:tcPr>
          <w:p w14:paraId="6BC216E5">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6258.5</w:t>
            </w:r>
          </w:p>
        </w:tc>
      </w:tr>
      <w:tr w14:paraId="6929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6296119F">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5</w:t>
            </w:r>
          </w:p>
        </w:tc>
        <w:tc>
          <w:tcPr>
            <w:tcW w:w="1102" w:type="pct"/>
            <w:shd w:val="clear" w:color="auto" w:fill="auto"/>
            <w:noWrap/>
            <w:vAlign w:val="center"/>
          </w:tcPr>
          <w:p w14:paraId="0D6FFB6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防灾减灾</w:t>
            </w:r>
          </w:p>
        </w:tc>
        <w:tc>
          <w:tcPr>
            <w:tcW w:w="725" w:type="pct"/>
            <w:shd w:val="clear" w:color="auto" w:fill="auto"/>
            <w:noWrap/>
            <w:vAlign w:val="center"/>
          </w:tcPr>
          <w:p w14:paraId="172E0D5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372.68 </w:t>
            </w:r>
          </w:p>
        </w:tc>
        <w:tc>
          <w:tcPr>
            <w:tcW w:w="563" w:type="pct"/>
            <w:shd w:val="clear" w:color="auto" w:fill="auto"/>
            <w:noWrap/>
            <w:vAlign w:val="center"/>
          </w:tcPr>
          <w:p w14:paraId="6BD2656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45.00 </w:t>
            </w:r>
          </w:p>
        </w:tc>
        <w:tc>
          <w:tcPr>
            <w:tcW w:w="439" w:type="pct"/>
            <w:shd w:val="clear" w:color="auto" w:fill="auto"/>
            <w:noWrap/>
            <w:vAlign w:val="center"/>
          </w:tcPr>
          <w:p w14:paraId="5BE3DE9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325.18 </w:t>
            </w:r>
          </w:p>
        </w:tc>
        <w:tc>
          <w:tcPr>
            <w:tcW w:w="534" w:type="pct"/>
            <w:shd w:val="clear" w:color="auto" w:fill="auto"/>
            <w:noWrap/>
            <w:vAlign w:val="center"/>
          </w:tcPr>
          <w:p w14:paraId="1C6A630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2.50 </w:t>
            </w:r>
          </w:p>
        </w:tc>
        <w:tc>
          <w:tcPr>
            <w:tcW w:w="505" w:type="pct"/>
            <w:shd w:val="clear" w:color="auto" w:fill="auto"/>
            <w:noWrap/>
            <w:vAlign w:val="center"/>
          </w:tcPr>
          <w:p w14:paraId="1B189D3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265.68 </w:t>
            </w:r>
          </w:p>
        </w:tc>
        <w:tc>
          <w:tcPr>
            <w:tcW w:w="669" w:type="pct"/>
            <w:shd w:val="clear" w:color="auto" w:fill="auto"/>
            <w:noWrap/>
            <w:vAlign w:val="center"/>
          </w:tcPr>
          <w:p w14:paraId="107AF25F">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107.00 </w:t>
            </w:r>
          </w:p>
        </w:tc>
      </w:tr>
      <w:tr w14:paraId="060B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0B038FC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6</w:t>
            </w:r>
          </w:p>
        </w:tc>
        <w:tc>
          <w:tcPr>
            <w:tcW w:w="1102" w:type="pct"/>
            <w:shd w:val="clear" w:color="auto" w:fill="auto"/>
            <w:noWrap/>
            <w:vAlign w:val="center"/>
          </w:tcPr>
          <w:p w14:paraId="062DC21C">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基础设施建设</w:t>
            </w:r>
          </w:p>
        </w:tc>
        <w:tc>
          <w:tcPr>
            <w:tcW w:w="725" w:type="pct"/>
            <w:shd w:val="clear" w:color="auto" w:fill="auto"/>
            <w:noWrap/>
            <w:vAlign w:val="center"/>
          </w:tcPr>
          <w:p w14:paraId="0EFE8A2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580.00 </w:t>
            </w:r>
          </w:p>
        </w:tc>
        <w:tc>
          <w:tcPr>
            <w:tcW w:w="563" w:type="pct"/>
            <w:shd w:val="clear" w:color="auto" w:fill="auto"/>
            <w:noWrap/>
            <w:vAlign w:val="center"/>
          </w:tcPr>
          <w:p w14:paraId="4FC258F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535.00 </w:t>
            </w:r>
          </w:p>
        </w:tc>
        <w:tc>
          <w:tcPr>
            <w:tcW w:w="439" w:type="pct"/>
            <w:shd w:val="clear" w:color="auto" w:fill="auto"/>
            <w:noWrap/>
            <w:vAlign w:val="center"/>
          </w:tcPr>
          <w:p w14:paraId="673387F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45.00 </w:t>
            </w:r>
          </w:p>
        </w:tc>
        <w:tc>
          <w:tcPr>
            <w:tcW w:w="534" w:type="pct"/>
            <w:shd w:val="clear" w:color="auto" w:fill="auto"/>
            <w:noWrap/>
            <w:vAlign w:val="center"/>
          </w:tcPr>
          <w:p w14:paraId="0422A70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505" w:type="pct"/>
            <w:shd w:val="clear" w:color="auto" w:fill="auto"/>
            <w:noWrap/>
            <w:vAlign w:val="center"/>
          </w:tcPr>
          <w:p w14:paraId="6CF843C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580.00 </w:t>
            </w:r>
          </w:p>
        </w:tc>
        <w:tc>
          <w:tcPr>
            <w:tcW w:w="669" w:type="pct"/>
            <w:shd w:val="clear" w:color="auto" w:fill="auto"/>
            <w:noWrap/>
            <w:vAlign w:val="center"/>
          </w:tcPr>
          <w:p w14:paraId="33C3D7B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r>
      <w:tr w14:paraId="6033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3224D72C">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7</w:t>
            </w:r>
          </w:p>
        </w:tc>
        <w:tc>
          <w:tcPr>
            <w:tcW w:w="1102" w:type="pct"/>
            <w:shd w:val="clear" w:color="auto" w:fill="auto"/>
            <w:noWrap/>
            <w:vAlign w:val="center"/>
          </w:tcPr>
          <w:p w14:paraId="3820B5AE">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原有居民生产活动</w:t>
            </w:r>
          </w:p>
        </w:tc>
        <w:tc>
          <w:tcPr>
            <w:tcW w:w="725" w:type="pct"/>
            <w:shd w:val="clear" w:color="auto" w:fill="auto"/>
            <w:noWrap/>
            <w:vAlign w:val="center"/>
          </w:tcPr>
          <w:p w14:paraId="331FC03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19.50 </w:t>
            </w:r>
          </w:p>
        </w:tc>
        <w:tc>
          <w:tcPr>
            <w:tcW w:w="563" w:type="pct"/>
            <w:shd w:val="clear" w:color="auto" w:fill="auto"/>
            <w:noWrap/>
            <w:vAlign w:val="center"/>
          </w:tcPr>
          <w:p w14:paraId="55E5371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19.50 </w:t>
            </w:r>
          </w:p>
        </w:tc>
        <w:tc>
          <w:tcPr>
            <w:tcW w:w="439" w:type="pct"/>
            <w:shd w:val="clear" w:color="auto" w:fill="auto"/>
            <w:noWrap/>
            <w:vAlign w:val="center"/>
          </w:tcPr>
          <w:p w14:paraId="74E28F3E">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534" w:type="pct"/>
            <w:shd w:val="clear" w:color="auto" w:fill="auto"/>
            <w:noWrap/>
            <w:vAlign w:val="center"/>
          </w:tcPr>
          <w:p w14:paraId="34D9B12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505" w:type="pct"/>
            <w:shd w:val="clear" w:color="auto" w:fill="auto"/>
            <w:noWrap/>
            <w:vAlign w:val="center"/>
          </w:tcPr>
          <w:p w14:paraId="1FAA6684">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669" w:type="pct"/>
            <w:shd w:val="clear" w:color="auto" w:fill="auto"/>
            <w:noWrap/>
            <w:vAlign w:val="center"/>
          </w:tcPr>
          <w:p w14:paraId="155F9484">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19.50 </w:t>
            </w:r>
          </w:p>
        </w:tc>
      </w:tr>
      <w:tr w14:paraId="3C6A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459" w:type="pct"/>
            <w:shd w:val="clear" w:color="auto" w:fill="auto"/>
            <w:noWrap/>
            <w:vAlign w:val="center"/>
          </w:tcPr>
          <w:p w14:paraId="5937CE3A">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二</w:t>
            </w:r>
          </w:p>
        </w:tc>
        <w:tc>
          <w:tcPr>
            <w:tcW w:w="1102" w:type="pct"/>
            <w:shd w:val="clear" w:color="auto" w:fill="auto"/>
            <w:noWrap/>
            <w:vAlign w:val="center"/>
          </w:tcPr>
          <w:p w14:paraId="4FB2B92A">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间接费用</w:t>
            </w:r>
          </w:p>
        </w:tc>
        <w:tc>
          <w:tcPr>
            <w:tcW w:w="1388" w:type="dxa"/>
            <w:shd w:val="clear" w:color="auto" w:fill="auto"/>
            <w:noWrap/>
            <w:vAlign w:val="center"/>
          </w:tcPr>
          <w:p w14:paraId="2A3C1E00">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1263.44 </w:t>
            </w:r>
          </w:p>
        </w:tc>
        <w:tc>
          <w:tcPr>
            <w:tcW w:w="1079" w:type="dxa"/>
            <w:shd w:val="clear" w:color="auto" w:fill="auto"/>
            <w:noWrap/>
            <w:vAlign w:val="center"/>
          </w:tcPr>
          <w:p w14:paraId="6BF9859B">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p>
        </w:tc>
        <w:tc>
          <w:tcPr>
            <w:tcW w:w="841" w:type="dxa"/>
            <w:shd w:val="clear" w:color="auto" w:fill="auto"/>
            <w:noWrap/>
            <w:vAlign w:val="center"/>
          </w:tcPr>
          <w:p w14:paraId="02A3EB94">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p>
        </w:tc>
        <w:tc>
          <w:tcPr>
            <w:tcW w:w="1023" w:type="dxa"/>
            <w:shd w:val="clear" w:color="auto" w:fill="auto"/>
            <w:noWrap/>
            <w:vAlign w:val="center"/>
          </w:tcPr>
          <w:p w14:paraId="046E83BD">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1263.44 </w:t>
            </w:r>
          </w:p>
        </w:tc>
        <w:tc>
          <w:tcPr>
            <w:tcW w:w="968" w:type="dxa"/>
            <w:shd w:val="clear" w:color="auto" w:fill="auto"/>
            <w:noWrap/>
            <w:vAlign w:val="center"/>
          </w:tcPr>
          <w:p w14:paraId="67900050">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694.89 </w:t>
            </w:r>
          </w:p>
        </w:tc>
        <w:tc>
          <w:tcPr>
            <w:tcW w:w="1282" w:type="dxa"/>
            <w:shd w:val="clear" w:color="auto" w:fill="auto"/>
            <w:noWrap/>
            <w:vAlign w:val="center"/>
          </w:tcPr>
          <w:p w14:paraId="1CB94030">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568.55 </w:t>
            </w:r>
          </w:p>
        </w:tc>
      </w:tr>
      <w:tr w14:paraId="6B35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5B6B933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w:t>
            </w:r>
          </w:p>
        </w:tc>
        <w:tc>
          <w:tcPr>
            <w:tcW w:w="1102" w:type="pct"/>
            <w:shd w:val="clear" w:color="auto" w:fill="auto"/>
            <w:noWrap/>
            <w:vAlign w:val="center"/>
          </w:tcPr>
          <w:p w14:paraId="4F28A74F">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建设单位管理费</w:t>
            </w:r>
          </w:p>
        </w:tc>
        <w:tc>
          <w:tcPr>
            <w:tcW w:w="1388" w:type="dxa"/>
            <w:shd w:val="clear" w:color="auto" w:fill="auto"/>
            <w:noWrap/>
            <w:vAlign w:val="center"/>
          </w:tcPr>
          <w:p w14:paraId="53CD489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242.97 </w:t>
            </w:r>
          </w:p>
        </w:tc>
        <w:tc>
          <w:tcPr>
            <w:tcW w:w="1079" w:type="dxa"/>
            <w:shd w:val="clear" w:color="auto" w:fill="auto"/>
            <w:noWrap/>
            <w:vAlign w:val="center"/>
          </w:tcPr>
          <w:p w14:paraId="29BFB16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841" w:type="dxa"/>
            <w:shd w:val="clear" w:color="auto" w:fill="auto"/>
            <w:noWrap/>
            <w:vAlign w:val="center"/>
          </w:tcPr>
          <w:p w14:paraId="64097AF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1023" w:type="dxa"/>
            <w:shd w:val="clear" w:color="auto" w:fill="auto"/>
            <w:noWrap/>
            <w:vAlign w:val="center"/>
          </w:tcPr>
          <w:p w14:paraId="384AC9E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242.97 </w:t>
            </w:r>
          </w:p>
        </w:tc>
        <w:tc>
          <w:tcPr>
            <w:tcW w:w="968" w:type="dxa"/>
            <w:shd w:val="clear" w:color="auto" w:fill="auto"/>
            <w:noWrap/>
            <w:vAlign w:val="center"/>
          </w:tcPr>
          <w:p w14:paraId="41572DA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133.63 </w:t>
            </w:r>
          </w:p>
        </w:tc>
        <w:tc>
          <w:tcPr>
            <w:tcW w:w="1282" w:type="dxa"/>
            <w:shd w:val="clear" w:color="auto" w:fill="auto"/>
            <w:noWrap/>
            <w:vAlign w:val="center"/>
          </w:tcPr>
          <w:p w14:paraId="359432F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109.34 </w:t>
            </w:r>
          </w:p>
        </w:tc>
      </w:tr>
      <w:tr w14:paraId="04F7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52CD613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2</w:t>
            </w:r>
          </w:p>
        </w:tc>
        <w:tc>
          <w:tcPr>
            <w:tcW w:w="1102" w:type="pct"/>
            <w:shd w:val="clear" w:color="auto" w:fill="auto"/>
            <w:noWrap/>
            <w:vAlign w:val="center"/>
          </w:tcPr>
          <w:p w14:paraId="7CD74AC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咨询费</w:t>
            </w:r>
          </w:p>
        </w:tc>
        <w:tc>
          <w:tcPr>
            <w:tcW w:w="1388" w:type="dxa"/>
            <w:shd w:val="clear" w:color="auto" w:fill="auto"/>
            <w:noWrap/>
            <w:vAlign w:val="center"/>
          </w:tcPr>
          <w:p w14:paraId="2F540C6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121.48 </w:t>
            </w:r>
          </w:p>
        </w:tc>
        <w:tc>
          <w:tcPr>
            <w:tcW w:w="1079" w:type="dxa"/>
            <w:shd w:val="clear" w:color="auto" w:fill="auto"/>
            <w:noWrap/>
            <w:vAlign w:val="center"/>
          </w:tcPr>
          <w:p w14:paraId="00E7955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841" w:type="dxa"/>
            <w:shd w:val="clear" w:color="auto" w:fill="auto"/>
            <w:noWrap/>
            <w:vAlign w:val="center"/>
          </w:tcPr>
          <w:p w14:paraId="518AB97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1023" w:type="dxa"/>
            <w:shd w:val="clear" w:color="auto" w:fill="auto"/>
            <w:noWrap/>
            <w:vAlign w:val="center"/>
          </w:tcPr>
          <w:p w14:paraId="67CB24B5">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121.48 </w:t>
            </w:r>
          </w:p>
        </w:tc>
        <w:tc>
          <w:tcPr>
            <w:tcW w:w="968" w:type="dxa"/>
            <w:shd w:val="clear" w:color="auto" w:fill="auto"/>
            <w:noWrap/>
            <w:vAlign w:val="center"/>
          </w:tcPr>
          <w:p w14:paraId="35FFE5E9">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66.82 </w:t>
            </w:r>
          </w:p>
        </w:tc>
        <w:tc>
          <w:tcPr>
            <w:tcW w:w="1282" w:type="dxa"/>
            <w:shd w:val="clear" w:color="auto" w:fill="auto"/>
            <w:noWrap/>
            <w:vAlign w:val="center"/>
          </w:tcPr>
          <w:p w14:paraId="3954A18E">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54.67 </w:t>
            </w:r>
          </w:p>
        </w:tc>
      </w:tr>
      <w:tr w14:paraId="0079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75586504">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w:t>
            </w:r>
          </w:p>
        </w:tc>
        <w:tc>
          <w:tcPr>
            <w:tcW w:w="1102" w:type="pct"/>
            <w:shd w:val="clear" w:color="auto" w:fill="auto"/>
            <w:noWrap/>
            <w:vAlign w:val="center"/>
          </w:tcPr>
          <w:p w14:paraId="1C2FC8F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勘察设计费</w:t>
            </w:r>
          </w:p>
        </w:tc>
        <w:tc>
          <w:tcPr>
            <w:tcW w:w="1388" w:type="dxa"/>
            <w:shd w:val="clear" w:color="auto" w:fill="auto"/>
            <w:noWrap/>
            <w:vAlign w:val="center"/>
          </w:tcPr>
          <w:p w14:paraId="2C03780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485.94 </w:t>
            </w:r>
          </w:p>
        </w:tc>
        <w:tc>
          <w:tcPr>
            <w:tcW w:w="1079" w:type="dxa"/>
            <w:shd w:val="clear" w:color="auto" w:fill="auto"/>
            <w:noWrap/>
            <w:vAlign w:val="center"/>
          </w:tcPr>
          <w:p w14:paraId="293421A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841" w:type="dxa"/>
            <w:shd w:val="clear" w:color="auto" w:fill="auto"/>
            <w:noWrap/>
            <w:vAlign w:val="center"/>
          </w:tcPr>
          <w:p w14:paraId="75D4E05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1023" w:type="dxa"/>
            <w:shd w:val="clear" w:color="auto" w:fill="auto"/>
            <w:noWrap/>
            <w:vAlign w:val="center"/>
          </w:tcPr>
          <w:p w14:paraId="59C3C815">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485.94 </w:t>
            </w:r>
          </w:p>
        </w:tc>
        <w:tc>
          <w:tcPr>
            <w:tcW w:w="968" w:type="dxa"/>
            <w:shd w:val="clear" w:color="auto" w:fill="auto"/>
            <w:noWrap/>
            <w:vAlign w:val="center"/>
          </w:tcPr>
          <w:p w14:paraId="73AE48A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267.27 </w:t>
            </w:r>
          </w:p>
        </w:tc>
        <w:tc>
          <w:tcPr>
            <w:tcW w:w="1282" w:type="dxa"/>
            <w:shd w:val="clear" w:color="auto" w:fill="auto"/>
            <w:noWrap/>
            <w:vAlign w:val="center"/>
          </w:tcPr>
          <w:p w14:paraId="19F72778">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218.67 </w:t>
            </w:r>
          </w:p>
        </w:tc>
      </w:tr>
      <w:tr w14:paraId="5A42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459" w:type="pct"/>
            <w:shd w:val="clear" w:color="auto" w:fill="auto"/>
            <w:noWrap/>
            <w:vAlign w:val="center"/>
          </w:tcPr>
          <w:p w14:paraId="2B48E7E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4</w:t>
            </w:r>
          </w:p>
        </w:tc>
        <w:tc>
          <w:tcPr>
            <w:tcW w:w="1102" w:type="pct"/>
            <w:shd w:val="clear" w:color="auto" w:fill="auto"/>
            <w:noWrap/>
            <w:vAlign w:val="center"/>
          </w:tcPr>
          <w:p w14:paraId="553F17F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工程监理费</w:t>
            </w:r>
          </w:p>
        </w:tc>
        <w:tc>
          <w:tcPr>
            <w:tcW w:w="1388" w:type="dxa"/>
            <w:shd w:val="clear" w:color="auto" w:fill="auto"/>
            <w:noWrap/>
            <w:vAlign w:val="center"/>
          </w:tcPr>
          <w:p w14:paraId="093B082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364.45 </w:t>
            </w:r>
          </w:p>
        </w:tc>
        <w:tc>
          <w:tcPr>
            <w:tcW w:w="1079" w:type="dxa"/>
            <w:shd w:val="clear" w:color="auto" w:fill="auto"/>
            <w:noWrap/>
            <w:vAlign w:val="center"/>
          </w:tcPr>
          <w:p w14:paraId="59AAB90C">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841" w:type="dxa"/>
            <w:shd w:val="clear" w:color="auto" w:fill="auto"/>
            <w:noWrap/>
            <w:vAlign w:val="center"/>
          </w:tcPr>
          <w:p w14:paraId="4039404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1023" w:type="dxa"/>
            <w:shd w:val="clear" w:color="auto" w:fill="auto"/>
            <w:noWrap/>
            <w:vAlign w:val="center"/>
          </w:tcPr>
          <w:p w14:paraId="56C3FDA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364.45 </w:t>
            </w:r>
          </w:p>
        </w:tc>
        <w:tc>
          <w:tcPr>
            <w:tcW w:w="968" w:type="dxa"/>
            <w:shd w:val="clear" w:color="auto" w:fill="auto"/>
            <w:noWrap/>
            <w:vAlign w:val="center"/>
          </w:tcPr>
          <w:p w14:paraId="339E672A">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200.45 </w:t>
            </w:r>
          </w:p>
        </w:tc>
        <w:tc>
          <w:tcPr>
            <w:tcW w:w="1282" w:type="dxa"/>
            <w:shd w:val="clear" w:color="auto" w:fill="auto"/>
            <w:noWrap/>
            <w:vAlign w:val="center"/>
          </w:tcPr>
          <w:p w14:paraId="625E0043">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164.00 </w:t>
            </w:r>
          </w:p>
        </w:tc>
      </w:tr>
      <w:tr w14:paraId="1CBE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10DF67D6">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5</w:t>
            </w:r>
          </w:p>
        </w:tc>
        <w:tc>
          <w:tcPr>
            <w:tcW w:w="1102" w:type="pct"/>
            <w:shd w:val="clear" w:color="auto" w:fill="auto"/>
            <w:noWrap/>
            <w:vAlign w:val="center"/>
          </w:tcPr>
          <w:p w14:paraId="53AB0EBE">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招投标代理费</w:t>
            </w:r>
          </w:p>
        </w:tc>
        <w:tc>
          <w:tcPr>
            <w:tcW w:w="1388" w:type="dxa"/>
            <w:shd w:val="clear" w:color="auto" w:fill="auto"/>
            <w:noWrap/>
            <w:vAlign w:val="center"/>
          </w:tcPr>
          <w:p w14:paraId="3F79A131">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48.59 </w:t>
            </w:r>
          </w:p>
        </w:tc>
        <w:tc>
          <w:tcPr>
            <w:tcW w:w="1079" w:type="dxa"/>
            <w:shd w:val="clear" w:color="auto" w:fill="auto"/>
            <w:noWrap/>
            <w:vAlign w:val="center"/>
          </w:tcPr>
          <w:p w14:paraId="38FC3ED0">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841" w:type="dxa"/>
            <w:shd w:val="clear" w:color="auto" w:fill="auto"/>
            <w:noWrap/>
            <w:vAlign w:val="center"/>
          </w:tcPr>
          <w:p w14:paraId="60809D0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1023" w:type="dxa"/>
            <w:shd w:val="clear" w:color="auto" w:fill="auto"/>
            <w:noWrap/>
            <w:vAlign w:val="center"/>
          </w:tcPr>
          <w:p w14:paraId="64EB97CB">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48.59 </w:t>
            </w:r>
          </w:p>
        </w:tc>
        <w:tc>
          <w:tcPr>
            <w:tcW w:w="968" w:type="dxa"/>
            <w:shd w:val="clear" w:color="auto" w:fill="auto"/>
            <w:noWrap/>
            <w:vAlign w:val="center"/>
          </w:tcPr>
          <w:p w14:paraId="5AEBAF64">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26.73 </w:t>
            </w:r>
          </w:p>
        </w:tc>
        <w:tc>
          <w:tcPr>
            <w:tcW w:w="1282" w:type="dxa"/>
            <w:shd w:val="clear" w:color="auto" w:fill="auto"/>
            <w:noWrap/>
            <w:vAlign w:val="center"/>
          </w:tcPr>
          <w:p w14:paraId="125B7EB7">
            <w:pPr>
              <w:spacing w:line="240" w:lineRule="auto"/>
              <w:ind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 xml:space="preserve">21.87 </w:t>
            </w:r>
          </w:p>
        </w:tc>
      </w:tr>
      <w:tr w14:paraId="42AF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9" w:type="pct"/>
            <w:shd w:val="clear" w:color="auto" w:fill="auto"/>
            <w:noWrap/>
            <w:vAlign w:val="center"/>
          </w:tcPr>
          <w:p w14:paraId="2D04E41B">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三</w:t>
            </w:r>
          </w:p>
        </w:tc>
        <w:tc>
          <w:tcPr>
            <w:tcW w:w="1102" w:type="pct"/>
            <w:shd w:val="clear" w:color="auto" w:fill="auto"/>
            <w:noWrap/>
            <w:vAlign w:val="center"/>
          </w:tcPr>
          <w:p w14:paraId="17520B10">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预备费用</w:t>
            </w:r>
          </w:p>
        </w:tc>
        <w:tc>
          <w:tcPr>
            <w:tcW w:w="1388" w:type="dxa"/>
            <w:shd w:val="clear" w:color="auto" w:fill="auto"/>
            <w:noWrap/>
            <w:vAlign w:val="center"/>
          </w:tcPr>
          <w:p w14:paraId="1EF0ADE3">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1278.02 </w:t>
            </w:r>
          </w:p>
        </w:tc>
        <w:tc>
          <w:tcPr>
            <w:tcW w:w="1079" w:type="dxa"/>
            <w:shd w:val="clear" w:color="auto" w:fill="auto"/>
            <w:noWrap/>
            <w:vAlign w:val="center"/>
          </w:tcPr>
          <w:p w14:paraId="7E5F9415">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p>
        </w:tc>
        <w:tc>
          <w:tcPr>
            <w:tcW w:w="841" w:type="dxa"/>
            <w:shd w:val="clear" w:color="auto" w:fill="auto"/>
            <w:noWrap/>
            <w:vAlign w:val="center"/>
          </w:tcPr>
          <w:p w14:paraId="1D8BA0B0">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p>
        </w:tc>
        <w:tc>
          <w:tcPr>
            <w:tcW w:w="1023" w:type="dxa"/>
            <w:shd w:val="clear" w:color="auto" w:fill="auto"/>
            <w:noWrap/>
            <w:vAlign w:val="center"/>
          </w:tcPr>
          <w:p w14:paraId="5997A85F">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1278.02 </w:t>
            </w:r>
          </w:p>
        </w:tc>
        <w:tc>
          <w:tcPr>
            <w:tcW w:w="968" w:type="dxa"/>
            <w:shd w:val="clear" w:color="auto" w:fill="auto"/>
            <w:noWrap/>
            <w:vAlign w:val="center"/>
          </w:tcPr>
          <w:p w14:paraId="6D313666">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702.91 </w:t>
            </w:r>
          </w:p>
        </w:tc>
        <w:tc>
          <w:tcPr>
            <w:tcW w:w="1282" w:type="dxa"/>
            <w:shd w:val="clear" w:color="auto" w:fill="auto"/>
            <w:noWrap/>
            <w:vAlign w:val="center"/>
          </w:tcPr>
          <w:p w14:paraId="1228C1D6">
            <w:pPr>
              <w:spacing w:line="240" w:lineRule="auto"/>
              <w:ind w:firstLine="0" w:firstLineChars="0"/>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575.11 </w:t>
            </w:r>
          </w:p>
        </w:tc>
      </w:tr>
    </w:tbl>
    <w:p w14:paraId="620625AB">
      <w:pPr>
        <w:pStyle w:val="3"/>
        <w:rPr>
          <w:rFonts w:hint="default" w:ascii="Times New Roman" w:hAnsi="Times New Roman" w:cs="Times New Roman"/>
          <w:color w:val="auto"/>
          <w:highlight w:val="none"/>
        </w:rPr>
      </w:pPr>
      <w:bookmarkStart w:id="54" w:name="_Toc11791"/>
      <w:r>
        <w:rPr>
          <w:rFonts w:hint="eastAsia" w:ascii="Times New Roman" w:hAnsi="Times New Roman" w:cs="Times New Roman"/>
          <w:color w:val="auto"/>
          <w:highlight w:val="none"/>
          <w:lang w:val="en-US" w:eastAsia="zh-CN"/>
        </w:rPr>
        <w:t>6</w:t>
      </w:r>
      <w:r>
        <w:rPr>
          <w:rFonts w:hint="default" w:ascii="Times New Roman" w:hAnsi="Times New Roman" w:cs="Times New Roman"/>
          <w:color w:val="auto"/>
          <w:highlight w:val="none"/>
        </w:rPr>
        <w:t>.2投资安排</w:t>
      </w:r>
      <w:bookmarkEnd w:id="53"/>
      <w:bookmarkEnd w:id="54"/>
    </w:p>
    <w:p w14:paraId="56813EC0">
      <w:pPr>
        <w:pStyle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资金安排分为两期执行，其中近期（2026-2030年）投资9365.88万元，占总投资的34.89%；中长期（2031-2035年）投资17472.5万元，占总投资的65.11%。</w:t>
      </w:r>
    </w:p>
    <w:p w14:paraId="3BBB76F7">
      <w:pPr>
        <w:pStyle w:val="3"/>
        <w:rPr>
          <w:rFonts w:hint="default" w:ascii="Times New Roman" w:hAnsi="Times New Roman" w:cs="Times New Roman"/>
          <w:color w:val="auto"/>
          <w:highlight w:val="none"/>
          <w:lang w:val="en-US" w:eastAsia="zh-CN"/>
        </w:rPr>
      </w:pPr>
      <w:bookmarkStart w:id="55" w:name="_Toc26213"/>
      <w:bookmarkStart w:id="56" w:name="_Toc14468"/>
      <w:bookmarkStart w:id="57" w:name="_Toc24178"/>
      <w:r>
        <w:rPr>
          <w:rFonts w:hint="eastAsia" w:ascii="Times New Roman" w:hAnsi="Times New Roman" w:cs="Times New Roman"/>
          <w:color w:val="auto"/>
          <w:highlight w:val="none"/>
          <w:lang w:val="en-US" w:eastAsia="zh-CN"/>
        </w:rPr>
        <w:t>6</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bookmarkEnd w:id="55"/>
      <w:r>
        <w:rPr>
          <w:rFonts w:hint="default" w:ascii="Times New Roman" w:hAnsi="Times New Roman" w:cs="Times New Roman"/>
          <w:color w:val="auto"/>
          <w:highlight w:val="none"/>
          <w:lang w:val="en-US" w:eastAsia="zh-CN"/>
        </w:rPr>
        <w:t>资金来源</w:t>
      </w:r>
      <w:bookmarkEnd w:id="56"/>
    </w:p>
    <w:p w14:paraId="38519AAF">
      <w:p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按照事权划分的原则，本项目属于中央与地方共同财政事权，通过中央财政林业草原生态保护恢复资金中的“其他自然保护地和野生动植物保护支出”予以支持，同时要求地方配套投入。根据《自然保护区条例》“县级以上人民政府应当按照财政事权与支出责任划分原则将自然保护区管理工作所需经费列入本级预算”的规定，以及若尔盖保护区作为财政全额拨款事业单位的实际运行体制，中央财政资金通过林业草原生态保护恢复资金渠道安排，具体比例根据因素法分配确定；通过林业草原生态保护恢复资金渠道安排，具体比例根据因素法分配确定。</w:t>
      </w:r>
    </w:p>
    <w:p w14:paraId="51FDF42C">
      <w:pPr>
        <w:rPr>
          <w:rFonts w:hint="default" w:ascii="Times New Roman" w:hAnsi="Times New Roman" w:eastAsia="宋体" w:cs="Times New Roman"/>
          <w:i w:val="0"/>
          <w:iCs w:val="0"/>
          <w:caps w:val="0"/>
          <w:color w:val="0F1115"/>
          <w:spacing w:val="0"/>
          <w:sz w:val="24"/>
          <w:szCs w:val="24"/>
          <w:highlight w:val="none"/>
          <w:shd w:val="clear" w:fill="FFFFFF"/>
          <w:lang w:val="en-US" w:eastAsia="zh-CN"/>
        </w:rPr>
      </w:pPr>
      <w:r>
        <w:rPr>
          <w:rFonts w:hint="default" w:ascii="Times New Roman" w:hAnsi="Times New Roman" w:cs="Times New Roman"/>
          <w:highlight w:val="none"/>
          <w:lang w:val="en-US" w:eastAsia="zh-CN"/>
        </w:rPr>
        <w:t>生态旅游建设费用属于经营性事项，以企业投资为主。若尔盖保护区管理局下设多种经营科，承担因地制宜开展多种经营、生态旅游的职能。在不改变保护区保护目标、生态功能和主要保护对象的前提下，通过特许经营等市场化方式引入社会资本。</w:t>
      </w:r>
    </w:p>
    <w:bookmarkEnd w:id="57"/>
    <w:p w14:paraId="414C0FE9">
      <w:pPr>
        <w:pStyle w:val="2"/>
        <w:keepNext w:val="0"/>
        <w:keepLines/>
        <w:pageBreakBefore/>
        <w:widowControl w:val="0"/>
        <w:numPr>
          <w:ilvl w:val="0"/>
          <w:numId w:val="2"/>
        </w:numPr>
        <w:kinsoku/>
        <w:wordWrap/>
        <w:overflowPunct/>
        <w:topLinePunct w:val="0"/>
        <w:autoSpaceDE/>
        <w:autoSpaceDN/>
        <w:bidi w:val="0"/>
        <w:adjustRightInd/>
        <w:snapToGrid/>
        <w:spacing w:after="156"/>
        <w:ind w:left="0" w:leftChars="0" w:firstLine="0" w:firstLineChars="0"/>
        <w:textAlignment w:val="auto"/>
        <w:rPr>
          <w:rFonts w:hint="default" w:ascii="Times New Roman" w:hAnsi="Times New Roman" w:eastAsia="黑体" w:cs="Times New Roman"/>
          <w:color w:val="auto"/>
          <w:highlight w:val="none"/>
          <w:lang w:val="en-US" w:eastAsia="zh-CN"/>
        </w:rPr>
      </w:pPr>
      <w:bookmarkStart w:id="58" w:name="_Toc19213"/>
      <w:r>
        <w:rPr>
          <w:rFonts w:hint="default" w:ascii="Times New Roman" w:hAnsi="Times New Roman" w:cs="Times New Roman"/>
          <w:color w:val="auto"/>
          <w:highlight w:val="none"/>
          <w:lang w:val="en-US" w:eastAsia="zh-CN"/>
        </w:rPr>
        <w:t>效益评价</w:t>
      </w:r>
      <w:bookmarkEnd w:id="58"/>
    </w:p>
    <w:p w14:paraId="496CE8B0">
      <w:pPr>
        <w:pStyle w:val="3"/>
        <w:bidi w:val="0"/>
        <w:rPr>
          <w:rFonts w:hint="default" w:ascii="Times New Roman" w:hAnsi="Times New Roman" w:cs="Times New Roman"/>
          <w:color w:val="auto"/>
          <w:highlight w:val="none"/>
          <w:lang w:val="en-US" w:eastAsia="zh-CN"/>
        </w:rPr>
      </w:pPr>
      <w:bookmarkStart w:id="59" w:name="_Toc29029"/>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.1生态效益</w:t>
      </w:r>
      <w:bookmarkEnd w:id="59"/>
    </w:p>
    <w:p w14:paraId="1F812477">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通过</w:t>
      </w:r>
      <w:r>
        <w:rPr>
          <w:rFonts w:hint="default" w:ascii="Times New Roman" w:hAnsi="Times New Roman" w:cs="Times New Roman"/>
          <w:color w:val="auto"/>
          <w:highlight w:val="none"/>
          <w:lang w:eastAsia="zh-CN"/>
        </w:rPr>
        <w:t>若尔盖保护区</w:t>
      </w:r>
      <w:r>
        <w:rPr>
          <w:rFonts w:hint="default" w:ascii="Times New Roman" w:hAnsi="Times New Roman" w:cs="Times New Roman"/>
          <w:color w:val="auto"/>
          <w:highlight w:val="none"/>
        </w:rPr>
        <w:t>总体规划建设项目的实施，</w:t>
      </w:r>
      <w:r>
        <w:rPr>
          <w:rFonts w:hint="default" w:ascii="Times New Roman" w:hAnsi="Times New Roman" w:cs="Times New Roman"/>
          <w:color w:val="auto"/>
          <w:highlight w:val="none"/>
          <w:lang w:eastAsia="zh-CN"/>
        </w:rPr>
        <w:t>可促进</w:t>
      </w:r>
      <w:r>
        <w:rPr>
          <w:rFonts w:hint="default" w:ascii="Times New Roman" w:hAnsi="Times New Roman" w:cs="Times New Roman"/>
          <w:color w:val="auto"/>
          <w:highlight w:val="none"/>
        </w:rPr>
        <w:t>保护区内的保护、管理、科研、社区发展等各项工作水平大幅提升，</w:t>
      </w:r>
      <w:r>
        <w:rPr>
          <w:rFonts w:hint="default" w:ascii="Times New Roman" w:hAnsi="Times New Roman" w:cs="Times New Roman"/>
          <w:color w:val="auto"/>
          <w:highlight w:val="none"/>
          <w:lang w:eastAsia="zh-CN"/>
        </w:rPr>
        <w:t>可</w:t>
      </w:r>
      <w:r>
        <w:rPr>
          <w:rFonts w:hint="default" w:ascii="Times New Roman" w:hAnsi="Times New Roman" w:cs="Times New Roman"/>
          <w:color w:val="auto"/>
          <w:highlight w:val="none"/>
        </w:rPr>
        <w:t>更好地发挥出</w:t>
      </w:r>
      <w:r>
        <w:rPr>
          <w:rFonts w:hint="default" w:ascii="Times New Roman" w:hAnsi="Times New Roman" w:cs="Times New Roman"/>
          <w:color w:val="auto"/>
          <w:highlight w:val="none"/>
          <w:lang w:eastAsia="zh-CN"/>
        </w:rPr>
        <w:t>若尔盖保护区</w:t>
      </w:r>
      <w:r>
        <w:rPr>
          <w:rFonts w:hint="default" w:ascii="Times New Roman" w:hAnsi="Times New Roman" w:cs="Times New Roman"/>
          <w:color w:val="auto"/>
          <w:highlight w:val="none"/>
        </w:rPr>
        <w:t>的生态效益、社会效益和经济效益。</w:t>
      </w:r>
    </w:p>
    <w:p w14:paraId="5B687B33">
      <w:pPr>
        <w:ind w:firstLine="56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highlight w:val="none"/>
          <w:lang w:val="en-US" w:eastAsia="zh-CN"/>
        </w:rPr>
        <w:t>保护区</w:t>
      </w:r>
      <w:r>
        <w:rPr>
          <w:rFonts w:hint="default" w:ascii="Times New Roman" w:hAnsi="Times New Roman" w:cs="Times New Roman"/>
          <w:color w:val="auto"/>
          <w:highlight w:val="none"/>
        </w:rPr>
        <w:t>通过实施湿地修复、草原保护、生物多样性管控等一系列措施，生态效益显著，核心体现在生态系统修复、生态功能提升和生物多样性保护三个方面，契合若尔盖县“生态优先、绿色发展”理念，助力黄河上游生态屏障建设</w:t>
      </w:r>
      <w:r>
        <w:rPr>
          <w:rFonts w:hint="default" w:ascii="Times New Roman" w:hAnsi="Times New Roman" w:cs="Times New Roman"/>
          <w:color w:val="auto"/>
          <w:highlight w:val="none"/>
          <w:lang w:eastAsia="zh-CN"/>
        </w:rPr>
        <w:t>。</w:t>
      </w:r>
    </w:p>
    <w:p w14:paraId="5DD73143">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湿地生态系统持续修复：通过泥炭沼泽水文连通修复、湿地补水、围栏封禁等措施，有效遏制</w:t>
      </w:r>
      <w:r>
        <w:rPr>
          <w:rFonts w:hint="default" w:ascii="Times New Roman" w:hAnsi="Times New Roman" w:cs="Times New Roman"/>
          <w:color w:val="auto"/>
          <w:highlight w:val="none"/>
          <w:lang w:val="en-US" w:eastAsia="zh-CN"/>
        </w:rPr>
        <w:t>保护区</w:t>
      </w:r>
      <w:r>
        <w:rPr>
          <w:rFonts w:hint="default" w:ascii="Times New Roman" w:hAnsi="Times New Roman" w:cs="Times New Roman"/>
          <w:color w:val="auto"/>
          <w:highlight w:val="none"/>
        </w:rPr>
        <w:t>内泥炭沼泽湿地萎缩退化趋势，提升湿地水文连通性，减少泥炭层分解和碳库流失，增强若尔盖县“固体高原水库”的水源涵养能力，保障黄河上游（若尔盖段）水资源供给，改善区域水文环境，缓解湿地沙化、退化压力，推动湿地生态系统向健康稳定方向发展。</w:t>
      </w:r>
    </w:p>
    <w:p w14:paraId="629289BB">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生态功能显著提升：通过草原改良、草畜平衡、鼠虫害防治、毒杂草清除等工作，提升</w:t>
      </w:r>
      <w:r>
        <w:rPr>
          <w:rFonts w:hint="default" w:ascii="Times New Roman" w:hAnsi="Times New Roman" w:cs="Times New Roman"/>
          <w:color w:val="auto"/>
          <w:highlight w:val="none"/>
          <w:lang w:val="en-US" w:eastAsia="zh-CN"/>
        </w:rPr>
        <w:t>保护区</w:t>
      </w:r>
      <w:r>
        <w:rPr>
          <w:rFonts w:hint="default" w:ascii="Times New Roman" w:hAnsi="Times New Roman" w:cs="Times New Roman"/>
          <w:color w:val="auto"/>
          <w:highlight w:val="none"/>
        </w:rPr>
        <w:t>内草原植被盖度，增强草原固土保水、防风固沙能力，减少水土流失和沙化扩张，改善区域气候环境，调节局部小气候，降低草原火灾、滑坡、泥石流等自然灾害发生频率，筑牢青藏高原东缘生态安全屏障。</w:t>
      </w:r>
    </w:p>
    <w:p w14:paraId="55C93DDC">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生物多样性得到有效保护：通过黑颈鹤栖息地改造、珍稀物种监测、非法盗猎打击等措施，改善黑颈鹤、黑鹳等珍稀鸟类的栖息环境，稳定并提升珍稀物种种群数量，维护草原</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湿地复合生态系统的完整性，丰富区域生物群落结构，保护生物多样性，推动若尔盖县生物多样性保护工作落地见效，践行生态文明建设相关要求。</w:t>
      </w:r>
    </w:p>
    <w:p w14:paraId="3A9987C8">
      <w:pPr>
        <w:pStyle w:val="3"/>
        <w:bidi w:val="0"/>
        <w:rPr>
          <w:rFonts w:hint="default" w:ascii="Times New Roman" w:hAnsi="Times New Roman" w:cs="Times New Roman"/>
          <w:color w:val="auto"/>
          <w:highlight w:val="none"/>
          <w:lang w:val="en-US" w:eastAsia="zh-CN"/>
        </w:rPr>
      </w:pPr>
      <w:bookmarkStart w:id="60" w:name="_Toc18801"/>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.2 社会效益​</w:t>
      </w:r>
      <w:bookmarkEnd w:id="60"/>
      <w:r>
        <w:rPr>
          <w:rFonts w:hint="default" w:ascii="Times New Roman" w:hAnsi="Times New Roman" w:cs="Times New Roman"/>
          <w:color w:val="auto"/>
          <w:highlight w:val="none"/>
          <w:lang w:val="en-US" w:eastAsia="zh-CN"/>
        </w:rPr>
        <w:t xml:space="preserve">   </w:t>
      </w:r>
    </w:p>
    <w:p w14:paraId="35F0FB63">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推动社区生计转型提质：通过生态补偿、转产培训、产业扶持等措施，拓宽若尔盖县等保护区周边牧民生计来源，推动牧民从传统放牧向生态管护、生态旅游服务、传统手工艺制作等绿色产业转型，实现“减畜不减收”，提升牧民收入水平和生活质量，助力乡村振兴战略在若尔盖县落地实施。</w:t>
      </w:r>
    </w:p>
    <w:p w14:paraId="2C1AC313">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化解社区矛盾，维护社会稳定：通过健全社区共管机制、搭建议事协商平台，化解生态保护与牧民生计、旅游开发之间的矛盾，促进社区和谐；优先吸纳本地牧民（尤其是脱贫户）担任生态管护员，带动牧民就业，增强牧民获得感、幸福感和安全感，维护若尔盖县藏区社会稳定。</w:t>
      </w:r>
    </w:p>
    <w:p w14:paraId="346F4FE9">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传承弘扬地方特色文化：通过开展传统文化保护、手工艺扶持、民俗宣传等工作，保护若尔盖县藏族游牧文化、湿地传统利用智慧、唐卡和藏毯制作等传统手工艺，推动传统文化与生态旅游、科普宣教深度融合，丰富社区文化生活。</w:t>
      </w:r>
    </w:p>
    <w:p w14:paraId="646E84EB">
      <w:pPr>
        <w:ind w:firstLine="56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提升全民生态保护素养：通过藏汉双语法规宣讲、校园科普、户外宣传、生态旅游体验等多种形式，普及生态保护知识和相关法律法规，提升若尔盖县本地牧民、旅游从业人员、游客的生态保护意识，引导全社会形成“尊重自然、顺应自然、保护自然”的良好风尚，为保护区长期保护管理奠定坚实的社会基础。</w:t>
      </w:r>
    </w:p>
    <w:p w14:paraId="101BBAEE">
      <w:pPr>
        <w:pStyle w:val="3"/>
        <w:bidi w:val="0"/>
        <w:rPr>
          <w:rFonts w:hint="default" w:ascii="Times New Roman" w:hAnsi="Times New Roman" w:cs="Times New Roman"/>
          <w:color w:val="auto"/>
          <w:highlight w:val="none"/>
          <w:lang w:val="en-US" w:eastAsia="zh-CN"/>
        </w:rPr>
      </w:pPr>
      <w:bookmarkStart w:id="61" w:name="_Toc28998"/>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.3 经济效益</w:t>
      </w:r>
      <w:bookmarkEnd w:id="61"/>
    </w:p>
    <w:p w14:paraId="2D7051FA">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立足若尔盖县生态资源优势，构建“生态优先、绿色发展”的经济效益模式，实现生态保护与经济发展双赢，推动县域经济高质量发展，具体体现在以下方面：</w:t>
      </w:r>
    </w:p>
    <w:p w14:paraId="3A1936E4">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生态补偿与项目带动效益：通过争取国家、省级生态补偿资金、重点生态功能区转移支付、生态修复项目资金等，为若尔盖县带来稳定的资金流入，弥补县域财政投入不足，同时带动生态修复、科研监测、基础设施建设等相关产业发展，创造大量临时就业岗位，促进县域经济增长。</w:t>
      </w:r>
    </w:p>
    <w:p w14:paraId="446AC96A">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绿色产业提质增效：依托生态旅游资源，规范生态旅游开发，合理收取生态旅游管理费，推动生态旅游与藏家民宿、传统手工艺、生态畜牧业深度融合，打造特色生态旅游品牌，提升旅游附加值；扶持生态畜牧业发展，推广科学养殖模式，提升草产品、畜产品品质，拓宽销售渠道，增加牧民经营性收入。</w:t>
      </w:r>
    </w:p>
    <w:p w14:paraId="374B2620">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生态产品价值实现：探索泥炭沼泽碳汇交易、生态产品认购等模式，推动若尔盖县生态资源转化为经济资源，拓宽资金来源渠道，同时吸引社会资本参与保护区建设和管理，形成“生态保护</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价值实现</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再保护”的良性循环，为县域经济发展注入新动力。</w:t>
      </w:r>
    </w:p>
    <w:p w14:paraId="09EE5015">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降低生态灾害经济损失：通过完善草原防火、</w:t>
      </w:r>
      <w:r>
        <w:rPr>
          <w:rFonts w:hint="default" w:ascii="Times New Roman" w:hAnsi="Times New Roman" w:cs="Times New Roman"/>
          <w:color w:val="auto"/>
          <w:highlight w:val="none"/>
          <w:lang w:val="en-US" w:eastAsia="zh-CN"/>
        </w:rPr>
        <w:t>自然</w:t>
      </w:r>
      <w:r>
        <w:rPr>
          <w:rFonts w:hint="default" w:ascii="Times New Roman" w:hAnsi="Times New Roman" w:cs="Times New Roman"/>
          <w:color w:val="auto"/>
          <w:highlight w:val="none"/>
        </w:rPr>
        <w:t>灾害防控等体系，推广生态修复技术，降低草原火灾、沙化、滑坡、泥石流等自然灾害发生频率和危害程度，减少自然灾害造成的畜牧业损失、基础设施损毁等经济成本，间接提升县域经济发展的稳定性。</w:t>
      </w:r>
    </w:p>
    <w:p w14:paraId="5D6246ED">
      <w:pPr>
        <w:pStyle w:val="3"/>
        <w:bidi w:val="0"/>
        <w:rPr>
          <w:rFonts w:hint="default" w:ascii="Times New Roman" w:hAnsi="Times New Roman" w:cs="Times New Roman"/>
          <w:color w:val="auto"/>
          <w:highlight w:val="none"/>
          <w:lang w:val="en-US" w:eastAsia="zh-CN"/>
        </w:rPr>
      </w:pPr>
      <w:bookmarkStart w:id="62" w:name="_Toc30284"/>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.4 总体评价</w:t>
      </w:r>
      <w:bookmarkEnd w:id="62"/>
    </w:p>
    <w:p w14:paraId="41203FAE">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综合来看，</w:t>
      </w:r>
      <w:r>
        <w:rPr>
          <w:rFonts w:hint="default" w:ascii="Times New Roman" w:hAnsi="Times New Roman" w:cs="Times New Roman"/>
          <w:color w:val="auto"/>
          <w:highlight w:val="none"/>
          <w:lang w:val="en-US" w:eastAsia="zh-CN"/>
        </w:rPr>
        <w:t>通过</w:t>
      </w:r>
      <w:r>
        <w:rPr>
          <w:rFonts w:hint="default" w:ascii="Times New Roman" w:hAnsi="Times New Roman" w:cs="Times New Roman"/>
          <w:color w:val="auto"/>
          <w:highlight w:val="none"/>
        </w:rPr>
        <w:t>自然保护区</w:t>
      </w:r>
      <w:r>
        <w:rPr>
          <w:rFonts w:hint="default" w:ascii="Times New Roman" w:hAnsi="Times New Roman" w:cs="Times New Roman"/>
          <w:color w:val="auto"/>
          <w:highlight w:val="none"/>
          <w:lang w:val="en-US" w:eastAsia="zh-CN"/>
        </w:rPr>
        <w:t>总规的实施</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可以</w:t>
      </w:r>
      <w:r>
        <w:rPr>
          <w:rFonts w:hint="default" w:ascii="Times New Roman" w:hAnsi="Times New Roman" w:cs="Times New Roman"/>
          <w:color w:val="auto"/>
          <w:highlight w:val="none"/>
        </w:rPr>
        <w:t>实现生态效益、社会效益、经济效益的有机统一，总体效益显著，符合党的二十大生态文明建设要求和若尔盖县县域发展规划，具体评价如下：</w:t>
      </w:r>
    </w:p>
    <w:p w14:paraId="7796DC44">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生态效益突出，筑牢生态安全屏障：通过一系列生态保护和修复措施，有效遏制了</w:t>
      </w:r>
      <w:r>
        <w:rPr>
          <w:rFonts w:hint="default" w:ascii="Times New Roman" w:hAnsi="Times New Roman" w:cs="Times New Roman"/>
          <w:color w:val="auto"/>
          <w:highlight w:val="none"/>
          <w:lang w:val="en-US" w:eastAsia="zh-CN"/>
        </w:rPr>
        <w:t>保护区</w:t>
      </w:r>
      <w:r>
        <w:rPr>
          <w:rFonts w:hint="default" w:ascii="Times New Roman" w:hAnsi="Times New Roman" w:cs="Times New Roman"/>
          <w:color w:val="auto"/>
          <w:highlight w:val="none"/>
        </w:rPr>
        <w:t>内湿地退化、草原沙化、生物多样性下降等问题，提升了水源涵养、固碳释氧、防风固沙等生态功能，为黄河上游生态安全提供了有力保障，践行了“绿水青山就是金山银山”的发展理念。</w:t>
      </w:r>
    </w:p>
    <w:p w14:paraId="5495E08E">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社会效益显著，助力民生改善与社会稳定：通过生计转型、社区共管、文化传承等工作，有效化解了生态保护与牧民生计之间的矛盾，提升牧民生活水平，维护藏区社会稳定，促进社区和谐发展，实现了“生态惠民、生态利民、生态为民”的目标。</w:t>
      </w:r>
    </w:p>
    <w:p w14:paraId="02545149">
      <w:pPr>
        <w:ind w:firstLine="560"/>
        <w:rPr>
          <w:rFonts w:hint="default" w:ascii="Times New Roman" w:hAnsi="Times New Roman" w:cs="Times New Roman"/>
          <w:color w:val="auto"/>
          <w:highlight w:val="none"/>
        </w:rPr>
      </w:pPr>
      <w:r>
        <w:rPr>
          <w:rFonts w:hint="default" w:ascii="Times New Roman" w:hAnsi="Times New Roman" w:cs="Times New Roman"/>
          <w:color w:val="auto"/>
          <w:highlight w:val="none"/>
        </w:rPr>
        <w:t>经济效益可持续，推动绿色发展：构建了以生态补偿为基础、绿色产业为支撑、生态产品价值实现为补充的可持续经济发展模式，既避免了过度开发对生态环境的破坏，又推动了县域经济高质量发展，实现了生态保护与经济发展的双赢。</w:t>
      </w:r>
    </w:p>
    <w:p w14:paraId="642B0942">
      <w:pPr>
        <w:ind w:firstLine="560"/>
        <w:rPr>
          <w:rFonts w:hint="default" w:ascii="Times New Roman" w:hAnsi="Times New Roman" w:eastAsia="黑体" w:cs="Times New Roman"/>
          <w:b/>
          <w:color w:val="auto"/>
          <w:kern w:val="28"/>
          <w:sz w:val="36"/>
          <w:szCs w:val="44"/>
          <w:highlight w:val="none"/>
        </w:rPr>
      </w:pPr>
      <w:r>
        <w:rPr>
          <w:rFonts w:hint="default" w:ascii="Times New Roman" w:hAnsi="Times New Roman" w:cs="Times New Roman"/>
          <w:color w:val="auto"/>
          <w:highlight w:val="none"/>
        </w:rPr>
        <w:t>各项效益相互支撑、协同发力，不仅有效化解了保护区面临的各类风险，还为若尔盖县生态文明建设、乡村振兴、文化传承提供了有力支撑，总体符合保护区总体规划要求，长期实施后，将进一步提升保护区保护管理水平，实现生态、社会、经济三大效益的持续提升，推动若尔盖县建成生态优美、民生改善、文化繁荣的绿色发展示范区域。</w:t>
      </w:r>
    </w:p>
    <w:p w14:paraId="164DA9D1">
      <w:pPr>
        <w:rPr>
          <w:rFonts w:hint="default" w:ascii="Times New Roman" w:hAnsi="Times New Roman" w:cs="Times New Roman"/>
          <w:highlight w:val="none"/>
          <w:lang w:eastAsia="zh-CN"/>
        </w:rPr>
      </w:pPr>
    </w:p>
    <w:p w14:paraId="6F2D1298">
      <w:pPr>
        <w:bidi w:val="0"/>
        <w:rPr>
          <w:rFonts w:hint="default" w:eastAsia="仿宋" w:asciiTheme="minorHAnsi" w:hAnsiTheme="minorHAnsi" w:cstheme="minorBidi"/>
          <w:kern w:val="2"/>
          <w:sz w:val="28"/>
          <w:szCs w:val="24"/>
          <w:lang w:val="en-US" w:eastAsia="zh-CN" w:bidi="ar-SA"/>
        </w:rPr>
      </w:pPr>
    </w:p>
    <w:p w14:paraId="3BAA9D9A">
      <w:pPr>
        <w:bidi w:val="0"/>
        <w:rPr>
          <w:rFonts w:hint="default"/>
          <w:lang w:val="en-US" w:eastAsia="zh-CN"/>
        </w:rPr>
      </w:pPr>
    </w:p>
    <w:p w14:paraId="687F61B6">
      <w:pPr>
        <w:bidi w:val="0"/>
        <w:rPr>
          <w:rFonts w:hint="default"/>
          <w:lang w:val="en-US" w:eastAsia="zh-CN"/>
        </w:rPr>
      </w:pPr>
    </w:p>
    <w:p w14:paraId="08D8A708">
      <w:pPr>
        <w:tabs>
          <w:tab w:val="left" w:pos="1386"/>
        </w:tabs>
        <w:bidi w:val="0"/>
        <w:jc w:val="left"/>
        <w:rPr>
          <w:rFonts w:hint="eastAsia"/>
          <w:lang w:val="en-US" w:eastAsia="zh-CN"/>
        </w:rPr>
      </w:pPr>
      <w:r>
        <w:rPr>
          <w:rFonts w:hint="eastAsia"/>
          <w:lang w:val="en-US" w:eastAsia="zh-CN"/>
        </w:rPr>
        <w:tab/>
      </w:r>
    </w:p>
    <w:p w14:paraId="44971AE8">
      <w:pPr>
        <w:pStyle w:val="14"/>
        <w:rPr>
          <w:rFonts w:hint="default"/>
          <w:lang w:val="en-US" w:eastAsia="zh-CN"/>
        </w:rPr>
      </w:pPr>
      <w:r>
        <w:rPr>
          <w:sz w:val="20"/>
        </w:rPr>
        <w:drawing>
          <wp:anchor distT="0" distB="0" distL="0" distR="0" simplePos="0" relativeHeight="251659264" behindDoc="0" locked="0" layoutInCell="1" allowOverlap="1">
            <wp:simplePos x="0" y="0"/>
            <wp:positionH relativeFrom="column">
              <wp:posOffset>-729615</wp:posOffset>
            </wp:positionH>
            <wp:positionV relativeFrom="paragraph">
              <wp:posOffset>-758825</wp:posOffset>
            </wp:positionV>
            <wp:extent cx="7192645" cy="10242550"/>
            <wp:effectExtent l="0" t="0" r="8255" b="635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14" cstate="print"/>
                    <a:stretch>
                      <a:fillRect/>
                    </a:stretch>
                  </pic:blipFill>
                  <pic:spPr>
                    <a:xfrm>
                      <a:off x="0" y="0"/>
                      <a:ext cx="7192645" cy="10242550"/>
                    </a:xfrm>
                    <a:prstGeom prst="rect">
                      <a:avLst/>
                    </a:prstGeom>
                  </pic:spPr>
                </pic:pic>
              </a:graphicData>
            </a:graphic>
          </wp:anchor>
        </w:drawing>
      </w:r>
    </w:p>
    <w:p w14:paraId="6DDC2CFB">
      <w:pPr>
        <w:pStyle w:val="14"/>
        <w:rPr>
          <w:rFonts w:hint="default"/>
          <w:lang w:val="en-US" w:eastAsia="zh-CN"/>
        </w:rPr>
      </w:pPr>
    </w:p>
    <w:p w14:paraId="3D8861AC">
      <w:pPr>
        <w:pStyle w:val="14"/>
        <w:rPr>
          <w:rFonts w:hint="default"/>
          <w:lang w:val="en-US" w:eastAsia="zh-CN"/>
        </w:rPr>
      </w:pPr>
    </w:p>
    <w:p w14:paraId="22AB2485">
      <w:pPr>
        <w:pStyle w:val="14"/>
        <w:rPr>
          <w:rFonts w:hint="default"/>
          <w:lang w:val="en-US" w:eastAsia="zh-CN"/>
        </w:rPr>
      </w:pPr>
    </w:p>
    <w:p w14:paraId="36DC1D3E">
      <w:pPr>
        <w:pStyle w:val="14"/>
        <w:rPr>
          <w:rFonts w:hint="default"/>
          <w:lang w:val="en-US" w:eastAsia="zh-CN"/>
        </w:rPr>
      </w:pPr>
    </w:p>
    <w:p w14:paraId="091BABF6">
      <w:pPr>
        <w:pStyle w:val="14"/>
        <w:rPr>
          <w:rFonts w:hint="default"/>
          <w:lang w:val="en-US" w:eastAsia="zh-CN"/>
        </w:rPr>
      </w:pPr>
    </w:p>
    <w:p w14:paraId="663EE602">
      <w:pPr>
        <w:pStyle w:val="14"/>
        <w:rPr>
          <w:rFonts w:hint="default"/>
          <w:lang w:val="en-US" w:eastAsia="zh-CN"/>
        </w:rPr>
      </w:pPr>
    </w:p>
    <w:p w14:paraId="7DD3EF2A">
      <w:pPr>
        <w:pStyle w:val="14"/>
        <w:rPr>
          <w:rFonts w:hint="default"/>
          <w:lang w:val="en-US" w:eastAsia="zh-CN"/>
        </w:rPr>
      </w:pPr>
    </w:p>
    <w:p w14:paraId="4F886EDC">
      <w:pPr>
        <w:pStyle w:val="14"/>
        <w:rPr>
          <w:rFonts w:hint="default"/>
          <w:lang w:val="en-US" w:eastAsia="zh-CN"/>
        </w:rPr>
      </w:pPr>
    </w:p>
    <w:p w14:paraId="220B2C28">
      <w:pPr>
        <w:pStyle w:val="14"/>
        <w:rPr>
          <w:rFonts w:hint="default"/>
          <w:lang w:val="en-US" w:eastAsia="zh-CN"/>
        </w:rPr>
      </w:pPr>
    </w:p>
    <w:p w14:paraId="29A771D6">
      <w:pPr>
        <w:pStyle w:val="14"/>
        <w:rPr>
          <w:rFonts w:hint="default"/>
          <w:lang w:val="en-US" w:eastAsia="zh-CN"/>
        </w:rPr>
      </w:pPr>
    </w:p>
    <w:p w14:paraId="01169E2E">
      <w:pPr>
        <w:pStyle w:val="14"/>
        <w:rPr>
          <w:rFonts w:hint="default"/>
          <w:lang w:val="en-US" w:eastAsia="zh-CN"/>
        </w:rPr>
      </w:pPr>
    </w:p>
    <w:p w14:paraId="0B8A9FC4">
      <w:pPr>
        <w:pStyle w:val="14"/>
        <w:rPr>
          <w:rFonts w:hint="default"/>
          <w:lang w:val="en-US" w:eastAsia="zh-CN"/>
        </w:rPr>
      </w:pPr>
    </w:p>
    <w:p w14:paraId="40AFE433">
      <w:pPr>
        <w:pStyle w:val="14"/>
        <w:rPr>
          <w:rFonts w:hint="default"/>
          <w:lang w:val="en-US" w:eastAsia="zh-CN"/>
        </w:rPr>
      </w:pPr>
    </w:p>
    <w:p w14:paraId="320A845E">
      <w:pPr>
        <w:pStyle w:val="14"/>
        <w:rPr>
          <w:rFonts w:hint="default"/>
          <w:lang w:val="en-US" w:eastAsia="zh-CN"/>
        </w:rPr>
      </w:pPr>
    </w:p>
    <w:p w14:paraId="3A6D36FB">
      <w:pPr>
        <w:pStyle w:val="14"/>
        <w:rPr>
          <w:rFonts w:hint="default"/>
          <w:lang w:val="en-US" w:eastAsia="zh-CN"/>
        </w:rPr>
      </w:pPr>
    </w:p>
    <w:p w14:paraId="6613FA5E">
      <w:pPr>
        <w:pStyle w:val="14"/>
        <w:rPr>
          <w:rFonts w:hint="default"/>
          <w:lang w:val="en-US" w:eastAsia="zh-CN"/>
        </w:rPr>
      </w:pPr>
    </w:p>
    <w:p w14:paraId="4C22B141">
      <w:pPr>
        <w:pStyle w:val="14"/>
        <w:rPr>
          <w:rFonts w:hint="default"/>
          <w:lang w:val="en-US" w:eastAsia="zh-CN"/>
        </w:rPr>
      </w:pPr>
    </w:p>
    <w:p w14:paraId="20501C99">
      <w:pPr>
        <w:pStyle w:val="14"/>
        <w:rPr>
          <w:rFonts w:hint="default"/>
          <w:lang w:val="en-US" w:eastAsia="zh-CN"/>
        </w:rPr>
      </w:pPr>
    </w:p>
    <w:p w14:paraId="04CBA357">
      <w:pPr>
        <w:pStyle w:val="14"/>
        <w:rPr>
          <w:rFonts w:hint="default"/>
          <w:lang w:val="en-US" w:eastAsia="zh-CN"/>
        </w:rPr>
      </w:pPr>
    </w:p>
    <w:p w14:paraId="41238A6D">
      <w:pPr>
        <w:pStyle w:val="14"/>
        <w:rPr>
          <w:rFonts w:hint="default"/>
          <w:lang w:val="en-US" w:eastAsia="zh-CN"/>
        </w:rPr>
      </w:pPr>
    </w:p>
    <w:p w14:paraId="4BBE0994">
      <w:pPr>
        <w:pStyle w:val="14"/>
        <w:rPr>
          <w:rFonts w:hint="default"/>
          <w:lang w:val="en-US" w:eastAsia="zh-CN"/>
        </w:rPr>
      </w:pPr>
    </w:p>
    <w:p w14:paraId="25CB051E">
      <w:pPr>
        <w:pStyle w:val="14"/>
        <w:rPr>
          <w:rFonts w:hint="default"/>
          <w:lang w:val="en-US" w:eastAsia="zh-CN"/>
        </w:rPr>
      </w:pPr>
    </w:p>
    <w:p w14:paraId="4FAA674A">
      <w:pPr>
        <w:pStyle w:val="14"/>
        <w:rPr>
          <w:rFonts w:hint="default"/>
          <w:lang w:val="en-US" w:eastAsia="zh-CN"/>
        </w:rPr>
      </w:pPr>
    </w:p>
    <w:p w14:paraId="6F61AAA7">
      <w:pPr>
        <w:pStyle w:val="14"/>
        <w:rPr>
          <w:rFonts w:hint="default"/>
          <w:lang w:val="en-US" w:eastAsia="zh-CN"/>
        </w:rPr>
      </w:pPr>
    </w:p>
    <w:p w14:paraId="6BCA7ADA">
      <w:pPr>
        <w:pStyle w:val="14"/>
        <w:rPr>
          <w:rFonts w:hint="default"/>
          <w:lang w:val="en-US" w:eastAsia="zh-CN"/>
        </w:rPr>
      </w:pPr>
    </w:p>
    <w:p w14:paraId="49085A5D">
      <w:pPr>
        <w:pStyle w:val="14"/>
        <w:rPr>
          <w:rFonts w:hint="default"/>
          <w:lang w:val="en-US" w:eastAsia="zh-CN"/>
        </w:rPr>
      </w:pPr>
    </w:p>
    <w:p w14:paraId="6E11A93A">
      <w:pPr>
        <w:pStyle w:val="14"/>
        <w:rPr>
          <w:rFonts w:hint="default"/>
          <w:lang w:val="en-US" w:eastAsia="zh-CN"/>
        </w:rPr>
      </w:pPr>
    </w:p>
    <w:p w14:paraId="297071F4">
      <w:pPr>
        <w:pStyle w:val="14"/>
        <w:rPr>
          <w:rFonts w:hint="default"/>
          <w:lang w:val="en-US" w:eastAsia="zh-CN"/>
        </w:rPr>
      </w:pPr>
    </w:p>
    <w:p w14:paraId="44D1FFF9">
      <w:pPr>
        <w:pStyle w:val="14"/>
        <w:rPr>
          <w:rFonts w:hint="default"/>
          <w:lang w:val="en-US" w:eastAsia="zh-CN"/>
        </w:rPr>
      </w:pPr>
    </w:p>
    <w:p w14:paraId="5F2CAD84">
      <w:pPr>
        <w:pStyle w:val="14"/>
        <w:rPr>
          <w:rFonts w:hint="default"/>
          <w:lang w:val="en-US" w:eastAsia="zh-CN"/>
        </w:rPr>
      </w:pPr>
      <w:r>
        <w:rPr>
          <w:sz w:val="20"/>
        </w:rPr>
        <w:drawing>
          <wp:anchor distT="0" distB="0" distL="0" distR="0" simplePos="0" relativeHeight="251660288" behindDoc="0" locked="0" layoutInCell="1" allowOverlap="1">
            <wp:simplePos x="0" y="0"/>
            <wp:positionH relativeFrom="column">
              <wp:posOffset>-688975</wp:posOffset>
            </wp:positionH>
            <wp:positionV relativeFrom="paragraph">
              <wp:posOffset>-792480</wp:posOffset>
            </wp:positionV>
            <wp:extent cx="7192645" cy="10242550"/>
            <wp:effectExtent l="0" t="0" r="8255" b="635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15" cstate="print"/>
                    <a:stretch>
                      <a:fillRect/>
                    </a:stretch>
                  </pic:blipFill>
                  <pic:spPr>
                    <a:xfrm>
                      <a:off x="0" y="0"/>
                      <a:ext cx="7192795" cy="10242804"/>
                    </a:xfrm>
                    <a:prstGeom prst="rect">
                      <a:avLst/>
                    </a:prstGeom>
                  </pic:spPr>
                </pic:pic>
              </a:graphicData>
            </a:graphic>
          </wp:anchor>
        </w:drawing>
      </w:r>
    </w:p>
    <w:p w14:paraId="4D97A861">
      <w:pPr>
        <w:pStyle w:val="14"/>
        <w:rPr>
          <w:rFonts w:hint="default"/>
          <w:lang w:val="en-US" w:eastAsia="zh-CN"/>
        </w:rPr>
      </w:pPr>
    </w:p>
    <w:p w14:paraId="2F5C7837">
      <w:pPr>
        <w:pStyle w:val="14"/>
        <w:rPr>
          <w:rFonts w:hint="default"/>
          <w:lang w:val="en-US" w:eastAsia="zh-CN"/>
        </w:rPr>
      </w:pPr>
    </w:p>
    <w:p w14:paraId="5F2A18B4">
      <w:pPr>
        <w:pStyle w:val="14"/>
        <w:rPr>
          <w:rFonts w:hint="default"/>
          <w:lang w:val="en-US" w:eastAsia="zh-CN"/>
        </w:rPr>
      </w:pPr>
    </w:p>
    <w:p w14:paraId="26EEB07A">
      <w:pPr>
        <w:pStyle w:val="14"/>
        <w:rPr>
          <w:rFonts w:hint="default"/>
          <w:lang w:val="en-US" w:eastAsia="zh-CN"/>
        </w:rPr>
      </w:pPr>
    </w:p>
    <w:p w14:paraId="4FB4BFA9">
      <w:pPr>
        <w:pStyle w:val="14"/>
        <w:rPr>
          <w:rFonts w:hint="default"/>
          <w:lang w:val="en-US" w:eastAsia="zh-CN"/>
        </w:rPr>
      </w:pPr>
    </w:p>
    <w:p w14:paraId="0E592F35">
      <w:pPr>
        <w:pStyle w:val="14"/>
        <w:rPr>
          <w:rFonts w:hint="default"/>
          <w:lang w:val="en-US" w:eastAsia="zh-CN"/>
        </w:rPr>
      </w:pPr>
    </w:p>
    <w:p w14:paraId="2EE6AEEA">
      <w:pPr>
        <w:pStyle w:val="14"/>
        <w:rPr>
          <w:rFonts w:hint="default"/>
          <w:lang w:val="en-US" w:eastAsia="zh-CN"/>
        </w:rPr>
      </w:pPr>
    </w:p>
    <w:p w14:paraId="6B174AC6">
      <w:pPr>
        <w:pStyle w:val="14"/>
        <w:rPr>
          <w:rFonts w:hint="default"/>
          <w:lang w:val="en-US" w:eastAsia="zh-CN"/>
        </w:rPr>
      </w:pPr>
    </w:p>
    <w:p w14:paraId="776F515A">
      <w:pPr>
        <w:pStyle w:val="14"/>
        <w:rPr>
          <w:rFonts w:hint="default"/>
          <w:lang w:val="en-US" w:eastAsia="zh-CN"/>
        </w:rPr>
      </w:pPr>
    </w:p>
    <w:p w14:paraId="5433C889">
      <w:pPr>
        <w:pStyle w:val="14"/>
        <w:rPr>
          <w:rFonts w:hint="default"/>
          <w:lang w:val="en-US" w:eastAsia="zh-CN"/>
        </w:rPr>
      </w:pPr>
    </w:p>
    <w:p w14:paraId="6C961481">
      <w:pPr>
        <w:pStyle w:val="14"/>
        <w:rPr>
          <w:rFonts w:hint="default"/>
          <w:lang w:val="en-US" w:eastAsia="zh-CN"/>
        </w:rPr>
      </w:pPr>
    </w:p>
    <w:p w14:paraId="05228215">
      <w:pPr>
        <w:pStyle w:val="14"/>
        <w:rPr>
          <w:rFonts w:hint="default"/>
          <w:lang w:val="en-US" w:eastAsia="zh-CN"/>
        </w:rPr>
      </w:pPr>
    </w:p>
    <w:p w14:paraId="0E363102">
      <w:pPr>
        <w:pStyle w:val="14"/>
        <w:rPr>
          <w:rFonts w:hint="default"/>
          <w:lang w:val="en-US" w:eastAsia="zh-CN"/>
        </w:rPr>
      </w:pPr>
    </w:p>
    <w:p w14:paraId="74C318BA">
      <w:pPr>
        <w:pStyle w:val="14"/>
        <w:rPr>
          <w:rFonts w:hint="default"/>
          <w:lang w:val="en-US" w:eastAsia="zh-CN"/>
        </w:rPr>
      </w:pPr>
    </w:p>
    <w:p w14:paraId="18610136">
      <w:pPr>
        <w:pStyle w:val="14"/>
        <w:rPr>
          <w:rFonts w:hint="default"/>
          <w:lang w:val="en-US" w:eastAsia="zh-CN"/>
        </w:rPr>
      </w:pPr>
    </w:p>
    <w:p w14:paraId="0F7F7F04">
      <w:pPr>
        <w:pStyle w:val="14"/>
        <w:rPr>
          <w:rFonts w:hint="default"/>
          <w:lang w:val="en-US" w:eastAsia="zh-CN"/>
        </w:rPr>
      </w:pPr>
    </w:p>
    <w:p w14:paraId="33A6CF0F">
      <w:pPr>
        <w:pStyle w:val="14"/>
        <w:rPr>
          <w:rFonts w:hint="default"/>
          <w:lang w:val="en-US" w:eastAsia="zh-CN"/>
        </w:rPr>
      </w:pPr>
    </w:p>
    <w:p w14:paraId="3DE47453">
      <w:pPr>
        <w:pStyle w:val="14"/>
        <w:rPr>
          <w:rFonts w:hint="default"/>
          <w:lang w:val="en-US" w:eastAsia="zh-CN"/>
        </w:rPr>
      </w:pPr>
    </w:p>
    <w:p w14:paraId="7787D706">
      <w:pPr>
        <w:pStyle w:val="14"/>
        <w:rPr>
          <w:rFonts w:hint="default"/>
          <w:lang w:val="en-US" w:eastAsia="zh-CN"/>
        </w:rPr>
      </w:pPr>
    </w:p>
    <w:p w14:paraId="3DE08546">
      <w:pPr>
        <w:pStyle w:val="14"/>
        <w:rPr>
          <w:rFonts w:hint="default"/>
          <w:lang w:val="en-US" w:eastAsia="zh-CN"/>
        </w:rPr>
      </w:pPr>
    </w:p>
    <w:p w14:paraId="3B869E51">
      <w:pPr>
        <w:pStyle w:val="14"/>
        <w:rPr>
          <w:rFonts w:hint="default"/>
          <w:lang w:val="en-US" w:eastAsia="zh-CN"/>
        </w:rPr>
      </w:pPr>
    </w:p>
    <w:p w14:paraId="7454B98D">
      <w:pPr>
        <w:pStyle w:val="14"/>
        <w:rPr>
          <w:rFonts w:hint="default"/>
          <w:lang w:val="en-US" w:eastAsia="zh-CN"/>
        </w:rPr>
      </w:pPr>
    </w:p>
    <w:p w14:paraId="143C911C">
      <w:pPr>
        <w:pStyle w:val="14"/>
        <w:rPr>
          <w:rFonts w:hint="default"/>
          <w:lang w:val="en-US" w:eastAsia="zh-CN"/>
        </w:rPr>
      </w:pPr>
    </w:p>
    <w:p w14:paraId="3907C3F0">
      <w:pPr>
        <w:pStyle w:val="14"/>
        <w:rPr>
          <w:rFonts w:hint="default"/>
          <w:lang w:val="en-US" w:eastAsia="zh-CN"/>
        </w:rPr>
      </w:pPr>
    </w:p>
    <w:p w14:paraId="729C1FBB">
      <w:pPr>
        <w:pStyle w:val="14"/>
        <w:rPr>
          <w:rFonts w:hint="default"/>
          <w:lang w:val="en-US" w:eastAsia="zh-CN"/>
        </w:rPr>
      </w:pPr>
    </w:p>
    <w:p w14:paraId="54A52B54">
      <w:pPr>
        <w:pStyle w:val="14"/>
        <w:rPr>
          <w:rFonts w:hint="default"/>
          <w:lang w:val="en-US" w:eastAsia="zh-CN"/>
        </w:rPr>
      </w:pPr>
    </w:p>
    <w:p w14:paraId="6396F95D">
      <w:pPr>
        <w:pStyle w:val="14"/>
        <w:rPr>
          <w:rFonts w:hint="default"/>
          <w:lang w:val="en-US" w:eastAsia="zh-CN"/>
        </w:rPr>
      </w:pPr>
    </w:p>
    <w:p w14:paraId="2456DD7E">
      <w:pPr>
        <w:pStyle w:val="14"/>
        <w:rPr>
          <w:rFonts w:hint="default"/>
          <w:lang w:val="en-US" w:eastAsia="zh-CN"/>
        </w:rPr>
      </w:pPr>
    </w:p>
    <w:p w14:paraId="524866DC">
      <w:pPr>
        <w:pStyle w:val="14"/>
        <w:rPr>
          <w:rFonts w:hint="default"/>
          <w:lang w:val="en-US" w:eastAsia="zh-CN"/>
        </w:rPr>
      </w:pPr>
    </w:p>
    <w:p w14:paraId="6B3B568B">
      <w:pPr>
        <w:pStyle w:val="14"/>
        <w:rPr>
          <w:rFonts w:hint="default"/>
          <w:lang w:val="en-US" w:eastAsia="zh-CN"/>
        </w:rPr>
      </w:pPr>
      <w:bookmarkStart w:id="63" w:name="_GoBack"/>
      <w:r>
        <w:rPr>
          <w:sz w:val="20"/>
        </w:rPr>
        <w:drawing>
          <wp:anchor distT="0" distB="0" distL="0" distR="0" simplePos="0" relativeHeight="251661312" behindDoc="0" locked="0" layoutInCell="1" allowOverlap="1">
            <wp:simplePos x="0" y="0"/>
            <wp:positionH relativeFrom="column">
              <wp:posOffset>-755650</wp:posOffset>
            </wp:positionH>
            <wp:positionV relativeFrom="paragraph">
              <wp:posOffset>-725805</wp:posOffset>
            </wp:positionV>
            <wp:extent cx="7192645" cy="10242550"/>
            <wp:effectExtent l="0" t="0" r="8255" b="635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pic:cNvPicPr>
                      <a:picLocks noChangeAspect="1"/>
                    </pic:cNvPicPr>
                  </pic:nvPicPr>
                  <pic:blipFill>
                    <a:blip r:embed="rId16" cstate="print"/>
                    <a:stretch>
                      <a:fillRect/>
                    </a:stretch>
                  </pic:blipFill>
                  <pic:spPr>
                    <a:xfrm>
                      <a:off x="0" y="0"/>
                      <a:ext cx="7192795" cy="10242804"/>
                    </a:xfrm>
                    <a:prstGeom prst="rect">
                      <a:avLst/>
                    </a:prstGeom>
                  </pic:spPr>
                </pic:pic>
              </a:graphicData>
            </a:graphic>
          </wp:anchor>
        </w:drawing>
      </w:r>
      <w:bookmarkEnd w:id="63"/>
    </w:p>
    <w:p w14:paraId="224C610A">
      <w:pPr>
        <w:pStyle w:val="14"/>
        <w:rPr>
          <w:rFonts w:hint="default"/>
          <w:lang w:val="en-US" w:eastAsia="zh-CN"/>
        </w:rPr>
      </w:pPr>
    </w:p>
    <w:p w14:paraId="4FFCD951">
      <w:pPr>
        <w:pStyle w:val="14"/>
        <w:rPr>
          <w:rFonts w:hint="default"/>
          <w:lang w:val="en-US" w:eastAsia="zh-CN"/>
        </w:rPr>
      </w:pPr>
    </w:p>
    <w:p w14:paraId="050E0F04">
      <w:pPr>
        <w:pStyle w:val="14"/>
        <w:rPr>
          <w:rFonts w:hint="default"/>
          <w:lang w:val="en-US" w:eastAsia="zh-CN"/>
        </w:rPr>
      </w:pPr>
    </w:p>
    <w:p w14:paraId="750B9DF0">
      <w:pPr>
        <w:pStyle w:val="14"/>
        <w:rPr>
          <w:rFonts w:hint="default"/>
          <w:lang w:val="en-US" w:eastAsia="zh-CN"/>
        </w:rPr>
      </w:pPr>
    </w:p>
    <w:p w14:paraId="5950B326">
      <w:pPr>
        <w:pStyle w:val="14"/>
        <w:rPr>
          <w:rFonts w:hint="default"/>
          <w:lang w:val="en-US" w:eastAsia="zh-CN"/>
        </w:rPr>
      </w:pPr>
    </w:p>
    <w:p w14:paraId="233005B4">
      <w:pPr>
        <w:pStyle w:val="14"/>
        <w:rPr>
          <w:rFonts w:hint="default"/>
          <w:lang w:val="en-US" w:eastAsia="zh-CN"/>
        </w:rPr>
      </w:pPr>
    </w:p>
    <w:p w14:paraId="628E0FF3">
      <w:pPr>
        <w:pStyle w:val="14"/>
        <w:rPr>
          <w:rFonts w:hint="default"/>
          <w:lang w:val="en-US" w:eastAsia="zh-CN"/>
        </w:rPr>
      </w:pPr>
    </w:p>
    <w:p w14:paraId="15F04470">
      <w:pPr>
        <w:pStyle w:val="14"/>
        <w:rPr>
          <w:rFonts w:hint="default"/>
          <w:lang w:val="en-US" w:eastAsia="zh-CN"/>
        </w:rPr>
      </w:pPr>
    </w:p>
    <w:p w14:paraId="2AF566D4">
      <w:pPr>
        <w:pStyle w:val="14"/>
        <w:rPr>
          <w:rFonts w:hint="default"/>
          <w:lang w:val="en-US" w:eastAsia="zh-CN"/>
        </w:rPr>
      </w:pPr>
    </w:p>
    <w:sectPr>
      <w:headerReference r:id="rId8" w:type="default"/>
      <w:footerReference r:id="rId9" w:type="default"/>
      <w:pgSz w:w="11906" w:h="16838"/>
      <w:pgMar w:top="1417" w:right="1134" w:bottom="1417" w:left="1417" w:header="851" w:footer="992" w:gutter="0"/>
      <w:pgBorders>
        <w:top w:val="none" w:sz="0" w:space="0"/>
        <w:left w:val="none" w:sz="0" w:space="0"/>
        <w:bottom w:val="none" w:sz="0" w:space="0"/>
        <w:right w:val="none" w:sz="0" w:space="0"/>
      </w:pgBorders>
      <w:pgNumType w:fmt="decimal"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3B6400-4491-4DD1-9CF7-DDEE4593D2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3658AEE-77BA-4461-998B-AB45A5965F81}"/>
  </w:font>
  <w:font w:name="仿宋">
    <w:panose1 w:val="02010609060101010101"/>
    <w:charset w:val="86"/>
    <w:family w:val="auto"/>
    <w:pitch w:val="default"/>
    <w:sig w:usb0="800002BF" w:usb1="38CF7CFA" w:usb2="00000016" w:usb3="00000000" w:csb0="00040001" w:csb1="00000000"/>
    <w:embedRegular r:id="rId3" w:fontKey="{0BD911A2-1466-4BDA-A749-AE08CE592145}"/>
  </w:font>
  <w:font w:name="仿宋_GB2312">
    <w:altName w:val="仿宋"/>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Segoe UI">
    <w:panose1 w:val="020B0502040204020203"/>
    <w:charset w:val="00"/>
    <w:family w:val="auto"/>
    <w:pitch w:val="default"/>
    <w:sig w:usb0="E4002EFF" w:usb1="C000E47F" w:usb2="00000009" w:usb3="00000000" w:csb0="200001FF" w:csb1="00000000"/>
    <w:embedRegular r:id="rId4" w:fontKey="{E33AAEB6-9501-4284-A016-D05CDDBCA852}"/>
  </w:font>
  <w:font w:name="方正仿宋_GBK">
    <w:panose1 w:val="03000509000000000000"/>
    <w:charset w:val="86"/>
    <w:family w:val="auto"/>
    <w:pitch w:val="default"/>
    <w:sig w:usb0="00000001" w:usb1="080E0000" w:usb2="00000000" w:usb3="00000000" w:csb0="00040000" w:csb1="00000000"/>
    <w:embedRegular r:id="rId5" w:fontKey="{201BD460-0BA4-4E17-8DF2-F60ADB8B2DF2}"/>
  </w:font>
  <w:font w:name="方正楷体_GBK">
    <w:panose1 w:val="03000509000000000000"/>
    <w:charset w:val="86"/>
    <w:family w:val="script"/>
    <w:pitch w:val="default"/>
    <w:sig w:usb0="00000001" w:usb1="080E0000" w:usb2="00000000" w:usb3="00000000" w:csb0="00040000" w:csb1="00000000"/>
    <w:embedRegular r:id="rId6" w:fontKey="{88BB6ADF-6041-44F5-8975-EAACE9BE21F9}"/>
  </w:font>
  <w:font w:name="WPSEMBED1">
    <w:panose1 w:val="03000509000000000000"/>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A5CF">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F1433">
    <w:pPr>
      <w:pStyle w:val="16"/>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9C8B60">
                          <w:pPr>
                            <w:pStyle w:val="16"/>
                            <w:ind w:firstLine="360"/>
                          </w:pPr>
                          <w:r>
                            <w:rPr>
                              <w:rFonts w:hint="eastAsia"/>
                            </w:rPr>
                            <w:fldChar w:fldCharType="begin"/>
                          </w:r>
                          <w:r>
                            <w:rPr>
                              <w:rFonts w:hint="eastAsia"/>
                            </w:rPr>
                            <w:instrText xml:space="preserve"> PAGE  \* MERGEFORMAT </w:instrText>
                          </w:r>
                          <w:r>
                            <w:rPr>
                              <w:rFonts w:hint="eastAsia"/>
                            </w:rPr>
                            <w:fldChar w:fldCharType="separate"/>
                          </w:r>
                          <w:r>
                            <w:t>v</w:t>
                          </w:r>
                          <w:r>
                            <w:rPr>
                              <w:rFonts w:hint="eastAsia"/>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509C8B60">
                    <w:pPr>
                      <w:pStyle w:val="16"/>
                      <w:ind w:firstLine="360"/>
                    </w:pPr>
                    <w:r>
                      <w:rPr>
                        <w:rFonts w:hint="eastAsia"/>
                      </w:rPr>
                      <w:fldChar w:fldCharType="begin"/>
                    </w:r>
                    <w:r>
                      <w:rPr>
                        <w:rFonts w:hint="eastAsia"/>
                      </w:rPr>
                      <w:instrText xml:space="preserve"> PAGE  \* MERGEFORMAT </w:instrText>
                    </w:r>
                    <w:r>
                      <w:rPr>
                        <w:rFonts w:hint="eastAsia"/>
                      </w:rPr>
                      <w:fldChar w:fldCharType="separate"/>
                    </w:r>
                    <w:r>
                      <w:t>v</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C08BB">
    <w:pPr>
      <w:pStyle w:val="16"/>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A68B1B">
                          <w:pPr>
                            <w:pStyle w:val="1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Oc3lMkBAACa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Ll&#10;MuvTB6gx7SFgYhru/IBbM/sBnZn2oKLNXyREMI7qnq/qyiERkR+tV+t1hSGBsfmC+OzxeYiQ3kpv&#10;STYaGnF8RVV+eg9pTJ1TcjXn77UxZYTG/eVAzOxhufexx2ylYT9MhPa+PSOfHiffUIeLTol551DY&#10;vCSzEWdjPxvHEPWhK1uU60G4PSZsovSWK4ywU2EcWWE3rVfeiT/vJevx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k5zeUyQEAAJoDAAAOAAAAAAAAAAEAIAAAAB4BAABkcnMvZTJvRG9j&#10;LnhtbFBLBQYAAAAABgAGAFkBAABZBQAAAAA=&#10;">
              <v:fill on="f" focussize="0,0"/>
              <v:stroke on="f"/>
              <v:imagedata o:title=""/>
              <o:lock v:ext="edit" aspectratio="f"/>
              <v:textbox inset="0mm,0mm,0mm,0mm" style="mso-fit-shape-to-text:t;">
                <w:txbxContent>
                  <w:p w14:paraId="4CA68B1B">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0DDB4">
    <w:pPr>
      <w:pStyle w:val="17"/>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AB3FF">
    <w:pPr>
      <w:pStyle w:val="17"/>
      <w:pBdr>
        <w:bottom w:val="none" w:color="auto" w:sz="0" w:space="1"/>
      </w:pBdr>
      <w:spacing w:line="240" w:lineRule="auto"/>
      <w:ind w:firstLine="0" w:firstLineChars="0"/>
      <w:rPr>
        <w:rFonts w:eastAsia="方正楷体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FBED26"/>
    <w:multiLevelType w:val="singleLevel"/>
    <w:tmpl w:val="81FBED26"/>
    <w:lvl w:ilvl="0" w:tentative="0">
      <w:start w:val="1"/>
      <w:numFmt w:val="decimal"/>
      <w:suff w:val="nothing"/>
      <w:lvlText w:val="（%1）"/>
      <w:lvlJc w:val="left"/>
    </w:lvl>
  </w:abstractNum>
  <w:abstractNum w:abstractNumId="1">
    <w:nsid w:val="8360B407"/>
    <w:multiLevelType w:val="singleLevel"/>
    <w:tmpl w:val="8360B407"/>
    <w:lvl w:ilvl="0" w:tentative="0">
      <w:start w:val="1"/>
      <w:numFmt w:val="decimal"/>
      <w:suff w:val="nothing"/>
      <w:lvlText w:val="（%1）"/>
      <w:lvlJc w:val="left"/>
    </w:lvl>
  </w:abstractNum>
  <w:abstractNum w:abstractNumId="2">
    <w:nsid w:val="888FC290"/>
    <w:multiLevelType w:val="singleLevel"/>
    <w:tmpl w:val="888FC290"/>
    <w:lvl w:ilvl="0" w:tentative="0">
      <w:start w:val="1"/>
      <w:numFmt w:val="decimal"/>
      <w:suff w:val="nothing"/>
      <w:lvlText w:val="（%1）"/>
      <w:lvlJc w:val="left"/>
    </w:lvl>
  </w:abstractNum>
  <w:abstractNum w:abstractNumId="3">
    <w:nsid w:val="9FAA20DB"/>
    <w:multiLevelType w:val="singleLevel"/>
    <w:tmpl w:val="9FAA20DB"/>
    <w:lvl w:ilvl="0" w:tentative="0">
      <w:start w:val="1"/>
      <w:numFmt w:val="decimal"/>
      <w:suff w:val="nothing"/>
      <w:lvlText w:val="（%1）"/>
      <w:lvlJc w:val="left"/>
    </w:lvl>
  </w:abstractNum>
  <w:abstractNum w:abstractNumId="4">
    <w:nsid w:val="AC2F3642"/>
    <w:multiLevelType w:val="singleLevel"/>
    <w:tmpl w:val="AC2F3642"/>
    <w:lvl w:ilvl="0" w:tentative="0">
      <w:start w:val="1"/>
      <w:numFmt w:val="decimal"/>
      <w:suff w:val="nothing"/>
      <w:lvlText w:val="（%1）"/>
      <w:lvlJc w:val="left"/>
      <w:pPr>
        <w:ind w:left="-484"/>
      </w:pPr>
    </w:lvl>
  </w:abstractNum>
  <w:abstractNum w:abstractNumId="5">
    <w:nsid w:val="AF0F20AF"/>
    <w:multiLevelType w:val="singleLevel"/>
    <w:tmpl w:val="AF0F20AF"/>
    <w:lvl w:ilvl="0" w:tentative="0">
      <w:start w:val="1"/>
      <w:numFmt w:val="decimal"/>
      <w:suff w:val="nothing"/>
      <w:lvlText w:val="（%1）"/>
      <w:lvlJc w:val="left"/>
    </w:lvl>
  </w:abstractNum>
  <w:abstractNum w:abstractNumId="6">
    <w:nsid w:val="BA924289"/>
    <w:multiLevelType w:val="singleLevel"/>
    <w:tmpl w:val="BA924289"/>
    <w:lvl w:ilvl="0" w:tentative="0">
      <w:start w:val="1"/>
      <w:numFmt w:val="decimal"/>
      <w:suff w:val="nothing"/>
      <w:lvlText w:val="（%1）"/>
      <w:lvlJc w:val="left"/>
    </w:lvl>
  </w:abstractNum>
  <w:abstractNum w:abstractNumId="7">
    <w:nsid w:val="BB6AFB69"/>
    <w:multiLevelType w:val="singleLevel"/>
    <w:tmpl w:val="BB6AFB69"/>
    <w:lvl w:ilvl="0" w:tentative="0">
      <w:start w:val="1"/>
      <w:numFmt w:val="decimal"/>
      <w:suff w:val="nothing"/>
      <w:lvlText w:val="（%1）"/>
      <w:lvlJc w:val="left"/>
    </w:lvl>
  </w:abstractNum>
  <w:abstractNum w:abstractNumId="8">
    <w:nsid w:val="CD7B1EF5"/>
    <w:multiLevelType w:val="singleLevel"/>
    <w:tmpl w:val="CD7B1EF5"/>
    <w:lvl w:ilvl="0" w:tentative="0">
      <w:start w:val="1"/>
      <w:numFmt w:val="chineseCounting"/>
      <w:pStyle w:val="59"/>
      <w:suff w:val="space"/>
      <w:lvlText w:val="第%1章"/>
      <w:lvlJc w:val="left"/>
      <w:rPr>
        <w:rFonts w:hint="eastAsia"/>
      </w:rPr>
    </w:lvl>
  </w:abstractNum>
  <w:abstractNum w:abstractNumId="9">
    <w:nsid w:val="EEA3F45D"/>
    <w:multiLevelType w:val="singleLevel"/>
    <w:tmpl w:val="EEA3F45D"/>
    <w:lvl w:ilvl="0" w:tentative="0">
      <w:start w:val="1"/>
      <w:numFmt w:val="decimal"/>
      <w:suff w:val="nothing"/>
      <w:lvlText w:val="（%1）"/>
      <w:lvlJc w:val="left"/>
    </w:lvl>
  </w:abstractNum>
  <w:abstractNum w:abstractNumId="10">
    <w:nsid w:val="053BFC2D"/>
    <w:multiLevelType w:val="singleLevel"/>
    <w:tmpl w:val="053BFC2D"/>
    <w:lvl w:ilvl="0" w:tentative="0">
      <w:start w:val="1"/>
      <w:numFmt w:val="decimal"/>
      <w:lvlText w:val="%1."/>
      <w:lvlJc w:val="left"/>
      <w:pPr>
        <w:ind w:left="425" w:hanging="425"/>
      </w:pPr>
      <w:rPr>
        <w:rFonts w:hint="default"/>
      </w:rPr>
    </w:lvl>
  </w:abstractNum>
  <w:abstractNum w:abstractNumId="11">
    <w:nsid w:val="0D7A7C52"/>
    <w:multiLevelType w:val="singleLevel"/>
    <w:tmpl w:val="0D7A7C52"/>
    <w:lvl w:ilvl="0" w:tentative="0">
      <w:start w:val="1"/>
      <w:numFmt w:val="decimal"/>
      <w:suff w:val="nothing"/>
      <w:lvlText w:val="（%1）"/>
      <w:lvlJc w:val="left"/>
    </w:lvl>
  </w:abstractNum>
  <w:abstractNum w:abstractNumId="12">
    <w:nsid w:val="1618968B"/>
    <w:multiLevelType w:val="singleLevel"/>
    <w:tmpl w:val="1618968B"/>
    <w:lvl w:ilvl="0" w:tentative="0">
      <w:start w:val="1"/>
      <w:numFmt w:val="decimal"/>
      <w:suff w:val="nothing"/>
      <w:lvlText w:val="（%1）"/>
      <w:lvlJc w:val="left"/>
    </w:lvl>
  </w:abstractNum>
  <w:abstractNum w:abstractNumId="13">
    <w:nsid w:val="28B3C845"/>
    <w:multiLevelType w:val="singleLevel"/>
    <w:tmpl w:val="28B3C845"/>
    <w:lvl w:ilvl="0" w:tentative="0">
      <w:start w:val="1"/>
      <w:numFmt w:val="decimal"/>
      <w:suff w:val="nothing"/>
      <w:lvlText w:val="（%1）"/>
      <w:lvlJc w:val="left"/>
    </w:lvl>
  </w:abstractNum>
  <w:abstractNum w:abstractNumId="14">
    <w:nsid w:val="3ADFAE86"/>
    <w:multiLevelType w:val="singleLevel"/>
    <w:tmpl w:val="3ADFAE86"/>
    <w:lvl w:ilvl="0" w:tentative="0">
      <w:start w:val="1"/>
      <w:numFmt w:val="decimal"/>
      <w:suff w:val="nothing"/>
      <w:lvlText w:val="（%1）"/>
      <w:lvlJc w:val="left"/>
    </w:lvl>
  </w:abstractNum>
  <w:abstractNum w:abstractNumId="15">
    <w:nsid w:val="3C8B81A5"/>
    <w:multiLevelType w:val="singleLevel"/>
    <w:tmpl w:val="3C8B81A5"/>
    <w:lvl w:ilvl="0" w:tentative="0">
      <w:start w:val="1"/>
      <w:numFmt w:val="decimal"/>
      <w:suff w:val="nothing"/>
      <w:lvlText w:val="（%1）"/>
      <w:lvlJc w:val="left"/>
      <w:pPr>
        <w:ind w:left="-484"/>
      </w:pPr>
    </w:lvl>
  </w:abstractNum>
  <w:abstractNum w:abstractNumId="16">
    <w:nsid w:val="3D70EA9A"/>
    <w:multiLevelType w:val="singleLevel"/>
    <w:tmpl w:val="3D70EA9A"/>
    <w:lvl w:ilvl="0" w:tentative="0">
      <w:start w:val="1"/>
      <w:numFmt w:val="decimal"/>
      <w:suff w:val="nothing"/>
      <w:lvlText w:val="（%1）"/>
      <w:lvlJc w:val="left"/>
    </w:lvl>
  </w:abstractNum>
  <w:abstractNum w:abstractNumId="17">
    <w:nsid w:val="465DA748"/>
    <w:multiLevelType w:val="singleLevel"/>
    <w:tmpl w:val="465DA748"/>
    <w:lvl w:ilvl="0" w:tentative="0">
      <w:start w:val="1"/>
      <w:numFmt w:val="decimal"/>
      <w:suff w:val="nothing"/>
      <w:lvlText w:val="（%1）"/>
      <w:lvlJc w:val="left"/>
    </w:lvl>
  </w:abstractNum>
  <w:abstractNum w:abstractNumId="18">
    <w:nsid w:val="52C89222"/>
    <w:multiLevelType w:val="singleLevel"/>
    <w:tmpl w:val="52C89222"/>
    <w:lvl w:ilvl="0" w:tentative="0">
      <w:start w:val="1"/>
      <w:numFmt w:val="decimal"/>
      <w:suff w:val="nothing"/>
      <w:lvlText w:val="（%1）"/>
      <w:lvlJc w:val="left"/>
    </w:lvl>
  </w:abstractNum>
  <w:abstractNum w:abstractNumId="19">
    <w:nsid w:val="54B15976"/>
    <w:multiLevelType w:val="singleLevel"/>
    <w:tmpl w:val="54B15976"/>
    <w:lvl w:ilvl="0" w:tentative="0">
      <w:start w:val="1"/>
      <w:numFmt w:val="decimal"/>
      <w:suff w:val="nothing"/>
      <w:lvlText w:val="（%1）"/>
      <w:lvlJc w:val="left"/>
    </w:lvl>
  </w:abstractNum>
  <w:abstractNum w:abstractNumId="20">
    <w:nsid w:val="5DCEC171"/>
    <w:multiLevelType w:val="singleLevel"/>
    <w:tmpl w:val="5DCEC171"/>
    <w:lvl w:ilvl="0" w:tentative="0">
      <w:start w:val="1"/>
      <w:numFmt w:val="decimal"/>
      <w:suff w:val="nothing"/>
      <w:lvlText w:val="（%1）"/>
      <w:lvlJc w:val="left"/>
    </w:lvl>
  </w:abstractNum>
  <w:abstractNum w:abstractNumId="21">
    <w:nsid w:val="60EB8C89"/>
    <w:multiLevelType w:val="singleLevel"/>
    <w:tmpl w:val="60EB8C89"/>
    <w:lvl w:ilvl="0" w:tentative="0">
      <w:start w:val="1"/>
      <w:numFmt w:val="decimal"/>
      <w:suff w:val="nothing"/>
      <w:lvlText w:val="（%1）"/>
      <w:lvlJc w:val="left"/>
    </w:lvl>
  </w:abstractNum>
  <w:num w:numId="1">
    <w:abstractNumId w:val="8"/>
  </w:num>
  <w:num w:numId="2">
    <w:abstractNumId w:val="10"/>
  </w:num>
  <w:num w:numId="3">
    <w:abstractNumId w:val="2"/>
  </w:num>
  <w:num w:numId="4">
    <w:abstractNumId w:val="7"/>
  </w:num>
  <w:num w:numId="5">
    <w:abstractNumId w:val="11"/>
  </w:num>
  <w:num w:numId="6">
    <w:abstractNumId w:val="16"/>
  </w:num>
  <w:num w:numId="7">
    <w:abstractNumId w:val="13"/>
  </w:num>
  <w:num w:numId="8">
    <w:abstractNumId w:val="6"/>
  </w:num>
  <w:num w:numId="9">
    <w:abstractNumId w:val="4"/>
  </w:num>
  <w:num w:numId="10">
    <w:abstractNumId w:val="15"/>
  </w:num>
  <w:num w:numId="11">
    <w:abstractNumId w:val="0"/>
  </w:num>
  <w:num w:numId="12">
    <w:abstractNumId w:val="12"/>
  </w:num>
  <w:num w:numId="13">
    <w:abstractNumId w:val="1"/>
  </w:num>
  <w:num w:numId="14">
    <w:abstractNumId w:val="9"/>
  </w:num>
  <w:num w:numId="15">
    <w:abstractNumId w:val="21"/>
  </w:num>
  <w:num w:numId="16">
    <w:abstractNumId w:val="20"/>
  </w:num>
  <w:num w:numId="17">
    <w:abstractNumId w:val="19"/>
  </w:num>
  <w:num w:numId="18">
    <w:abstractNumId w:val="17"/>
  </w:num>
  <w:num w:numId="19">
    <w:abstractNumId w:val="14"/>
  </w:num>
  <w:num w:numId="20">
    <w:abstractNumId w:val="5"/>
  </w:num>
  <w:num w:numId="21">
    <w:abstractNumId w:val="1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iZjFjNTQ3MDA2YTU2YzA3OGRhZDE0ZjY4ZTRlODUifQ=="/>
  </w:docVars>
  <w:rsids>
    <w:rsidRoot w:val="00172A27"/>
    <w:rsid w:val="000B111F"/>
    <w:rsid w:val="00172A27"/>
    <w:rsid w:val="00185AC7"/>
    <w:rsid w:val="001F0E2E"/>
    <w:rsid w:val="002E01C1"/>
    <w:rsid w:val="002E4EF0"/>
    <w:rsid w:val="00342433"/>
    <w:rsid w:val="003E22BF"/>
    <w:rsid w:val="00550628"/>
    <w:rsid w:val="005F1ED1"/>
    <w:rsid w:val="00633D9E"/>
    <w:rsid w:val="00700270"/>
    <w:rsid w:val="00702588"/>
    <w:rsid w:val="007037EA"/>
    <w:rsid w:val="00743D1B"/>
    <w:rsid w:val="007B5211"/>
    <w:rsid w:val="007E1FAD"/>
    <w:rsid w:val="008102F1"/>
    <w:rsid w:val="00870258"/>
    <w:rsid w:val="008E2A0E"/>
    <w:rsid w:val="008F4FF9"/>
    <w:rsid w:val="00921904"/>
    <w:rsid w:val="009E3888"/>
    <w:rsid w:val="009E7EF4"/>
    <w:rsid w:val="00A02EF3"/>
    <w:rsid w:val="00A75A0E"/>
    <w:rsid w:val="00AE2C48"/>
    <w:rsid w:val="00B12C8A"/>
    <w:rsid w:val="00C42EFD"/>
    <w:rsid w:val="00C46C48"/>
    <w:rsid w:val="00C52644"/>
    <w:rsid w:val="00CE24D1"/>
    <w:rsid w:val="00D23DF6"/>
    <w:rsid w:val="00D53230"/>
    <w:rsid w:val="00DD51E3"/>
    <w:rsid w:val="00E7178A"/>
    <w:rsid w:val="00EC20DD"/>
    <w:rsid w:val="00F11431"/>
    <w:rsid w:val="00F66F31"/>
    <w:rsid w:val="00FF7127"/>
    <w:rsid w:val="01060D2D"/>
    <w:rsid w:val="01077DA4"/>
    <w:rsid w:val="011619FA"/>
    <w:rsid w:val="01162335"/>
    <w:rsid w:val="01192258"/>
    <w:rsid w:val="011B0DD2"/>
    <w:rsid w:val="01234986"/>
    <w:rsid w:val="012515C4"/>
    <w:rsid w:val="0128687A"/>
    <w:rsid w:val="01314FC9"/>
    <w:rsid w:val="01333C60"/>
    <w:rsid w:val="0143430E"/>
    <w:rsid w:val="014C654B"/>
    <w:rsid w:val="01527EDF"/>
    <w:rsid w:val="015B4441"/>
    <w:rsid w:val="015C16AD"/>
    <w:rsid w:val="015D0ED2"/>
    <w:rsid w:val="015E58E2"/>
    <w:rsid w:val="0166700D"/>
    <w:rsid w:val="016B4786"/>
    <w:rsid w:val="017340EC"/>
    <w:rsid w:val="017823D0"/>
    <w:rsid w:val="018053DD"/>
    <w:rsid w:val="01857148"/>
    <w:rsid w:val="018A16B2"/>
    <w:rsid w:val="01932F6E"/>
    <w:rsid w:val="019933E3"/>
    <w:rsid w:val="019C31F1"/>
    <w:rsid w:val="019F07D3"/>
    <w:rsid w:val="01A464D8"/>
    <w:rsid w:val="01A81952"/>
    <w:rsid w:val="01AB0281"/>
    <w:rsid w:val="01AF5941"/>
    <w:rsid w:val="01B05CE2"/>
    <w:rsid w:val="01B446F6"/>
    <w:rsid w:val="01BB7CD9"/>
    <w:rsid w:val="01BD1EC9"/>
    <w:rsid w:val="01CA69C6"/>
    <w:rsid w:val="01CD3AE2"/>
    <w:rsid w:val="01D94B54"/>
    <w:rsid w:val="01DA4BAD"/>
    <w:rsid w:val="01DA71BB"/>
    <w:rsid w:val="01DF1158"/>
    <w:rsid w:val="01E85DD9"/>
    <w:rsid w:val="01F12C75"/>
    <w:rsid w:val="01F70AAC"/>
    <w:rsid w:val="01FA47FF"/>
    <w:rsid w:val="01FB246E"/>
    <w:rsid w:val="01FF0067"/>
    <w:rsid w:val="02092C94"/>
    <w:rsid w:val="020E2058"/>
    <w:rsid w:val="02123CF7"/>
    <w:rsid w:val="02142CD0"/>
    <w:rsid w:val="021A27AB"/>
    <w:rsid w:val="021A6C4F"/>
    <w:rsid w:val="021D07B3"/>
    <w:rsid w:val="021E57B3"/>
    <w:rsid w:val="02257C5F"/>
    <w:rsid w:val="02276E83"/>
    <w:rsid w:val="022C24DE"/>
    <w:rsid w:val="02307BE6"/>
    <w:rsid w:val="0233386D"/>
    <w:rsid w:val="02380249"/>
    <w:rsid w:val="023A42E7"/>
    <w:rsid w:val="0245646C"/>
    <w:rsid w:val="024E1CE8"/>
    <w:rsid w:val="025C3910"/>
    <w:rsid w:val="02603E30"/>
    <w:rsid w:val="026453E2"/>
    <w:rsid w:val="02652045"/>
    <w:rsid w:val="02675DDF"/>
    <w:rsid w:val="026D719E"/>
    <w:rsid w:val="02722F94"/>
    <w:rsid w:val="028812AF"/>
    <w:rsid w:val="028A38AD"/>
    <w:rsid w:val="02924A37"/>
    <w:rsid w:val="029450BC"/>
    <w:rsid w:val="02996F55"/>
    <w:rsid w:val="02A851AC"/>
    <w:rsid w:val="02BD57CE"/>
    <w:rsid w:val="02BD6A04"/>
    <w:rsid w:val="02C57343"/>
    <w:rsid w:val="02CD08F9"/>
    <w:rsid w:val="02CD3F53"/>
    <w:rsid w:val="02D05D23"/>
    <w:rsid w:val="02D212D8"/>
    <w:rsid w:val="02D22E07"/>
    <w:rsid w:val="02E93441"/>
    <w:rsid w:val="02F23728"/>
    <w:rsid w:val="030A5F61"/>
    <w:rsid w:val="030C686E"/>
    <w:rsid w:val="03101E00"/>
    <w:rsid w:val="0310708A"/>
    <w:rsid w:val="031078F4"/>
    <w:rsid w:val="031909B5"/>
    <w:rsid w:val="031D7806"/>
    <w:rsid w:val="032A3D5D"/>
    <w:rsid w:val="03303A27"/>
    <w:rsid w:val="035A307B"/>
    <w:rsid w:val="03672709"/>
    <w:rsid w:val="037467C7"/>
    <w:rsid w:val="03895572"/>
    <w:rsid w:val="038F1DD1"/>
    <w:rsid w:val="038F37DB"/>
    <w:rsid w:val="03920DCB"/>
    <w:rsid w:val="039641F4"/>
    <w:rsid w:val="039758C7"/>
    <w:rsid w:val="039A37FD"/>
    <w:rsid w:val="03A616B9"/>
    <w:rsid w:val="03A82242"/>
    <w:rsid w:val="03AE17D5"/>
    <w:rsid w:val="03B03F2B"/>
    <w:rsid w:val="03B608B2"/>
    <w:rsid w:val="03BE5FD3"/>
    <w:rsid w:val="03CA27B9"/>
    <w:rsid w:val="03CE7377"/>
    <w:rsid w:val="03D11838"/>
    <w:rsid w:val="03D25696"/>
    <w:rsid w:val="03E6241C"/>
    <w:rsid w:val="03F17C24"/>
    <w:rsid w:val="03F45A84"/>
    <w:rsid w:val="04054F3D"/>
    <w:rsid w:val="040A2B8D"/>
    <w:rsid w:val="040A50F2"/>
    <w:rsid w:val="040C6F6B"/>
    <w:rsid w:val="040D6D35"/>
    <w:rsid w:val="04103C70"/>
    <w:rsid w:val="041209FF"/>
    <w:rsid w:val="0418191D"/>
    <w:rsid w:val="041A0D62"/>
    <w:rsid w:val="041D238B"/>
    <w:rsid w:val="041D4EAF"/>
    <w:rsid w:val="041F1133"/>
    <w:rsid w:val="04222528"/>
    <w:rsid w:val="042F5245"/>
    <w:rsid w:val="043D1D53"/>
    <w:rsid w:val="04413173"/>
    <w:rsid w:val="04461020"/>
    <w:rsid w:val="044648F7"/>
    <w:rsid w:val="044D08FB"/>
    <w:rsid w:val="0451692E"/>
    <w:rsid w:val="04544823"/>
    <w:rsid w:val="046862DE"/>
    <w:rsid w:val="046A201B"/>
    <w:rsid w:val="046C5E8E"/>
    <w:rsid w:val="047168CE"/>
    <w:rsid w:val="047D7CD3"/>
    <w:rsid w:val="04871404"/>
    <w:rsid w:val="04877EA0"/>
    <w:rsid w:val="048B3E34"/>
    <w:rsid w:val="04982911"/>
    <w:rsid w:val="049974CD"/>
    <w:rsid w:val="049A0F09"/>
    <w:rsid w:val="049A3E00"/>
    <w:rsid w:val="049B3B7E"/>
    <w:rsid w:val="049D320D"/>
    <w:rsid w:val="04A8339F"/>
    <w:rsid w:val="04AF4AFF"/>
    <w:rsid w:val="04BA3F50"/>
    <w:rsid w:val="04BC55FE"/>
    <w:rsid w:val="04C13EB7"/>
    <w:rsid w:val="04C57222"/>
    <w:rsid w:val="04D40F4D"/>
    <w:rsid w:val="04DC6C48"/>
    <w:rsid w:val="04E43A11"/>
    <w:rsid w:val="04F00799"/>
    <w:rsid w:val="04F7762C"/>
    <w:rsid w:val="04FB26B7"/>
    <w:rsid w:val="05113395"/>
    <w:rsid w:val="05185FB0"/>
    <w:rsid w:val="05194CB6"/>
    <w:rsid w:val="052F14D7"/>
    <w:rsid w:val="05322502"/>
    <w:rsid w:val="05364E2D"/>
    <w:rsid w:val="053A218A"/>
    <w:rsid w:val="053A63B9"/>
    <w:rsid w:val="053F077B"/>
    <w:rsid w:val="05447F3D"/>
    <w:rsid w:val="054C4E2C"/>
    <w:rsid w:val="055004AD"/>
    <w:rsid w:val="05513FDD"/>
    <w:rsid w:val="05530B1B"/>
    <w:rsid w:val="055528F0"/>
    <w:rsid w:val="05572DF4"/>
    <w:rsid w:val="05582014"/>
    <w:rsid w:val="05635A68"/>
    <w:rsid w:val="05636FA8"/>
    <w:rsid w:val="056843A9"/>
    <w:rsid w:val="056F0889"/>
    <w:rsid w:val="056F325F"/>
    <w:rsid w:val="056F60FC"/>
    <w:rsid w:val="05726CE8"/>
    <w:rsid w:val="05734A93"/>
    <w:rsid w:val="05777F14"/>
    <w:rsid w:val="057977CB"/>
    <w:rsid w:val="057A138A"/>
    <w:rsid w:val="05860158"/>
    <w:rsid w:val="058A0276"/>
    <w:rsid w:val="059464E0"/>
    <w:rsid w:val="05971F55"/>
    <w:rsid w:val="059D3A55"/>
    <w:rsid w:val="05A22434"/>
    <w:rsid w:val="05A24096"/>
    <w:rsid w:val="05A30D0A"/>
    <w:rsid w:val="05A63553"/>
    <w:rsid w:val="05A97F25"/>
    <w:rsid w:val="05B34284"/>
    <w:rsid w:val="05B6702E"/>
    <w:rsid w:val="05BE5E39"/>
    <w:rsid w:val="05C352F0"/>
    <w:rsid w:val="05D07F05"/>
    <w:rsid w:val="05DB4A29"/>
    <w:rsid w:val="05EA4B8A"/>
    <w:rsid w:val="05F17D14"/>
    <w:rsid w:val="05FE42CF"/>
    <w:rsid w:val="06065A5C"/>
    <w:rsid w:val="060D2438"/>
    <w:rsid w:val="061144B5"/>
    <w:rsid w:val="06191D2E"/>
    <w:rsid w:val="062067FE"/>
    <w:rsid w:val="062A3016"/>
    <w:rsid w:val="062B4F72"/>
    <w:rsid w:val="062D0413"/>
    <w:rsid w:val="062E76FD"/>
    <w:rsid w:val="063140FA"/>
    <w:rsid w:val="06314470"/>
    <w:rsid w:val="063511CD"/>
    <w:rsid w:val="0637657B"/>
    <w:rsid w:val="063C0C02"/>
    <w:rsid w:val="06432F74"/>
    <w:rsid w:val="06474020"/>
    <w:rsid w:val="06524D9E"/>
    <w:rsid w:val="065740AA"/>
    <w:rsid w:val="065C7595"/>
    <w:rsid w:val="066366A5"/>
    <w:rsid w:val="06696C31"/>
    <w:rsid w:val="066B5BB3"/>
    <w:rsid w:val="067A5F0E"/>
    <w:rsid w:val="06851866"/>
    <w:rsid w:val="06860729"/>
    <w:rsid w:val="06886012"/>
    <w:rsid w:val="0689359D"/>
    <w:rsid w:val="068B1EC9"/>
    <w:rsid w:val="06931B39"/>
    <w:rsid w:val="06965A55"/>
    <w:rsid w:val="06A01587"/>
    <w:rsid w:val="06A150F1"/>
    <w:rsid w:val="06A436D7"/>
    <w:rsid w:val="06A607DE"/>
    <w:rsid w:val="06B70DCD"/>
    <w:rsid w:val="06BD411C"/>
    <w:rsid w:val="06BD61A7"/>
    <w:rsid w:val="06BE0C13"/>
    <w:rsid w:val="06BF4124"/>
    <w:rsid w:val="06C03E57"/>
    <w:rsid w:val="06C063E2"/>
    <w:rsid w:val="06D361E9"/>
    <w:rsid w:val="06D53CC1"/>
    <w:rsid w:val="06DC2923"/>
    <w:rsid w:val="06DE4DEB"/>
    <w:rsid w:val="06E33B5C"/>
    <w:rsid w:val="06E415DA"/>
    <w:rsid w:val="06ED5586"/>
    <w:rsid w:val="06F1435F"/>
    <w:rsid w:val="06FB62C0"/>
    <w:rsid w:val="06FD35DD"/>
    <w:rsid w:val="070605A5"/>
    <w:rsid w:val="070B6EC5"/>
    <w:rsid w:val="07100E53"/>
    <w:rsid w:val="072504F6"/>
    <w:rsid w:val="072507AE"/>
    <w:rsid w:val="07261BF2"/>
    <w:rsid w:val="0727001B"/>
    <w:rsid w:val="07380A06"/>
    <w:rsid w:val="07427EF9"/>
    <w:rsid w:val="074A7E69"/>
    <w:rsid w:val="07510E83"/>
    <w:rsid w:val="075114F6"/>
    <w:rsid w:val="075810D2"/>
    <w:rsid w:val="075A6F65"/>
    <w:rsid w:val="07601EE6"/>
    <w:rsid w:val="07606747"/>
    <w:rsid w:val="07620BCE"/>
    <w:rsid w:val="07636D2B"/>
    <w:rsid w:val="076700AC"/>
    <w:rsid w:val="076D2F88"/>
    <w:rsid w:val="077010BF"/>
    <w:rsid w:val="077E4833"/>
    <w:rsid w:val="077E7278"/>
    <w:rsid w:val="078123C4"/>
    <w:rsid w:val="07822B43"/>
    <w:rsid w:val="0793196E"/>
    <w:rsid w:val="07950B2E"/>
    <w:rsid w:val="07961C1F"/>
    <w:rsid w:val="079837DE"/>
    <w:rsid w:val="079F2203"/>
    <w:rsid w:val="07A055B0"/>
    <w:rsid w:val="07A33243"/>
    <w:rsid w:val="07C204D1"/>
    <w:rsid w:val="07CA56ED"/>
    <w:rsid w:val="07D02432"/>
    <w:rsid w:val="07D617C9"/>
    <w:rsid w:val="07E47A38"/>
    <w:rsid w:val="07E73301"/>
    <w:rsid w:val="07EE0D60"/>
    <w:rsid w:val="07FB5EA8"/>
    <w:rsid w:val="07FC4CA0"/>
    <w:rsid w:val="07FE50CD"/>
    <w:rsid w:val="07FF03F8"/>
    <w:rsid w:val="08046E84"/>
    <w:rsid w:val="080C5157"/>
    <w:rsid w:val="080F70F8"/>
    <w:rsid w:val="081B2399"/>
    <w:rsid w:val="083B0FD6"/>
    <w:rsid w:val="08431D85"/>
    <w:rsid w:val="08471E20"/>
    <w:rsid w:val="084C7436"/>
    <w:rsid w:val="084E47BD"/>
    <w:rsid w:val="08500405"/>
    <w:rsid w:val="08564759"/>
    <w:rsid w:val="085B73F0"/>
    <w:rsid w:val="085D79E3"/>
    <w:rsid w:val="08611C25"/>
    <w:rsid w:val="08626B82"/>
    <w:rsid w:val="088750EE"/>
    <w:rsid w:val="088A532A"/>
    <w:rsid w:val="08944DB7"/>
    <w:rsid w:val="089809A8"/>
    <w:rsid w:val="08982E81"/>
    <w:rsid w:val="089922DD"/>
    <w:rsid w:val="089F24E7"/>
    <w:rsid w:val="08AA3E9F"/>
    <w:rsid w:val="08B1661C"/>
    <w:rsid w:val="08B76DB9"/>
    <w:rsid w:val="08C3345C"/>
    <w:rsid w:val="08D77648"/>
    <w:rsid w:val="08DB612E"/>
    <w:rsid w:val="08E04023"/>
    <w:rsid w:val="08E17F72"/>
    <w:rsid w:val="08E27D9B"/>
    <w:rsid w:val="08F122B8"/>
    <w:rsid w:val="09075090"/>
    <w:rsid w:val="090B31C1"/>
    <w:rsid w:val="090B51D5"/>
    <w:rsid w:val="091A41DF"/>
    <w:rsid w:val="09253CFA"/>
    <w:rsid w:val="09257D9D"/>
    <w:rsid w:val="09272012"/>
    <w:rsid w:val="09393719"/>
    <w:rsid w:val="0944621D"/>
    <w:rsid w:val="094B0F0F"/>
    <w:rsid w:val="094D55C2"/>
    <w:rsid w:val="09513B80"/>
    <w:rsid w:val="0952653A"/>
    <w:rsid w:val="09532B6B"/>
    <w:rsid w:val="09596C4A"/>
    <w:rsid w:val="095A2027"/>
    <w:rsid w:val="095B73E3"/>
    <w:rsid w:val="09624D4C"/>
    <w:rsid w:val="096C0DC5"/>
    <w:rsid w:val="09775176"/>
    <w:rsid w:val="097A3244"/>
    <w:rsid w:val="097F383C"/>
    <w:rsid w:val="09806816"/>
    <w:rsid w:val="098C422F"/>
    <w:rsid w:val="098C70D7"/>
    <w:rsid w:val="098E384D"/>
    <w:rsid w:val="0992356F"/>
    <w:rsid w:val="09924B64"/>
    <w:rsid w:val="09A8143C"/>
    <w:rsid w:val="09AE36AD"/>
    <w:rsid w:val="09B3446F"/>
    <w:rsid w:val="09BE298D"/>
    <w:rsid w:val="09C31236"/>
    <w:rsid w:val="09C676BC"/>
    <w:rsid w:val="09D32565"/>
    <w:rsid w:val="09EA66C6"/>
    <w:rsid w:val="09EB13CD"/>
    <w:rsid w:val="09F02E0F"/>
    <w:rsid w:val="09F12205"/>
    <w:rsid w:val="09F150B9"/>
    <w:rsid w:val="09F54564"/>
    <w:rsid w:val="09F7294B"/>
    <w:rsid w:val="0A0501E5"/>
    <w:rsid w:val="0A0C3321"/>
    <w:rsid w:val="0A0C7574"/>
    <w:rsid w:val="0A101FCE"/>
    <w:rsid w:val="0A1152C6"/>
    <w:rsid w:val="0A151088"/>
    <w:rsid w:val="0A1B473E"/>
    <w:rsid w:val="0A1D1A62"/>
    <w:rsid w:val="0A204CEC"/>
    <w:rsid w:val="0A22466E"/>
    <w:rsid w:val="0A2742CC"/>
    <w:rsid w:val="0A3463D4"/>
    <w:rsid w:val="0A3531AF"/>
    <w:rsid w:val="0A36039E"/>
    <w:rsid w:val="0A48745B"/>
    <w:rsid w:val="0A4B110B"/>
    <w:rsid w:val="0A5473DC"/>
    <w:rsid w:val="0A5A7008"/>
    <w:rsid w:val="0A681003"/>
    <w:rsid w:val="0A6906E6"/>
    <w:rsid w:val="0A6A19C6"/>
    <w:rsid w:val="0A6E2AB8"/>
    <w:rsid w:val="0A764C3F"/>
    <w:rsid w:val="0A7B0D5F"/>
    <w:rsid w:val="0A857CEB"/>
    <w:rsid w:val="0A8E1F88"/>
    <w:rsid w:val="0A955803"/>
    <w:rsid w:val="0AA312FD"/>
    <w:rsid w:val="0AB138B5"/>
    <w:rsid w:val="0AB57D10"/>
    <w:rsid w:val="0AB85257"/>
    <w:rsid w:val="0AB92D7A"/>
    <w:rsid w:val="0ABD0302"/>
    <w:rsid w:val="0AC15CE5"/>
    <w:rsid w:val="0AC45F2D"/>
    <w:rsid w:val="0AC765A9"/>
    <w:rsid w:val="0AC77248"/>
    <w:rsid w:val="0AC84BDB"/>
    <w:rsid w:val="0ACA46BB"/>
    <w:rsid w:val="0ACD37DE"/>
    <w:rsid w:val="0AD31A97"/>
    <w:rsid w:val="0AD71062"/>
    <w:rsid w:val="0AE17979"/>
    <w:rsid w:val="0AE5601F"/>
    <w:rsid w:val="0AEC53EB"/>
    <w:rsid w:val="0AF83BB7"/>
    <w:rsid w:val="0B016BFE"/>
    <w:rsid w:val="0B080D97"/>
    <w:rsid w:val="0B093C6C"/>
    <w:rsid w:val="0B124E21"/>
    <w:rsid w:val="0B133F8C"/>
    <w:rsid w:val="0B157D07"/>
    <w:rsid w:val="0B265941"/>
    <w:rsid w:val="0B2A251A"/>
    <w:rsid w:val="0B3448FF"/>
    <w:rsid w:val="0B3A6055"/>
    <w:rsid w:val="0B4440EE"/>
    <w:rsid w:val="0B49111F"/>
    <w:rsid w:val="0B503063"/>
    <w:rsid w:val="0B586DAF"/>
    <w:rsid w:val="0B5C4912"/>
    <w:rsid w:val="0B5D3BBA"/>
    <w:rsid w:val="0B6A7D3F"/>
    <w:rsid w:val="0B6C1151"/>
    <w:rsid w:val="0B6C11FA"/>
    <w:rsid w:val="0B6F3D80"/>
    <w:rsid w:val="0B6F7109"/>
    <w:rsid w:val="0B773C76"/>
    <w:rsid w:val="0B7E6E7F"/>
    <w:rsid w:val="0B834620"/>
    <w:rsid w:val="0B851589"/>
    <w:rsid w:val="0B853CAE"/>
    <w:rsid w:val="0B881723"/>
    <w:rsid w:val="0B8B296C"/>
    <w:rsid w:val="0B8C1E95"/>
    <w:rsid w:val="0B92449F"/>
    <w:rsid w:val="0B997836"/>
    <w:rsid w:val="0B9A554E"/>
    <w:rsid w:val="0B9D58C9"/>
    <w:rsid w:val="0BA13F3D"/>
    <w:rsid w:val="0BA16DF0"/>
    <w:rsid w:val="0BAD1DCD"/>
    <w:rsid w:val="0BB0183B"/>
    <w:rsid w:val="0BBC48D3"/>
    <w:rsid w:val="0BC55E7E"/>
    <w:rsid w:val="0BCD6B5A"/>
    <w:rsid w:val="0BD34E53"/>
    <w:rsid w:val="0BDD1576"/>
    <w:rsid w:val="0BDE0CED"/>
    <w:rsid w:val="0BE02938"/>
    <w:rsid w:val="0BE1148A"/>
    <w:rsid w:val="0BE74FD4"/>
    <w:rsid w:val="0BEA41FD"/>
    <w:rsid w:val="0BEB035C"/>
    <w:rsid w:val="0BF24799"/>
    <w:rsid w:val="0C01678A"/>
    <w:rsid w:val="0C084D2F"/>
    <w:rsid w:val="0C14638C"/>
    <w:rsid w:val="0C1B0DE0"/>
    <w:rsid w:val="0C255B0C"/>
    <w:rsid w:val="0C2856C3"/>
    <w:rsid w:val="0C374B50"/>
    <w:rsid w:val="0C381BBF"/>
    <w:rsid w:val="0C446146"/>
    <w:rsid w:val="0C4569A3"/>
    <w:rsid w:val="0C5143B9"/>
    <w:rsid w:val="0C527BF9"/>
    <w:rsid w:val="0C555066"/>
    <w:rsid w:val="0C573796"/>
    <w:rsid w:val="0C670CE3"/>
    <w:rsid w:val="0C696DDC"/>
    <w:rsid w:val="0C6A5C1F"/>
    <w:rsid w:val="0C70178B"/>
    <w:rsid w:val="0C7518DD"/>
    <w:rsid w:val="0C7835C9"/>
    <w:rsid w:val="0C790675"/>
    <w:rsid w:val="0C840CFC"/>
    <w:rsid w:val="0C922F27"/>
    <w:rsid w:val="0C933598"/>
    <w:rsid w:val="0C9C10F8"/>
    <w:rsid w:val="0CA70801"/>
    <w:rsid w:val="0CA84E57"/>
    <w:rsid w:val="0CAD1C43"/>
    <w:rsid w:val="0CAF3F33"/>
    <w:rsid w:val="0CB13539"/>
    <w:rsid w:val="0CB13991"/>
    <w:rsid w:val="0CB17E19"/>
    <w:rsid w:val="0CB311C6"/>
    <w:rsid w:val="0CB76E76"/>
    <w:rsid w:val="0CB92626"/>
    <w:rsid w:val="0CBC6880"/>
    <w:rsid w:val="0CC31ABE"/>
    <w:rsid w:val="0CC47CBD"/>
    <w:rsid w:val="0CC673A4"/>
    <w:rsid w:val="0CC82A09"/>
    <w:rsid w:val="0CC954FA"/>
    <w:rsid w:val="0CD143AE"/>
    <w:rsid w:val="0CD36378"/>
    <w:rsid w:val="0CD43F1B"/>
    <w:rsid w:val="0CD54629"/>
    <w:rsid w:val="0CDD2409"/>
    <w:rsid w:val="0CE40585"/>
    <w:rsid w:val="0CE835D2"/>
    <w:rsid w:val="0CEE4F60"/>
    <w:rsid w:val="0CF26929"/>
    <w:rsid w:val="0CFE1E34"/>
    <w:rsid w:val="0D0522AA"/>
    <w:rsid w:val="0D2A0BF1"/>
    <w:rsid w:val="0D313D9D"/>
    <w:rsid w:val="0D33382B"/>
    <w:rsid w:val="0D350EFF"/>
    <w:rsid w:val="0D382D12"/>
    <w:rsid w:val="0D3A56DF"/>
    <w:rsid w:val="0D3E7A26"/>
    <w:rsid w:val="0D4234FE"/>
    <w:rsid w:val="0D466EDE"/>
    <w:rsid w:val="0D4A68A2"/>
    <w:rsid w:val="0D4D035A"/>
    <w:rsid w:val="0D4F7C25"/>
    <w:rsid w:val="0D581966"/>
    <w:rsid w:val="0D5837B8"/>
    <w:rsid w:val="0D585E47"/>
    <w:rsid w:val="0D5A61E6"/>
    <w:rsid w:val="0D660B70"/>
    <w:rsid w:val="0D74258E"/>
    <w:rsid w:val="0D755681"/>
    <w:rsid w:val="0D7B2A85"/>
    <w:rsid w:val="0D7F4811"/>
    <w:rsid w:val="0D8660A3"/>
    <w:rsid w:val="0D8F03AD"/>
    <w:rsid w:val="0D934707"/>
    <w:rsid w:val="0D9A4A96"/>
    <w:rsid w:val="0DA24802"/>
    <w:rsid w:val="0DA3495F"/>
    <w:rsid w:val="0DA4187D"/>
    <w:rsid w:val="0DAC2FD4"/>
    <w:rsid w:val="0DBD01FF"/>
    <w:rsid w:val="0DC6453D"/>
    <w:rsid w:val="0DC958C9"/>
    <w:rsid w:val="0DD56AB1"/>
    <w:rsid w:val="0DDA27B5"/>
    <w:rsid w:val="0DDF6F76"/>
    <w:rsid w:val="0DE819AF"/>
    <w:rsid w:val="0DE85E53"/>
    <w:rsid w:val="0DED4888"/>
    <w:rsid w:val="0DEE4ED8"/>
    <w:rsid w:val="0DF7630D"/>
    <w:rsid w:val="0DF802C3"/>
    <w:rsid w:val="0DFE11D3"/>
    <w:rsid w:val="0E0520F2"/>
    <w:rsid w:val="0E0B1368"/>
    <w:rsid w:val="0E0E0F4F"/>
    <w:rsid w:val="0E1F69BB"/>
    <w:rsid w:val="0E234337"/>
    <w:rsid w:val="0E2C44C0"/>
    <w:rsid w:val="0E2E76D7"/>
    <w:rsid w:val="0E361F9E"/>
    <w:rsid w:val="0E366690"/>
    <w:rsid w:val="0E375D58"/>
    <w:rsid w:val="0E4D7884"/>
    <w:rsid w:val="0E510408"/>
    <w:rsid w:val="0E545297"/>
    <w:rsid w:val="0E5B76FE"/>
    <w:rsid w:val="0E7A77F9"/>
    <w:rsid w:val="0E7D5EA4"/>
    <w:rsid w:val="0E807F03"/>
    <w:rsid w:val="0E96679D"/>
    <w:rsid w:val="0E997CDD"/>
    <w:rsid w:val="0E9A34C2"/>
    <w:rsid w:val="0E9D4E90"/>
    <w:rsid w:val="0EB00310"/>
    <w:rsid w:val="0EB07DD1"/>
    <w:rsid w:val="0EBD4ADF"/>
    <w:rsid w:val="0EC07C46"/>
    <w:rsid w:val="0EC36125"/>
    <w:rsid w:val="0EC46FA8"/>
    <w:rsid w:val="0ECA76DE"/>
    <w:rsid w:val="0EE41D10"/>
    <w:rsid w:val="0EFD6619"/>
    <w:rsid w:val="0EFF1D8C"/>
    <w:rsid w:val="0F135C4F"/>
    <w:rsid w:val="0F154DFE"/>
    <w:rsid w:val="0F194278"/>
    <w:rsid w:val="0F365A5E"/>
    <w:rsid w:val="0F3A5DAC"/>
    <w:rsid w:val="0F3B61CA"/>
    <w:rsid w:val="0F3B735C"/>
    <w:rsid w:val="0F3F1AA3"/>
    <w:rsid w:val="0F405B1D"/>
    <w:rsid w:val="0F412D77"/>
    <w:rsid w:val="0F451083"/>
    <w:rsid w:val="0F4851F6"/>
    <w:rsid w:val="0F4A14D0"/>
    <w:rsid w:val="0F4C654E"/>
    <w:rsid w:val="0F4F40D5"/>
    <w:rsid w:val="0F570634"/>
    <w:rsid w:val="0F5814D3"/>
    <w:rsid w:val="0F585A09"/>
    <w:rsid w:val="0F5D11B8"/>
    <w:rsid w:val="0F5F6797"/>
    <w:rsid w:val="0F6459AD"/>
    <w:rsid w:val="0F680860"/>
    <w:rsid w:val="0F6845EC"/>
    <w:rsid w:val="0F6A4488"/>
    <w:rsid w:val="0F6C6749"/>
    <w:rsid w:val="0F713C26"/>
    <w:rsid w:val="0F7B3312"/>
    <w:rsid w:val="0F7F00F1"/>
    <w:rsid w:val="0F814899"/>
    <w:rsid w:val="0F843C35"/>
    <w:rsid w:val="0F8B3947"/>
    <w:rsid w:val="0F8C5D29"/>
    <w:rsid w:val="0F8C5D9A"/>
    <w:rsid w:val="0F8D2C07"/>
    <w:rsid w:val="0F8E7D91"/>
    <w:rsid w:val="0F915380"/>
    <w:rsid w:val="0F9A3A51"/>
    <w:rsid w:val="0FB25756"/>
    <w:rsid w:val="0FBC16B6"/>
    <w:rsid w:val="0FC5254C"/>
    <w:rsid w:val="0FC875BC"/>
    <w:rsid w:val="0FD15DD1"/>
    <w:rsid w:val="0FE21B47"/>
    <w:rsid w:val="0FE32D76"/>
    <w:rsid w:val="0FEA4FA4"/>
    <w:rsid w:val="0FED59A3"/>
    <w:rsid w:val="0FEF1EDB"/>
    <w:rsid w:val="0FF246FB"/>
    <w:rsid w:val="0FFC4B63"/>
    <w:rsid w:val="0FFF2CE9"/>
    <w:rsid w:val="10011ED5"/>
    <w:rsid w:val="10064CA7"/>
    <w:rsid w:val="101C4E2C"/>
    <w:rsid w:val="10262C63"/>
    <w:rsid w:val="103336F9"/>
    <w:rsid w:val="10337B51"/>
    <w:rsid w:val="10340F65"/>
    <w:rsid w:val="103B5D0E"/>
    <w:rsid w:val="103C5FE2"/>
    <w:rsid w:val="10486E45"/>
    <w:rsid w:val="105E3A48"/>
    <w:rsid w:val="10603479"/>
    <w:rsid w:val="10774403"/>
    <w:rsid w:val="107C5614"/>
    <w:rsid w:val="107C587F"/>
    <w:rsid w:val="108005C5"/>
    <w:rsid w:val="1081177B"/>
    <w:rsid w:val="10943F7C"/>
    <w:rsid w:val="109A0D26"/>
    <w:rsid w:val="109B01DA"/>
    <w:rsid w:val="10AD5515"/>
    <w:rsid w:val="10AF1CA6"/>
    <w:rsid w:val="10B30CC8"/>
    <w:rsid w:val="10C2298C"/>
    <w:rsid w:val="10C46BC6"/>
    <w:rsid w:val="10CA10CE"/>
    <w:rsid w:val="10D024D4"/>
    <w:rsid w:val="10D70C85"/>
    <w:rsid w:val="10D70D34"/>
    <w:rsid w:val="10E504DB"/>
    <w:rsid w:val="10E72755"/>
    <w:rsid w:val="10F464C6"/>
    <w:rsid w:val="10F97233"/>
    <w:rsid w:val="10FB6ACB"/>
    <w:rsid w:val="10FD1C16"/>
    <w:rsid w:val="11052878"/>
    <w:rsid w:val="110951F6"/>
    <w:rsid w:val="110B2362"/>
    <w:rsid w:val="11104C60"/>
    <w:rsid w:val="1138445C"/>
    <w:rsid w:val="113B1E88"/>
    <w:rsid w:val="113D1973"/>
    <w:rsid w:val="113D2E84"/>
    <w:rsid w:val="1144244A"/>
    <w:rsid w:val="114E48C6"/>
    <w:rsid w:val="1154228A"/>
    <w:rsid w:val="115852C0"/>
    <w:rsid w:val="115D1898"/>
    <w:rsid w:val="116C3E8A"/>
    <w:rsid w:val="118755F3"/>
    <w:rsid w:val="118E0992"/>
    <w:rsid w:val="118F280D"/>
    <w:rsid w:val="11A74F8C"/>
    <w:rsid w:val="11A85A9C"/>
    <w:rsid w:val="11AD17EC"/>
    <w:rsid w:val="11B12A00"/>
    <w:rsid w:val="11B67010"/>
    <w:rsid w:val="11B975F1"/>
    <w:rsid w:val="11BB76C7"/>
    <w:rsid w:val="11D53180"/>
    <w:rsid w:val="11DC4B16"/>
    <w:rsid w:val="11E04B0E"/>
    <w:rsid w:val="11E64A98"/>
    <w:rsid w:val="11E67C48"/>
    <w:rsid w:val="11ED342E"/>
    <w:rsid w:val="11EE46B1"/>
    <w:rsid w:val="11F16E03"/>
    <w:rsid w:val="12044276"/>
    <w:rsid w:val="12085BCD"/>
    <w:rsid w:val="12085E2F"/>
    <w:rsid w:val="120C1976"/>
    <w:rsid w:val="120C6B20"/>
    <w:rsid w:val="12120259"/>
    <w:rsid w:val="12145ED9"/>
    <w:rsid w:val="1215405E"/>
    <w:rsid w:val="12154CDA"/>
    <w:rsid w:val="121F46AB"/>
    <w:rsid w:val="122310B5"/>
    <w:rsid w:val="122E4051"/>
    <w:rsid w:val="123650E1"/>
    <w:rsid w:val="123C49C0"/>
    <w:rsid w:val="1245381A"/>
    <w:rsid w:val="124752E0"/>
    <w:rsid w:val="124A17E6"/>
    <w:rsid w:val="12520BA7"/>
    <w:rsid w:val="12537E78"/>
    <w:rsid w:val="125D421C"/>
    <w:rsid w:val="12760BEB"/>
    <w:rsid w:val="12791770"/>
    <w:rsid w:val="127A6D47"/>
    <w:rsid w:val="127E2257"/>
    <w:rsid w:val="12805870"/>
    <w:rsid w:val="1283780E"/>
    <w:rsid w:val="128D4CB4"/>
    <w:rsid w:val="12916EC6"/>
    <w:rsid w:val="12932B2B"/>
    <w:rsid w:val="12951D2C"/>
    <w:rsid w:val="129560B3"/>
    <w:rsid w:val="129A4E34"/>
    <w:rsid w:val="129B4724"/>
    <w:rsid w:val="129D5786"/>
    <w:rsid w:val="12A042DD"/>
    <w:rsid w:val="12A513C8"/>
    <w:rsid w:val="12B2425E"/>
    <w:rsid w:val="12B67541"/>
    <w:rsid w:val="12BE5807"/>
    <w:rsid w:val="12C568A9"/>
    <w:rsid w:val="12C63B0C"/>
    <w:rsid w:val="12CC7AF2"/>
    <w:rsid w:val="12D12C9B"/>
    <w:rsid w:val="12D23437"/>
    <w:rsid w:val="12D47AA5"/>
    <w:rsid w:val="12D90E3B"/>
    <w:rsid w:val="12E351D5"/>
    <w:rsid w:val="12E571B9"/>
    <w:rsid w:val="12EE3F3C"/>
    <w:rsid w:val="12F05282"/>
    <w:rsid w:val="12F412D3"/>
    <w:rsid w:val="12F90A50"/>
    <w:rsid w:val="1305272A"/>
    <w:rsid w:val="130C75FB"/>
    <w:rsid w:val="13160D6D"/>
    <w:rsid w:val="131759BD"/>
    <w:rsid w:val="131B5AA1"/>
    <w:rsid w:val="131D6B5F"/>
    <w:rsid w:val="1329063A"/>
    <w:rsid w:val="132B23F9"/>
    <w:rsid w:val="132C233E"/>
    <w:rsid w:val="132E5E3F"/>
    <w:rsid w:val="133041DD"/>
    <w:rsid w:val="13304E16"/>
    <w:rsid w:val="13381DCC"/>
    <w:rsid w:val="133C5666"/>
    <w:rsid w:val="133E6AFD"/>
    <w:rsid w:val="134A1231"/>
    <w:rsid w:val="134A527C"/>
    <w:rsid w:val="135E5775"/>
    <w:rsid w:val="135E63D0"/>
    <w:rsid w:val="135F0C8D"/>
    <w:rsid w:val="136724E2"/>
    <w:rsid w:val="13686AEE"/>
    <w:rsid w:val="13697860"/>
    <w:rsid w:val="137B4CF7"/>
    <w:rsid w:val="137C4505"/>
    <w:rsid w:val="13811016"/>
    <w:rsid w:val="138630FC"/>
    <w:rsid w:val="138C0C36"/>
    <w:rsid w:val="138D219A"/>
    <w:rsid w:val="138E2C34"/>
    <w:rsid w:val="138F7368"/>
    <w:rsid w:val="13AA4EB0"/>
    <w:rsid w:val="13B54A2A"/>
    <w:rsid w:val="13BE6086"/>
    <w:rsid w:val="13C87796"/>
    <w:rsid w:val="13D277FA"/>
    <w:rsid w:val="13D42A0D"/>
    <w:rsid w:val="13D541B6"/>
    <w:rsid w:val="13D6746E"/>
    <w:rsid w:val="13DB3B55"/>
    <w:rsid w:val="13EC250A"/>
    <w:rsid w:val="13FA728F"/>
    <w:rsid w:val="13FC4BCD"/>
    <w:rsid w:val="140D6614"/>
    <w:rsid w:val="140F6775"/>
    <w:rsid w:val="141259D8"/>
    <w:rsid w:val="141920F9"/>
    <w:rsid w:val="141A7542"/>
    <w:rsid w:val="141C4BEB"/>
    <w:rsid w:val="141C5D54"/>
    <w:rsid w:val="141F39ED"/>
    <w:rsid w:val="1427020F"/>
    <w:rsid w:val="14337F0B"/>
    <w:rsid w:val="14347B09"/>
    <w:rsid w:val="143A51A5"/>
    <w:rsid w:val="14411E19"/>
    <w:rsid w:val="14437F93"/>
    <w:rsid w:val="144A59C6"/>
    <w:rsid w:val="144C2E8E"/>
    <w:rsid w:val="14590E0E"/>
    <w:rsid w:val="14627FE2"/>
    <w:rsid w:val="1468299D"/>
    <w:rsid w:val="146A4025"/>
    <w:rsid w:val="146B5959"/>
    <w:rsid w:val="147072F3"/>
    <w:rsid w:val="147D768F"/>
    <w:rsid w:val="148533BC"/>
    <w:rsid w:val="14907D5A"/>
    <w:rsid w:val="14926675"/>
    <w:rsid w:val="149578F9"/>
    <w:rsid w:val="1498403C"/>
    <w:rsid w:val="149F4221"/>
    <w:rsid w:val="14A01236"/>
    <w:rsid w:val="14A4512F"/>
    <w:rsid w:val="14B06912"/>
    <w:rsid w:val="14BC4CE0"/>
    <w:rsid w:val="14C27956"/>
    <w:rsid w:val="14C447F8"/>
    <w:rsid w:val="14D30C59"/>
    <w:rsid w:val="14EA10A1"/>
    <w:rsid w:val="14EC1E44"/>
    <w:rsid w:val="14ED60DA"/>
    <w:rsid w:val="14F114F8"/>
    <w:rsid w:val="14F635F7"/>
    <w:rsid w:val="14F81B85"/>
    <w:rsid w:val="14F943EC"/>
    <w:rsid w:val="14FF5BCF"/>
    <w:rsid w:val="15032132"/>
    <w:rsid w:val="150323AA"/>
    <w:rsid w:val="15043D15"/>
    <w:rsid w:val="150F78A3"/>
    <w:rsid w:val="151106C8"/>
    <w:rsid w:val="15133B12"/>
    <w:rsid w:val="15144FA9"/>
    <w:rsid w:val="15157DEE"/>
    <w:rsid w:val="1517795C"/>
    <w:rsid w:val="151867EA"/>
    <w:rsid w:val="15190FE8"/>
    <w:rsid w:val="151D3D8F"/>
    <w:rsid w:val="15224EE6"/>
    <w:rsid w:val="152625F6"/>
    <w:rsid w:val="152751F1"/>
    <w:rsid w:val="152C67BC"/>
    <w:rsid w:val="152D239E"/>
    <w:rsid w:val="15390126"/>
    <w:rsid w:val="153B67F0"/>
    <w:rsid w:val="154444C7"/>
    <w:rsid w:val="15455D67"/>
    <w:rsid w:val="15460338"/>
    <w:rsid w:val="154C6CC8"/>
    <w:rsid w:val="15536B11"/>
    <w:rsid w:val="155838BF"/>
    <w:rsid w:val="155A47FB"/>
    <w:rsid w:val="155B6F0B"/>
    <w:rsid w:val="15660406"/>
    <w:rsid w:val="15674552"/>
    <w:rsid w:val="15705B65"/>
    <w:rsid w:val="157436FF"/>
    <w:rsid w:val="15750CE1"/>
    <w:rsid w:val="15756E0A"/>
    <w:rsid w:val="157D3325"/>
    <w:rsid w:val="158365B3"/>
    <w:rsid w:val="15840A62"/>
    <w:rsid w:val="15852331"/>
    <w:rsid w:val="15966ABA"/>
    <w:rsid w:val="159C7300"/>
    <w:rsid w:val="15A11DD5"/>
    <w:rsid w:val="15A4694C"/>
    <w:rsid w:val="15AE4242"/>
    <w:rsid w:val="15BC0CDD"/>
    <w:rsid w:val="15BC217C"/>
    <w:rsid w:val="15BD3FB0"/>
    <w:rsid w:val="15BF69F9"/>
    <w:rsid w:val="15C32D43"/>
    <w:rsid w:val="15C34AB0"/>
    <w:rsid w:val="15C870BD"/>
    <w:rsid w:val="15D34516"/>
    <w:rsid w:val="15DD61BC"/>
    <w:rsid w:val="15DE2308"/>
    <w:rsid w:val="15E417AF"/>
    <w:rsid w:val="15E57E4D"/>
    <w:rsid w:val="15EB21EA"/>
    <w:rsid w:val="15EC2259"/>
    <w:rsid w:val="15ED0467"/>
    <w:rsid w:val="15F076B0"/>
    <w:rsid w:val="15FD1475"/>
    <w:rsid w:val="160457F4"/>
    <w:rsid w:val="160F7235"/>
    <w:rsid w:val="1617327E"/>
    <w:rsid w:val="16252536"/>
    <w:rsid w:val="16271EB9"/>
    <w:rsid w:val="162B617B"/>
    <w:rsid w:val="16356791"/>
    <w:rsid w:val="163C450C"/>
    <w:rsid w:val="1642631D"/>
    <w:rsid w:val="1649782C"/>
    <w:rsid w:val="164D359C"/>
    <w:rsid w:val="16592EFB"/>
    <w:rsid w:val="165C1743"/>
    <w:rsid w:val="16613AEA"/>
    <w:rsid w:val="166334B5"/>
    <w:rsid w:val="166E54DE"/>
    <w:rsid w:val="16711130"/>
    <w:rsid w:val="167552FB"/>
    <w:rsid w:val="167D5B4B"/>
    <w:rsid w:val="16832B47"/>
    <w:rsid w:val="168A5016"/>
    <w:rsid w:val="16941BC7"/>
    <w:rsid w:val="16945D7B"/>
    <w:rsid w:val="16990041"/>
    <w:rsid w:val="169923E1"/>
    <w:rsid w:val="1699616D"/>
    <w:rsid w:val="169D78FD"/>
    <w:rsid w:val="16A070E1"/>
    <w:rsid w:val="16A24CDB"/>
    <w:rsid w:val="16A67D04"/>
    <w:rsid w:val="16AB6AC0"/>
    <w:rsid w:val="16B91D06"/>
    <w:rsid w:val="16B965DF"/>
    <w:rsid w:val="16BA2983"/>
    <w:rsid w:val="16BD709C"/>
    <w:rsid w:val="16C06693"/>
    <w:rsid w:val="16C90A7D"/>
    <w:rsid w:val="16D449C6"/>
    <w:rsid w:val="16D607DC"/>
    <w:rsid w:val="16D72079"/>
    <w:rsid w:val="16E115F2"/>
    <w:rsid w:val="16E178E4"/>
    <w:rsid w:val="16E3643F"/>
    <w:rsid w:val="16F444C5"/>
    <w:rsid w:val="16FB7BA2"/>
    <w:rsid w:val="1704049E"/>
    <w:rsid w:val="170A58BC"/>
    <w:rsid w:val="170B7078"/>
    <w:rsid w:val="170E4FA7"/>
    <w:rsid w:val="1718207F"/>
    <w:rsid w:val="171D7D63"/>
    <w:rsid w:val="1722480C"/>
    <w:rsid w:val="17273287"/>
    <w:rsid w:val="172B0DE8"/>
    <w:rsid w:val="172D7556"/>
    <w:rsid w:val="17376269"/>
    <w:rsid w:val="173C2D6C"/>
    <w:rsid w:val="173F405B"/>
    <w:rsid w:val="17405CFC"/>
    <w:rsid w:val="17473FD2"/>
    <w:rsid w:val="1749276F"/>
    <w:rsid w:val="17511459"/>
    <w:rsid w:val="175303E9"/>
    <w:rsid w:val="175420D8"/>
    <w:rsid w:val="175C6C24"/>
    <w:rsid w:val="17645B5B"/>
    <w:rsid w:val="17765242"/>
    <w:rsid w:val="178D4D2F"/>
    <w:rsid w:val="179728FD"/>
    <w:rsid w:val="179A0FB2"/>
    <w:rsid w:val="179D130B"/>
    <w:rsid w:val="179D3B20"/>
    <w:rsid w:val="179E7583"/>
    <w:rsid w:val="17AC6144"/>
    <w:rsid w:val="17BA7B2A"/>
    <w:rsid w:val="17BC17B5"/>
    <w:rsid w:val="17CB2CD4"/>
    <w:rsid w:val="17CC0594"/>
    <w:rsid w:val="17CD194C"/>
    <w:rsid w:val="17CF75C8"/>
    <w:rsid w:val="17D20611"/>
    <w:rsid w:val="17D336D0"/>
    <w:rsid w:val="17D90918"/>
    <w:rsid w:val="17DA4ED8"/>
    <w:rsid w:val="17E74B5B"/>
    <w:rsid w:val="17F3607D"/>
    <w:rsid w:val="17F73430"/>
    <w:rsid w:val="17F75278"/>
    <w:rsid w:val="17F828A0"/>
    <w:rsid w:val="180958D9"/>
    <w:rsid w:val="18096C0D"/>
    <w:rsid w:val="1815570A"/>
    <w:rsid w:val="18156B1A"/>
    <w:rsid w:val="181C0B0A"/>
    <w:rsid w:val="181C4E12"/>
    <w:rsid w:val="1821268E"/>
    <w:rsid w:val="18214ED1"/>
    <w:rsid w:val="18243E49"/>
    <w:rsid w:val="182511B9"/>
    <w:rsid w:val="18270CE9"/>
    <w:rsid w:val="18283A5F"/>
    <w:rsid w:val="18291542"/>
    <w:rsid w:val="182B323C"/>
    <w:rsid w:val="183E0722"/>
    <w:rsid w:val="183F48C2"/>
    <w:rsid w:val="18460BA5"/>
    <w:rsid w:val="18460F0B"/>
    <w:rsid w:val="18461C78"/>
    <w:rsid w:val="1851681E"/>
    <w:rsid w:val="185D020F"/>
    <w:rsid w:val="186240CF"/>
    <w:rsid w:val="186B214F"/>
    <w:rsid w:val="18707F46"/>
    <w:rsid w:val="18765BB5"/>
    <w:rsid w:val="187B4D36"/>
    <w:rsid w:val="187C6C4E"/>
    <w:rsid w:val="188B593C"/>
    <w:rsid w:val="189A4341"/>
    <w:rsid w:val="18AA11CA"/>
    <w:rsid w:val="18AC7574"/>
    <w:rsid w:val="18B079FF"/>
    <w:rsid w:val="18B61CD3"/>
    <w:rsid w:val="18BB775A"/>
    <w:rsid w:val="18C33430"/>
    <w:rsid w:val="18C87510"/>
    <w:rsid w:val="18D07C10"/>
    <w:rsid w:val="18F3029B"/>
    <w:rsid w:val="18FB3DE6"/>
    <w:rsid w:val="19012058"/>
    <w:rsid w:val="19017DC9"/>
    <w:rsid w:val="19053D5D"/>
    <w:rsid w:val="19140FD6"/>
    <w:rsid w:val="191C10A7"/>
    <w:rsid w:val="19212219"/>
    <w:rsid w:val="19286BFC"/>
    <w:rsid w:val="192A2B75"/>
    <w:rsid w:val="192C67D1"/>
    <w:rsid w:val="193006AE"/>
    <w:rsid w:val="19341625"/>
    <w:rsid w:val="19355CC5"/>
    <w:rsid w:val="19377C8F"/>
    <w:rsid w:val="193E5CBD"/>
    <w:rsid w:val="194523AC"/>
    <w:rsid w:val="19466D29"/>
    <w:rsid w:val="194859F8"/>
    <w:rsid w:val="1949743F"/>
    <w:rsid w:val="194B77D9"/>
    <w:rsid w:val="19600AE6"/>
    <w:rsid w:val="196047FE"/>
    <w:rsid w:val="19650358"/>
    <w:rsid w:val="19661D31"/>
    <w:rsid w:val="196D51B3"/>
    <w:rsid w:val="19700BCF"/>
    <w:rsid w:val="1974484E"/>
    <w:rsid w:val="198328DD"/>
    <w:rsid w:val="198B06EE"/>
    <w:rsid w:val="198B1400"/>
    <w:rsid w:val="1992081A"/>
    <w:rsid w:val="19921369"/>
    <w:rsid w:val="199724DC"/>
    <w:rsid w:val="1998517A"/>
    <w:rsid w:val="199B6470"/>
    <w:rsid w:val="19A53A26"/>
    <w:rsid w:val="19AA1027"/>
    <w:rsid w:val="19AA5554"/>
    <w:rsid w:val="19AD4E3C"/>
    <w:rsid w:val="19AE61A3"/>
    <w:rsid w:val="19AE7A87"/>
    <w:rsid w:val="19AF0731"/>
    <w:rsid w:val="19B51659"/>
    <w:rsid w:val="19B613BB"/>
    <w:rsid w:val="19D17821"/>
    <w:rsid w:val="19D2505F"/>
    <w:rsid w:val="19D45EE8"/>
    <w:rsid w:val="19E3348B"/>
    <w:rsid w:val="19E5246A"/>
    <w:rsid w:val="19E62197"/>
    <w:rsid w:val="19E92A5D"/>
    <w:rsid w:val="19F409C2"/>
    <w:rsid w:val="19F65454"/>
    <w:rsid w:val="19F82F7D"/>
    <w:rsid w:val="19FB2E12"/>
    <w:rsid w:val="19FD27B2"/>
    <w:rsid w:val="19FE255B"/>
    <w:rsid w:val="19FF76EC"/>
    <w:rsid w:val="1A03022E"/>
    <w:rsid w:val="1A070CAA"/>
    <w:rsid w:val="1A0914AE"/>
    <w:rsid w:val="1A0D279E"/>
    <w:rsid w:val="1A1F6D0F"/>
    <w:rsid w:val="1A2018EA"/>
    <w:rsid w:val="1A28016E"/>
    <w:rsid w:val="1A2D6AEA"/>
    <w:rsid w:val="1A2D78EA"/>
    <w:rsid w:val="1A2F3625"/>
    <w:rsid w:val="1A341F0C"/>
    <w:rsid w:val="1A375CFD"/>
    <w:rsid w:val="1A3F719A"/>
    <w:rsid w:val="1A43510A"/>
    <w:rsid w:val="1A515E3D"/>
    <w:rsid w:val="1A61734D"/>
    <w:rsid w:val="1A625792"/>
    <w:rsid w:val="1A7C5BE8"/>
    <w:rsid w:val="1A9201A3"/>
    <w:rsid w:val="1AA16B18"/>
    <w:rsid w:val="1AA372EB"/>
    <w:rsid w:val="1AA93095"/>
    <w:rsid w:val="1AAE21D3"/>
    <w:rsid w:val="1AB71087"/>
    <w:rsid w:val="1AC24B52"/>
    <w:rsid w:val="1AC35C05"/>
    <w:rsid w:val="1AC41B62"/>
    <w:rsid w:val="1AC54D97"/>
    <w:rsid w:val="1AC877CC"/>
    <w:rsid w:val="1AD559B1"/>
    <w:rsid w:val="1AE01A16"/>
    <w:rsid w:val="1AE74DFF"/>
    <w:rsid w:val="1AF13F1B"/>
    <w:rsid w:val="1AF37B70"/>
    <w:rsid w:val="1AF47380"/>
    <w:rsid w:val="1AF804E6"/>
    <w:rsid w:val="1AFC30E4"/>
    <w:rsid w:val="1AFE7327"/>
    <w:rsid w:val="1B030A22"/>
    <w:rsid w:val="1B0342CC"/>
    <w:rsid w:val="1B072822"/>
    <w:rsid w:val="1B1748D3"/>
    <w:rsid w:val="1B185D4C"/>
    <w:rsid w:val="1B1B628E"/>
    <w:rsid w:val="1B25782B"/>
    <w:rsid w:val="1B272D98"/>
    <w:rsid w:val="1B2770C4"/>
    <w:rsid w:val="1B337952"/>
    <w:rsid w:val="1B376D45"/>
    <w:rsid w:val="1B4052F7"/>
    <w:rsid w:val="1B477451"/>
    <w:rsid w:val="1B4B0215"/>
    <w:rsid w:val="1B4E1736"/>
    <w:rsid w:val="1B513AE7"/>
    <w:rsid w:val="1B535DA2"/>
    <w:rsid w:val="1B54463E"/>
    <w:rsid w:val="1B575EC5"/>
    <w:rsid w:val="1B5E7330"/>
    <w:rsid w:val="1B63521F"/>
    <w:rsid w:val="1B6603B7"/>
    <w:rsid w:val="1B7106D0"/>
    <w:rsid w:val="1B713CA5"/>
    <w:rsid w:val="1B726410"/>
    <w:rsid w:val="1B7A6E0A"/>
    <w:rsid w:val="1B7E7C1C"/>
    <w:rsid w:val="1B7F69F3"/>
    <w:rsid w:val="1B821D17"/>
    <w:rsid w:val="1B840F4E"/>
    <w:rsid w:val="1B8720DA"/>
    <w:rsid w:val="1B91272A"/>
    <w:rsid w:val="1B914D85"/>
    <w:rsid w:val="1B9428C5"/>
    <w:rsid w:val="1B9608EB"/>
    <w:rsid w:val="1B9C027D"/>
    <w:rsid w:val="1B9C533B"/>
    <w:rsid w:val="1BA67AEC"/>
    <w:rsid w:val="1BAD2211"/>
    <w:rsid w:val="1BAE7CA5"/>
    <w:rsid w:val="1BB66D36"/>
    <w:rsid w:val="1BB750B7"/>
    <w:rsid w:val="1BBA765A"/>
    <w:rsid w:val="1BC15A93"/>
    <w:rsid w:val="1BC337B8"/>
    <w:rsid w:val="1BC56CC8"/>
    <w:rsid w:val="1BC62853"/>
    <w:rsid w:val="1BCE7131"/>
    <w:rsid w:val="1BCF32BE"/>
    <w:rsid w:val="1BD1751D"/>
    <w:rsid w:val="1BD21C3E"/>
    <w:rsid w:val="1BD55A02"/>
    <w:rsid w:val="1BDD3562"/>
    <w:rsid w:val="1BDE6F2C"/>
    <w:rsid w:val="1BE03A12"/>
    <w:rsid w:val="1BF129E4"/>
    <w:rsid w:val="1BF31FE7"/>
    <w:rsid w:val="1BF8721B"/>
    <w:rsid w:val="1BFD4CE7"/>
    <w:rsid w:val="1C0A3B71"/>
    <w:rsid w:val="1C101977"/>
    <w:rsid w:val="1C1636DB"/>
    <w:rsid w:val="1C1D36D7"/>
    <w:rsid w:val="1C263E0C"/>
    <w:rsid w:val="1C3330ED"/>
    <w:rsid w:val="1C5446B4"/>
    <w:rsid w:val="1C550A85"/>
    <w:rsid w:val="1C56042C"/>
    <w:rsid w:val="1C56619F"/>
    <w:rsid w:val="1C5C18EB"/>
    <w:rsid w:val="1C662681"/>
    <w:rsid w:val="1C6A2365"/>
    <w:rsid w:val="1C741721"/>
    <w:rsid w:val="1C7B35D0"/>
    <w:rsid w:val="1C7D074C"/>
    <w:rsid w:val="1C7F78C4"/>
    <w:rsid w:val="1C80546B"/>
    <w:rsid w:val="1C8054A9"/>
    <w:rsid w:val="1C856F63"/>
    <w:rsid w:val="1C877B55"/>
    <w:rsid w:val="1C890966"/>
    <w:rsid w:val="1C9553F8"/>
    <w:rsid w:val="1C957783"/>
    <w:rsid w:val="1C973422"/>
    <w:rsid w:val="1CAC426A"/>
    <w:rsid w:val="1CBB2A87"/>
    <w:rsid w:val="1CBF2A9E"/>
    <w:rsid w:val="1CC4581F"/>
    <w:rsid w:val="1CCA6BD4"/>
    <w:rsid w:val="1CD852E5"/>
    <w:rsid w:val="1CD914FE"/>
    <w:rsid w:val="1CDF6673"/>
    <w:rsid w:val="1CE4792E"/>
    <w:rsid w:val="1CE712D2"/>
    <w:rsid w:val="1CF62370"/>
    <w:rsid w:val="1CFB71CD"/>
    <w:rsid w:val="1D040A6E"/>
    <w:rsid w:val="1D0D5C4D"/>
    <w:rsid w:val="1D12040F"/>
    <w:rsid w:val="1D130365"/>
    <w:rsid w:val="1D14129B"/>
    <w:rsid w:val="1D1A3E9F"/>
    <w:rsid w:val="1D1C05CD"/>
    <w:rsid w:val="1D1C0738"/>
    <w:rsid w:val="1D1D4F4C"/>
    <w:rsid w:val="1D2D0F14"/>
    <w:rsid w:val="1D2E38C8"/>
    <w:rsid w:val="1D3017AA"/>
    <w:rsid w:val="1D302E88"/>
    <w:rsid w:val="1D3415C0"/>
    <w:rsid w:val="1D424A28"/>
    <w:rsid w:val="1D4B6CCC"/>
    <w:rsid w:val="1D550252"/>
    <w:rsid w:val="1D5726AE"/>
    <w:rsid w:val="1D5C5E05"/>
    <w:rsid w:val="1D62525F"/>
    <w:rsid w:val="1D627B00"/>
    <w:rsid w:val="1D701794"/>
    <w:rsid w:val="1D7A0527"/>
    <w:rsid w:val="1D7E3D0A"/>
    <w:rsid w:val="1D8900A1"/>
    <w:rsid w:val="1D8A337B"/>
    <w:rsid w:val="1D903C0A"/>
    <w:rsid w:val="1D912C18"/>
    <w:rsid w:val="1D917454"/>
    <w:rsid w:val="1D9313AE"/>
    <w:rsid w:val="1D992297"/>
    <w:rsid w:val="1DA56F05"/>
    <w:rsid w:val="1DA71127"/>
    <w:rsid w:val="1DAD3814"/>
    <w:rsid w:val="1DB03833"/>
    <w:rsid w:val="1DB03F6A"/>
    <w:rsid w:val="1DB55626"/>
    <w:rsid w:val="1DB84B06"/>
    <w:rsid w:val="1DB953D7"/>
    <w:rsid w:val="1DBD1DC2"/>
    <w:rsid w:val="1DBE0116"/>
    <w:rsid w:val="1DC57023"/>
    <w:rsid w:val="1DCA0BBD"/>
    <w:rsid w:val="1DD25C7B"/>
    <w:rsid w:val="1DD912B4"/>
    <w:rsid w:val="1DDD0ECB"/>
    <w:rsid w:val="1DDE0117"/>
    <w:rsid w:val="1DDE0F89"/>
    <w:rsid w:val="1DE101C9"/>
    <w:rsid w:val="1DE34703"/>
    <w:rsid w:val="1DE93FE6"/>
    <w:rsid w:val="1DEB52BC"/>
    <w:rsid w:val="1DF24184"/>
    <w:rsid w:val="1DF66304"/>
    <w:rsid w:val="1DF94222"/>
    <w:rsid w:val="1DFB28D0"/>
    <w:rsid w:val="1E032835"/>
    <w:rsid w:val="1E1047A0"/>
    <w:rsid w:val="1E217421"/>
    <w:rsid w:val="1E25505C"/>
    <w:rsid w:val="1E256363"/>
    <w:rsid w:val="1E2E01A7"/>
    <w:rsid w:val="1E2F2251"/>
    <w:rsid w:val="1E3824DF"/>
    <w:rsid w:val="1E3F66B1"/>
    <w:rsid w:val="1E4C681D"/>
    <w:rsid w:val="1E4F504C"/>
    <w:rsid w:val="1E5254CC"/>
    <w:rsid w:val="1E572188"/>
    <w:rsid w:val="1E5851DC"/>
    <w:rsid w:val="1E594203"/>
    <w:rsid w:val="1E5B2200"/>
    <w:rsid w:val="1E5C5C1B"/>
    <w:rsid w:val="1E601A36"/>
    <w:rsid w:val="1E616CA5"/>
    <w:rsid w:val="1E6D14BB"/>
    <w:rsid w:val="1E6D3215"/>
    <w:rsid w:val="1E727A79"/>
    <w:rsid w:val="1E7554E1"/>
    <w:rsid w:val="1E755601"/>
    <w:rsid w:val="1E7717E0"/>
    <w:rsid w:val="1E791B85"/>
    <w:rsid w:val="1E8666FA"/>
    <w:rsid w:val="1E982F7E"/>
    <w:rsid w:val="1E9A4F48"/>
    <w:rsid w:val="1E9B68F4"/>
    <w:rsid w:val="1EB171BF"/>
    <w:rsid w:val="1ED37F8B"/>
    <w:rsid w:val="1EDF1C02"/>
    <w:rsid w:val="1EE44085"/>
    <w:rsid w:val="1EF218E1"/>
    <w:rsid w:val="1EF72622"/>
    <w:rsid w:val="1EFB350D"/>
    <w:rsid w:val="1F071F21"/>
    <w:rsid w:val="1F0B48C5"/>
    <w:rsid w:val="1F0B5C27"/>
    <w:rsid w:val="1F0D33EE"/>
    <w:rsid w:val="1F0F18E0"/>
    <w:rsid w:val="1F12549C"/>
    <w:rsid w:val="1F1376AE"/>
    <w:rsid w:val="1F14720A"/>
    <w:rsid w:val="1F197529"/>
    <w:rsid w:val="1F1A1221"/>
    <w:rsid w:val="1F1A7E37"/>
    <w:rsid w:val="1F1B1DC6"/>
    <w:rsid w:val="1F1B601F"/>
    <w:rsid w:val="1F1F394D"/>
    <w:rsid w:val="1F200E6F"/>
    <w:rsid w:val="1F201295"/>
    <w:rsid w:val="1F2A260B"/>
    <w:rsid w:val="1F2F3B6E"/>
    <w:rsid w:val="1F30765A"/>
    <w:rsid w:val="1F3515EE"/>
    <w:rsid w:val="1F4610B0"/>
    <w:rsid w:val="1F4E6402"/>
    <w:rsid w:val="1F5222EA"/>
    <w:rsid w:val="1F552E57"/>
    <w:rsid w:val="1F574407"/>
    <w:rsid w:val="1F58270D"/>
    <w:rsid w:val="1F5B3C9C"/>
    <w:rsid w:val="1F5E26EF"/>
    <w:rsid w:val="1F606566"/>
    <w:rsid w:val="1F670220"/>
    <w:rsid w:val="1F68349A"/>
    <w:rsid w:val="1F692B49"/>
    <w:rsid w:val="1F6D49B7"/>
    <w:rsid w:val="1F6E6131"/>
    <w:rsid w:val="1F702F1F"/>
    <w:rsid w:val="1F74064B"/>
    <w:rsid w:val="1F8B2AE2"/>
    <w:rsid w:val="1F911788"/>
    <w:rsid w:val="1F930B75"/>
    <w:rsid w:val="1F955E2F"/>
    <w:rsid w:val="1FA71805"/>
    <w:rsid w:val="1FA86760"/>
    <w:rsid w:val="1FA95833"/>
    <w:rsid w:val="1FAC5690"/>
    <w:rsid w:val="1FB43DE7"/>
    <w:rsid w:val="1FB913FE"/>
    <w:rsid w:val="1FBF4A8A"/>
    <w:rsid w:val="1FC2063B"/>
    <w:rsid w:val="1FC35847"/>
    <w:rsid w:val="1FC55FF4"/>
    <w:rsid w:val="1FD3016F"/>
    <w:rsid w:val="1FD83E26"/>
    <w:rsid w:val="1FE748B2"/>
    <w:rsid w:val="1FF145BD"/>
    <w:rsid w:val="1FF772E4"/>
    <w:rsid w:val="1FF8421F"/>
    <w:rsid w:val="1FF87587"/>
    <w:rsid w:val="2005329B"/>
    <w:rsid w:val="201E0F30"/>
    <w:rsid w:val="202956FF"/>
    <w:rsid w:val="202E418F"/>
    <w:rsid w:val="20306029"/>
    <w:rsid w:val="20383D0A"/>
    <w:rsid w:val="203905F7"/>
    <w:rsid w:val="203B62B7"/>
    <w:rsid w:val="203F6A96"/>
    <w:rsid w:val="204E1B77"/>
    <w:rsid w:val="20554B5A"/>
    <w:rsid w:val="20623843"/>
    <w:rsid w:val="206579E7"/>
    <w:rsid w:val="206A094A"/>
    <w:rsid w:val="20706715"/>
    <w:rsid w:val="207D4DD2"/>
    <w:rsid w:val="208946C4"/>
    <w:rsid w:val="20905B16"/>
    <w:rsid w:val="20961042"/>
    <w:rsid w:val="20995ABB"/>
    <w:rsid w:val="209A0F67"/>
    <w:rsid w:val="209D2111"/>
    <w:rsid w:val="209E2555"/>
    <w:rsid w:val="20A0436C"/>
    <w:rsid w:val="20A4023C"/>
    <w:rsid w:val="20A43E5C"/>
    <w:rsid w:val="20A44412"/>
    <w:rsid w:val="20A500EF"/>
    <w:rsid w:val="20A81EFB"/>
    <w:rsid w:val="20B901E6"/>
    <w:rsid w:val="20C22527"/>
    <w:rsid w:val="20C504E1"/>
    <w:rsid w:val="20D84F5E"/>
    <w:rsid w:val="20DB3CE6"/>
    <w:rsid w:val="20E75825"/>
    <w:rsid w:val="20ED6D83"/>
    <w:rsid w:val="20EE157B"/>
    <w:rsid w:val="20F60566"/>
    <w:rsid w:val="20F76F9F"/>
    <w:rsid w:val="21052067"/>
    <w:rsid w:val="21062E17"/>
    <w:rsid w:val="21066E9F"/>
    <w:rsid w:val="210B23F3"/>
    <w:rsid w:val="21272D99"/>
    <w:rsid w:val="21303941"/>
    <w:rsid w:val="213C0949"/>
    <w:rsid w:val="213F1772"/>
    <w:rsid w:val="21425ABE"/>
    <w:rsid w:val="214925EF"/>
    <w:rsid w:val="214F5671"/>
    <w:rsid w:val="215411A1"/>
    <w:rsid w:val="215A0A9C"/>
    <w:rsid w:val="215E1865"/>
    <w:rsid w:val="216939A1"/>
    <w:rsid w:val="21772E68"/>
    <w:rsid w:val="21820CE0"/>
    <w:rsid w:val="21842E37"/>
    <w:rsid w:val="2185209D"/>
    <w:rsid w:val="2189355A"/>
    <w:rsid w:val="218E6C23"/>
    <w:rsid w:val="21923751"/>
    <w:rsid w:val="21932DA7"/>
    <w:rsid w:val="21952B09"/>
    <w:rsid w:val="21957C48"/>
    <w:rsid w:val="21983152"/>
    <w:rsid w:val="21983F40"/>
    <w:rsid w:val="219F0960"/>
    <w:rsid w:val="21AA52C8"/>
    <w:rsid w:val="21AB7124"/>
    <w:rsid w:val="21AE11BF"/>
    <w:rsid w:val="21B75902"/>
    <w:rsid w:val="21BA17D3"/>
    <w:rsid w:val="21BB5CB4"/>
    <w:rsid w:val="21BE3CFF"/>
    <w:rsid w:val="21C02867"/>
    <w:rsid w:val="21C41DBF"/>
    <w:rsid w:val="21CA2577"/>
    <w:rsid w:val="21CC3D6A"/>
    <w:rsid w:val="21D4622C"/>
    <w:rsid w:val="21DA452C"/>
    <w:rsid w:val="21DC41D5"/>
    <w:rsid w:val="21E42778"/>
    <w:rsid w:val="21E6528F"/>
    <w:rsid w:val="21ED05CA"/>
    <w:rsid w:val="21F20BF7"/>
    <w:rsid w:val="21F57CA2"/>
    <w:rsid w:val="21F95B18"/>
    <w:rsid w:val="22062402"/>
    <w:rsid w:val="22071A6B"/>
    <w:rsid w:val="22095C9F"/>
    <w:rsid w:val="221072CF"/>
    <w:rsid w:val="2212354D"/>
    <w:rsid w:val="22127A6A"/>
    <w:rsid w:val="22147F34"/>
    <w:rsid w:val="221C7277"/>
    <w:rsid w:val="222061AE"/>
    <w:rsid w:val="22223133"/>
    <w:rsid w:val="2229257E"/>
    <w:rsid w:val="22294C32"/>
    <w:rsid w:val="222D29A1"/>
    <w:rsid w:val="22407BB4"/>
    <w:rsid w:val="224156DA"/>
    <w:rsid w:val="22477020"/>
    <w:rsid w:val="22531DD0"/>
    <w:rsid w:val="22584897"/>
    <w:rsid w:val="226232E1"/>
    <w:rsid w:val="227152C9"/>
    <w:rsid w:val="22766F2B"/>
    <w:rsid w:val="2278071D"/>
    <w:rsid w:val="227B2B5D"/>
    <w:rsid w:val="227C4964"/>
    <w:rsid w:val="2286605A"/>
    <w:rsid w:val="22916662"/>
    <w:rsid w:val="2294705D"/>
    <w:rsid w:val="22991189"/>
    <w:rsid w:val="229C2E79"/>
    <w:rsid w:val="22A651B1"/>
    <w:rsid w:val="22A83AA0"/>
    <w:rsid w:val="22AA3953"/>
    <w:rsid w:val="22B344DC"/>
    <w:rsid w:val="22B45EAC"/>
    <w:rsid w:val="22B47F5E"/>
    <w:rsid w:val="22C42062"/>
    <w:rsid w:val="22C430A7"/>
    <w:rsid w:val="22C43200"/>
    <w:rsid w:val="22D02EB3"/>
    <w:rsid w:val="22D1479B"/>
    <w:rsid w:val="22D14E2A"/>
    <w:rsid w:val="22D24AC7"/>
    <w:rsid w:val="22D255C3"/>
    <w:rsid w:val="22D55172"/>
    <w:rsid w:val="22DF7579"/>
    <w:rsid w:val="22E24456"/>
    <w:rsid w:val="22E347D6"/>
    <w:rsid w:val="22F2235F"/>
    <w:rsid w:val="230138BC"/>
    <w:rsid w:val="2306294C"/>
    <w:rsid w:val="230775D8"/>
    <w:rsid w:val="23123254"/>
    <w:rsid w:val="2319250C"/>
    <w:rsid w:val="231933AB"/>
    <w:rsid w:val="2320149D"/>
    <w:rsid w:val="232459AE"/>
    <w:rsid w:val="232945BA"/>
    <w:rsid w:val="232F20AD"/>
    <w:rsid w:val="233061EE"/>
    <w:rsid w:val="23362A68"/>
    <w:rsid w:val="23380EFC"/>
    <w:rsid w:val="23460683"/>
    <w:rsid w:val="23486FA2"/>
    <w:rsid w:val="234B3F4E"/>
    <w:rsid w:val="234D6DB8"/>
    <w:rsid w:val="23517B9F"/>
    <w:rsid w:val="23533917"/>
    <w:rsid w:val="2360018A"/>
    <w:rsid w:val="236D648A"/>
    <w:rsid w:val="23754068"/>
    <w:rsid w:val="237563D0"/>
    <w:rsid w:val="2377358E"/>
    <w:rsid w:val="2390245A"/>
    <w:rsid w:val="239A58C9"/>
    <w:rsid w:val="23A150F7"/>
    <w:rsid w:val="23A75B0C"/>
    <w:rsid w:val="23AA013E"/>
    <w:rsid w:val="23AD10FD"/>
    <w:rsid w:val="23AE6B18"/>
    <w:rsid w:val="23BB0364"/>
    <w:rsid w:val="23C12F77"/>
    <w:rsid w:val="23C32048"/>
    <w:rsid w:val="23C664EC"/>
    <w:rsid w:val="23D43744"/>
    <w:rsid w:val="23D86307"/>
    <w:rsid w:val="23DE1308"/>
    <w:rsid w:val="23E03A1B"/>
    <w:rsid w:val="23E238D8"/>
    <w:rsid w:val="23E74C90"/>
    <w:rsid w:val="23EA1F2C"/>
    <w:rsid w:val="23ED5E82"/>
    <w:rsid w:val="23F472F9"/>
    <w:rsid w:val="23F53589"/>
    <w:rsid w:val="240B61E7"/>
    <w:rsid w:val="24114598"/>
    <w:rsid w:val="24144033"/>
    <w:rsid w:val="24163C13"/>
    <w:rsid w:val="24174A63"/>
    <w:rsid w:val="24213484"/>
    <w:rsid w:val="24271F43"/>
    <w:rsid w:val="242B4639"/>
    <w:rsid w:val="242D0274"/>
    <w:rsid w:val="242F52D4"/>
    <w:rsid w:val="243125CC"/>
    <w:rsid w:val="243A43BC"/>
    <w:rsid w:val="2448243E"/>
    <w:rsid w:val="244D0FAE"/>
    <w:rsid w:val="244F1CFC"/>
    <w:rsid w:val="24517652"/>
    <w:rsid w:val="24555F1A"/>
    <w:rsid w:val="245576C2"/>
    <w:rsid w:val="245B0CD5"/>
    <w:rsid w:val="245B58DA"/>
    <w:rsid w:val="24607AC8"/>
    <w:rsid w:val="24620B77"/>
    <w:rsid w:val="246719D3"/>
    <w:rsid w:val="246A716A"/>
    <w:rsid w:val="24701892"/>
    <w:rsid w:val="24733B2F"/>
    <w:rsid w:val="247671F7"/>
    <w:rsid w:val="247B4BA8"/>
    <w:rsid w:val="24857038"/>
    <w:rsid w:val="248A0711"/>
    <w:rsid w:val="248F0304"/>
    <w:rsid w:val="24905294"/>
    <w:rsid w:val="24932B88"/>
    <w:rsid w:val="249561A3"/>
    <w:rsid w:val="24997CC7"/>
    <w:rsid w:val="24A21E6B"/>
    <w:rsid w:val="24A64828"/>
    <w:rsid w:val="24A847E5"/>
    <w:rsid w:val="24B413AB"/>
    <w:rsid w:val="24C0401F"/>
    <w:rsid w:val="24D300BC"/>
    <w:rsid w:val="24D47CF3"/>
    <w:rsid w:val="24D805B4"/>
    <w:rsid w:val="24D94550"/>
    <w:rsid w:val="24DD0E06"/>
    <w:rsid w:val="24DE708D"/>
    <w:rsid w:val="24DF704A"/>
    <w:rsid w:val="24E211F1"/>
    <w:rsid w:val="24F72622"/>
    <w:rsid w:val="24F97CC4"/>
    <w:rsid w:val="24FA01E2"/>
    <w:rsid w:val="24FA1A22"/>
    <w:rsid w:val="25024ED8"/>
    <w:rsid w:val="250B5618"/>
    <w:rsid w:val="251171F6"/>
    <w:rsid w:val="25147F1E"/>
    <w:rsid w:val="251A0639"/>
    <w:rsid w:val="251C2BE5"/>
    <w:rsid w:val="251E60F2"/>
    <w:rsid w:val="2522278B"/>
    <w:rsid w:val="25256350"/>
    <w:rsid w:val="252B4B4C"/>
    <w:rsid w:val="25371198"/>
    <w:rsid w:val="253A5E5C"/>
    <w:rsid w:val="253B2488"/>
    <w:rsid w:val="253C2171"/>
    <w:rsid w:val="25401BAF"/>
    <w:rsid w:val="25433B3D"/>
    <w:rsid w:val="25495B93"/>
    <w:rsid w:val="254A0B85"/>
    <w:rsid w:val="25506DB0"/>
    <w:rsid w:val="25601E2B"/>
    <w:rsid w:val="256234E5"/>
    <w:rsid w:val="256E6210"/>
    <w:rsid w:val="25783B09"/>
    <w:rsid w:val="257C1727"/>
    <w:rsid w:val="25832179"/>
    <w:rsid w:val="25873D10"/>
    <w:rsid w:val="25A0096A"/>
    <w:rsid w:val="25A0536D"/>
    <w:rsid w:val="25AD03CC"/>
    <w:rsid w:val="25B545A1"/>
    <w:rsid w:val="25C10935"/>
    <w:rsid w:val="25CC2705"/>
    <w:rsid w:val="25CC3B7E"/>
    <w:rsid w:val="25CD322A"/>
    <w:rsid w:val="25CE3B13"/>
    <w:rsid w:val="25D60133"/>
    <w:rsid w:val="25D93EFD"/>
    <w:rsid w:val="25DA3E7C"/>
    <w:rsid w:val="25DF37D9"/>
    <w:rsid w:val="25E64E60"/>
    <w:rsid w:val="25EA17F0"/>
    <w:rsid w:val="26074549"/>
    <w:rsid w:val="26175939"/>
    <w:rsid w:val="261B67EA"/>
    <w:rsid w:val="262D02F1"/>
    <w:rsid w:val="262D3BB0"/>
    <w:rsid w:val="262E5F76"/>
    <w:rsid w:val="2641633A"/>
    <w:rsid w:val="26422132"/>
    <w:rsid w:val="264659B5"/>
    <w:rsid w:val="26466FCA"/>
    <w:rsid w:val="264F61D3"/>
    <w:rsid w:val="265005A6"/>
    <w:rsid w:val="265052BA"/>
    <w:rsid w:val="265342F1"/>
    <w:rsid w:val="26546610"/>
    <w:rsid w:val="265A4FBD"/>
    <w:rsid w:val="265E166F"/>
    <w:rsid w:val="265E20B1"/>
    <w:rsid w:val="266320C3"/>
    <w:rsid w:val="266C6610"/>
    <w:rsid w:val="266E73DA"/>
    <w:rsid w:val="26746C19"/>
    <w:rsid w:val="2681079B"/>
    <w:rsid w:val="26853E10"/>
    <w:rsid w:val="26917778"/>
    <w:rsid w:val="26A42064"/>
    <w:rsid w:val="26B559CA"/>
    <w:rsid w:val="26B725FC"/>
    <w:rsid w:val="26BA6A69"/>
    <w:rsid w:val="26BE19EF"/>
    <w:rsid w:val="26C73B88"/>
    <w:rsid w:val="26D80056"/>
    <w:rsid w:val="26D95CF3"/>
    <w:rsid w:val="26E51BDB"/>
    <w:rsid w:val="26E528AF"/>
    <w:rsid w:val="26E753EA"/>
    <w:rsid w:val="26EF0674"/>
    <w:rsid w:val="26EF3957"/>
    <w:rsid w:val="26F12546"/>
    <w:rsid w:val="26F52D08"/>
    <w:rsid w:val="26FB5B3E"/>
    <w:rsid w:val="270452E6"/>
    <w:rsid w:val="27074598"/>
    <w:rsid w:val="270C2717"/>
    <w:rsid w:val="27162549"/>
    <w:rsid w:val="271B6B4A"/>
    <w:rsid w:val="271E4E67"/>
    <w:rsid w:val="271F4DA4"/>
    <w:rsid w:val="2723227E"/>
    <w:rsid w:val="272F1FA5"/>
    <w:rsid w:val="27345AA7"/>
    <w:rsid w:val="27395A89"/>
    <w:rsid w:val="273A6730"/>
    <w:rsid w:val="27455C6D"/>
    <w:rsid w:val="27483067"/>
    <w:rsid w:val="274859CA"/>
    <w:rsid w:val="27486A6B"/>
    <w:rsid w:val="274B18A7"/>
    <w:rsid w:val="274D53FE"/>
    <w:rsid w:val="27507494"/>
    <w:rsid w:val="27563DD1"/>
    <w:rsid w:val="27567F62"/>
    <w:rsid w:val="27581EE6"/>
    <w:rsid w:val="275D483A"/>
    <w:rsid w:val="27634E0B"/>
    <w:rsid w:val="276C4D8D"/>
    <w:rsid w:val="27756A6D"/>
    <w:rsid w:val="277827A6"/>
    <w:rsid w:val="278760B4"/>
    <w:rsid w:val="278D1953"/>
    <w:rsid w:val="278F2151"/>
    <w:rsid w:val="279957BC"/>
    <w:rsid w:val="27996977"/>
    <w:rsid w:val="279A7D67"/>
    <w:rsid w:val="279E6B73"/>
    <w:rsid w:val="27AA1C29"/>
    <w:rsid w:val="27AB39C1"/>
    <w:rsid w:val="27B0154A"/>
    <w:rsid w:val="27B34DB1"/>
    <w:rsid w:val="27BA5D13"/>
    <w:rsid w:val="27BD3A55"/>
    <w:rsid w:val="27C06D71"/>
    <w:rsid w:val="27CB1488"/>
    <w:rsid w:val="27CB6809"/>
    <w:rsid w:val="27CE17BE"/>
    <w:rsid w:val="27D0143D"/>
    <w:rsid w:val="27D8263D"/>
    <w:rsid w:val="27DF1DD8"/>
    <w:rsid w:val="27E46364"/>
    <w:rsid w:val="27EF15D0"/>
    <w:rsid w:val="27F82952"/>
    <w:rsid w:val="27FC4A19"/>
    <w:rsid w:val="27FF203D"/>
    <w:rsid w:val="28081174"/>
    <w:rsid w:val="28145CBD"/>
    <w:rsid w:val="28187FA8"/>
    <w:rsid w:val="28235FAE"/>
    <w:rsid w:val="28241570"/>
    <w:rsid w:val="28302BB3"/>
    <w:rsid w:val="283413A4"/>
    <w:rsid w:val="28392DDD"/>
    <w:rsid w:val="283C72B8"/>
    <w:rsid w:val="283D50F2"/>
    <w:rsid w:val="283D79EC"/>
    <w:rsid w:val="283F26BC"/>
    <w:rsid w:val="283F6ECF"/>
    <w:rsid w:val="284253F6"/>
    <w:rsid w:val="2847238D"/>
    <w:rsid w:val="284835B4"/>
    <w:rsid w:val="2852590A"/>
    <w:rsid w:val="28543FD9"/>
    <w:rsid w:val="285B752B"/>
    <w:rsid w:val="285F1704"/>
    <w:rsid w:val="286C1D7B"/>
    <w:rsid w:val="287537EC"/>
    <w:rsid w:val="28786C91"/>
    <w:rsid w:val="287E51F8"/>
    <w:rsid w:val="288051AE"/>
    <w:rsid w:val="28863B9C"/>
    <w:rsid w:val="288B3C85"/>
    <w:rsid w:val="289378BB"/>
    <w:rsid w:val="28991DCC"/>
    <w:rsid w:val="289E683E"/>
    <w:rsid w:val="28A45D0B"/>
    <w:rsid w:val="28AD1310"/>
    <w:rsid w:val="28B40744"/>
    <w:rsid w:val="28B434B1"/>
    <w:rsid w:val="28BE03E9"/>
    <w:rsid w:val="28D249D3"/>
    <w:rsid w:val="28D36271"/>
    <w:rsid w:val="28E47226"/>
    <w:rsid w:val="28EF0AA3"/>
    <w:rsid w:val="28F222FA"/>
    <w:rsid w:val="28F70DDF"/>
    <w:rsid w:val="28F94F47"/>
    <w:rsid w:val="28FA7E9F"/>
    <w:rsid w:val="28FE4325"/>
    <w:rsid w:val="290B7073"/>
    <w:rsid w:val="290F069E"/>
    <w:rsid w:val="29167C4F"/>
    <w:rsid w:val="29173F22"/>
    <w:rsid w:val="2918426C"/>
    <w:rsid w:val="29220E0A"/>
    <w:rsid w:val="29277B91"/>
    <w:rsid w:val="292C5968"/>
    <w:rsid w:val="29313F43"/>
    <w:rsid w:val="29343064"/>
    <w:rsid w:val="29361D11"/>
    <w:rsid w:val="293E79ED"/>
    <w:rsid w:val="294039AA"/>
    <w:rsid w:val="29557F29"/>
    <w:rsid w:val="297D4974"/>
    <w:rsid w:val="297E067E"/>
    <w:rsid w:val="298B19DE"/>
    <w:rsid w:val="29937F91"/>
    <w:rsid w:val="29944B0E"/>
    <w:rsid w:val="29945E14"/>
    <w:rsid w:val="29A67992"/>
    <w:rsid w:val="29BC63FB"/>
    <w:rsid w:val="29D77163"/>
    <w:rsid w:val="29DA1709"/>
    <w:rsid w:val="29DE7418"/>
    <w:rsid w:val="29E06B79"/>
    <w:rsid w:val="29E53EB3"/>
    <w:rsid w:val="29E60E73"/>
    <w:rsid w:val="29E929BF"/>
    <w:rsid w:val="29ED4814"/>
    <w:rsid w:val="29ED4B62"/>
    <w:rsid w:val="2A0D7E8F"/>
    <w:rsid w:val="2A0F4098"/>
    <w:rsid w:val="2A0F659D"/>
    <w:rsid w:val="2A14060E"/>
    <w:rsid w:val="2A1A1754"/>
    <w:rsid w:val="2A246377"/>
    <w:rsid w:val="2A276EC9"/>
    <w:rsid w:val="2A33462B"/>
    <w:rsid w:val="2A354CC1"/>
    <w:rsid w:val="2A42621E"/>
    <w:rsid w:val="2A45051F"/>
    <w:rsid w:val="2A4868D8"/>
    <w:rsid w:val="2A5D0771"/>
    <w:rsid w:val="2A5F6B12"/>
    <w:rsid w:val="2A706582"/>
    <w:rsid w:val="2A7B1AA4"/>
    <w:rsid w:val="2A7B233E"/>
    <w:rsid w:val="2A7B27A6"/>
    <w:rsid w:val="2A7E0A02"/>
    <w:rsid w:val="2A85336B"/>
    <w:rsid w:val="2A8D3851"/>
    <w:rsid w:val="2A8D4F23"/>
    <w:rsid w:val="2A8E7BD7"/>
    <w:rsid w:val="2A907A3A"/>
    <w:rsid w:val="2A9262FD"/>
    <w:rsid w:val="2A9C0857"/>
    <w:rsid w:val="2A9F5375"/>
    <w:rsid w:val="2AA84549"/>
    <w:rsid w:val="2AAB47EB"/>
    <w:rsid w:val="2AAE4183"/>
    <w:rsid w:val="2AB671F0"/>
    <w:rsid w:val="2ABC1DA2"/>
    <w:rsid w:val="2AC329C1"/>
    <w:rsid w:val="2AC45CEF"/>
    <w:rsid w:val="2AC52759"/>
    <w:rsid w:val="2AC9434F"/>
    <w:rsid w:val="2ACE3221"/>
    <w:rsid w:val="2AD304A5"/>
    <w:rsid w:val="2AD32EF4"/>
    <w:rsid w:val="2AD67077"/>
    <w:rsid w:val="2AE32905"/>
    <w:rsid w:val="2AE5595A"/>
    <w:rsid w:val="2AEA1F3E"/>
    <w:rsid w:val="2AF43712"/>
    <w:rsid w:val="2AF77639"/>
    <w:rsid w:val="2AF82C86"/>
    <w:rsid w:val="2B053D80"/>
    <w:rsid w:val="2B0A0AF9"/>
    <w:rsid w:val="2B0B2B3D"/>
    <w:rsid w:val="2B144E76"/>
    <w:rsid w:val="2B231FE0"/>
    <w:rsid w:val="2B26730B"/>
    <w:rsid w:val="2B291B2D"/>
    <w:rsid w:val="2B2C1618"/>
    <w:rsid w:val="2B33438E"/>
    <w:rsid w:val="2B3367CB"/>
    <w:rsid w:val="2B397896"/>
    <w:rsid w:val="2B416562"/>
    <w:rsid w:val="2B424569"/>
    <w:rsid w:val="2B4C2377"/>
    <w:rsid w:val="2B4C75DC"/>
    <w:rsid w:val="2B610DD3"/>
    <w:rsid w:val="2B7D4608"/>
    <w:rsid w:val="2B7F799F"/>
    <w:rsid w:val="2B831BEB"/>
    <w:rsid w:val="2B884431"/>
    <w:rsid w:val="2B8A6344"/>
    <w:rsid w:val="2B950F38"/>
    <w:rsid w:val="2B9A13EC"/>
    <w:rsid w:val="2BA34AEC"/>
    <w:rsid w:val="2BA5117D"/>
    <w:rsid w:val="2BA86527"/>
    <w:rsid w:val="2BBD1815"/>
    <w:rsid w:val="2BD73954"/>
    <w:rsid w:val="2BDB6D05"/>
    <w:rsid w:val="2BDE28ED"/>
    <w:rsid w:val="2BF65788"/>
    <w:rsid w:val="2C0165E8"/>
    <w:rsid w:val="2C0E1749"/>
    <w:rsid w:val="2C0E4887"/>
    <w:rsid w:val="2C1547B7"/>
    <w:rsid w:val="2C1A7F27"/>
    <w:rsid w:val="2C1B13DB"/>
    <w:rsid w:val="2C2045B2"/>
    <w:rsid w:val="2C212804"/>
    <w:rsid w:val="2C262F37"/>
    <w:rsid w:val="2C344C71"/>
    <w:rsid w:val="2C3802FE"/>
    <w:rsid w:val="2C393876"/>
    <w:rsid w:val="2C53629D"/>
    <w:rsid w:val="2C564F75"/>
    <w:rsid w:val="2C6F6C78"/>
    <w:rsid w:val="2C787B9D"/>
    <w:rsid w:val="2C94144E"/>
    <w:rsid w:val="2CAD0E71"/>
    <w:rsid w:val="2CB01000"/>
    <w:rsid w:val="2CB507BC"/>
    <w:rsid w:val="2CBD0752"/>
    <w:rsid w:val="2CC07E90"/>
    <w:rsid w:val="2CC13692"/>
    <w:rsid w:val="2CCA7482"/>
    <w:rsid w:val="2CCD1D23"/>
    <w:rsid w:val="2CD031EF"/>
    <w:rsid w:val="2CD46E1C"/>
    <w:rsid w:val="2CE03CE8"/>
    <w:rsid w:val="2CF4573F"/>
    <w:rsid w:val="2CF7229C"/>
    <w:rsid w:val="2CFC4ACC"/>
    <w:rsid w:val="2D026C43"/>
    <w:rsid w:val="2D033554"/>
    <w:rsid w:val="2D080965"/>
    <w:rsid w:val="2D1A3AD7"/>
    <w:rsid w:val="2D1B0704"/>
    <w:rsid w:val="2D255B28"/>
    <w:rsid w:val="2D2A53D2"/>
    <w:rsid w:val="2D2F191A"/>
    <w:rsid w:val="2D351AC3"/>
    <w:rsid w:val="2D4B0D07"/>
    <w:rsid w:val="2D505CD8"/>
    <w:rsid w:val="2D6A024D"/>
    <w:rsid w:val="2D6E56CF"/>
    <w:rsid w:val="2D7C1CBC"/>
    <w:rsid w:val="2D8000B5"/>
    <w:rsid w:val="2D8A60D3"/>
    <w:rsid w:val="2D8F1639"/>
    <w:rsid w:val="2DA8329E"/>
    <w:rsid w:val="2DB93BA3"/>
    <w:rsid w:val="2DBB3541"/>
    <w:rsid w:val="2DBD62EA"/>
    <w:rsid w:val="2DC0690E"/>
    <w:rsid w:val="2DC14138"/>
    <w:rsid w:val="2DC40297"/>
    <w:rsid w:val="2DC808E5"/>
    <w:rsid w:val="2DCB6BEF"/>
    <w:rsid w:val="2DCD3211"/>
    <w:rsid w:val="2DD97856"/>
    <w:rsid w:val="2DE259A7"/>
    <w:rsid w:val="2DEA131C"/>
    <w:rsid w:val="2DEA3257"/>
    <w:rsid w:val="2DEA631A"/>
    <w:rsid w:val="2DEE2BBA"/>
    <w:rsid w:val="2DEE2DDA"/>
    <w:rsid w:val="2DEF70F4"/>
    <w:rsid w:val="2DF56D4A"/>
    <w:rsid w:val="2DFD600A"/>
    <w:rsid w:val="2E00680C"/>
    <w:rsid w:val="2E045510"/>
    <w:rsid w:val="2E05609E"/>
    <w:rsid w:val="2E194E05"/>
    <w:rsid w:val="2E1C5F87"/>
    <w:rsid w:val="2E1F4689"/>
    <w:rsid w:val="2E276F37"/>
    <w:rsid w:val="2E296E84"/>
    <w:rsid w:val="2E2A5622"/>
    <w:rsid w:val="2E3A5DFF"/>
    <w:rsid w:val="2E3C438C"/>
    <w:rsid w:val="2E440A2C"/>
    <w:rsid w:val="2E4558B6"/>
    <w:rsid w:val="2E460C01"/>
    <w:rsid w:val="2E49674B"/>
    <w:rsid w:val="2E497BD8"/>
    <w:rsid w:val="2E4D175F"/>
    <w:rsid w:val="2E5074EB"/>
    <w:rsid w:val="2E581EB4"/>
    <w:rsid w:val="2E624990"/>
    <w:rsid w:val="2E6506F7"/>
    <w:rsid w:val="2E6A79C3"/>
    <w:rsid w:val="2E6B071A"/>
    <w:rsid w:val="2E6F575D"/>
    <w:rsid w:val="2E73028B"/>
    <w:rsid w:val="2E735566"/>
    <w:rsid w:val="2E7F1A64"/>
    <w:rsid w:val="2E861045"/>
    <w:rsid w:val="2E8D41DC"/>
    <w:rsid w:val="2E926ABE"/>
    <w:rsid w:val="2EA03F64"/>
    <w:rsid w:val="2EA0507B"/>
    <w:rsid w:val="2EAF58B7"/>
    <w:rsid w:val="2EB05A07"/>
    <w:rsid w:val="2EB1363B"/>
    <w:rsid w:val="2EB72C65"/>
    <w:rsid w:val="2ECD0A22"/>
    <w:rsid w:val="2EE21A05"/>
    <w:rsid w:val="2EED2E72"/>
    <w:rsid w:val="2EFE3C55"/>
    <w:rsid w:val="2F072417"/>
    <w:rsid w:val="2F0B7D66"/>
    <w:rsid w:val="2F165420"/>
    <w:rsid w:val="2F1746E6"/>
    <w:rsid w:val="2F1938DF"/>
    <w:rsid w:val="2F202F9A"/>
    <w:rsid w:val="2F276EA7"/>
    <w:rsid w:val="2F2919D0"/>
    <w:rsid w:val="2F2B1FF2"/>
    <w:rsid w:val="2F2D1158"/>
    <w:rsid w:val="2F397E65"/>
    <w:rsid w:val="2F3F5C6E"/>
    <w:rsid w:val="2F467EAC"/>
    <w:rsid w:val="2F473EA5"/>
    <w:rsid w:val="2F540900"/>
    <w:rsid w:val="2F590507"/>
    <w:rsid w:val="2F5D3453"/>
    <w:rsid w:val="2F5E7D57"/>
    <w:rsid w:val="2F626CB8"/>
    <w:rsid w:val="2F720B94"/>
    <w:rsid w:val="2F74526F"/>
    <w:rsid w:val="2F794D64"/>
    <w:rsid w:val="2F7A6701"/>
    <w:rsid w:val="2F7D16C9"/>
    <w:rsid w:val="2F7E35FF"/>
    <w:rsid w:val="2F8D5EE7"/>
    <w:rsid w:val="2F953C09"/>
    <w:rsid w:val="2F96131A"/>
    <w:rsid w:val="2F9C4D62"/>
    <w:rsid w:val="2F9F1779"/>
    <w:rsid w:val="2FA34DBD"/>
    <w:rsid w:val="2FB12379"/>
    <w:rsid w:val="2FBB0118"/>
    <w:rsid w:val="2FCB0BDA"/>
    <w:rsid w:val="2FDC73E5"/>
    <w:rsid w:val="2FDF5D66"/>
    <w:rsid w:val="2FE109AA"/>
    <w:rsid w:val="2FE55EC8"/>
    <w:rsid w:val="2FE73D65"/>
    <w:rsid w:val="2FE76115"/>
    <w:rsid w:val="2FEA0520"/>
    <w:rsid w:val="2FEB09DE"/>
    <w:rsid w:val="2FF23A73"/>
    <w:rsid w:val="2FF3189C"/>
    <w:rsid w:val="2FF3202F"/>
    <w:rsid w:val="2FF837BB"/>
    <w:rsid w:val="2FF90A23"/>
    <w:rsid w:val="30196D72"/>
    <w:rsid w:val="301C39CF"/>
    <w:rsid w:val="30275F10"/>
    <w:rsid w:val="30297627"/>
    <w:rsid w:val="302A11BF"/>
    <w:rsid w:val="30311496"/>
    <w:rsid w:val="30314FE0"/>
    <w:rsid w:val="30541740"/>
    <w:rsid w:val="30556F21"/>
    <w:rsid w:val="30567DCD"/>
    <w:rsid w:val="305824F0"/>
    <w:rsid w:val="3059019D"/>
    <w:rsid w:val="305D7B66"/>
    <w:rsid w:val="30643D59"/>
    <w:rsid w:val="306F6921"/>
    <w:rsid w:val="307119BA"/>
    <w:rsid w:val="307F4495"/>
    <w:rsid w:val="307F5FB7"/>
    <w:rsid w:val="308921B1"/>
    <w:rsid w:val="308F37E8"/>
    <w:rsid w:val="309115E7"/>
    <w:rsid w:val="30943E35"/>
    <w:rsid w:val="30990548"/>
    <w:rsid w:val="309A53B6"/>
    <w:rsid w:val="309C5063"/>
    <w:rsid w:val="30C35EFB"/>
    <w:rsid w:val="30D74741"/>
    <w:rsid w:val="30D75C02"/>
    <w:rsid w:val="30E31E34"/>
    <w:rsid w:val="30E41AB1"/>
    <w:rsid w:val="30F75926"/>
    <w:rsid w:val="31004CC0"/>
    <w:rsid w:val="31107A17"/>
    <w:rsid w:val="311302CA"/>
    <w:rsid w:val="311A07D9"/>
    <w:rsid w:val="311C70AE"/>
    <w:rsid w:val="312D39F9"/>
    <w:rsid w:val="313152EB"/>
    <w:rsid w:val="31330238"/>
    <w:rsid w:val="313C0812"/>
    <w:rsid w:val="31401570"/>
    <w:rsid w:val="314871FF"/>
    <w:rsid w:val="314E17A7"/>
    <w:rsid w:val="315678F7"/>
    <w:rsid w:val="315E1530"/>
    <w:rsid w:val="31623E7F"/>
    <w:rsid w:val="3169201E"/>
    <w:rsid w:val="316D028A"/>
    <w:rsid w:val="317F3DC9"/>
    <w:rsid w:val="31820F8E"/>
    <w:rsid w:val="31997411"/>
    <w:rsid w:val="319C24BC"/>
    <w:rsid w:val="319E12C1"/>
    <w:rsid w:val="31AF08B2"/>
    <w:rsid w:val="31B26526"/>
    <w:rsid w:val="31B3650C"/>
    <w:rsid w:val="31B53863"/>
    <w:rsid w:val="31BC377B"/>
    <w:rsid w:val="31BD32E5"/>
    <w:rsid w:val="31C511E1"/>
    <w:rsid w:val="31C747AB"/>
    <w:rsid w:val="31C974D1"/>
    <w:rsid w:val="31C9769C"/>
    <w:rsid w:val="31D200FD"/>
    <w:rsid w:val="31D73D48"/>
    <w:rsid w:val="31D809BE"/>
    <w:rsid w:val="31DB16A7"/>
    <w:rsid w:val="31DD2DA3"/>
    <w:rsid w:val="31E11056"/>
    <w:rsid w:val="31EB4312"/>
    <w:rsid w:val="31EB472F"/>
    <w:rsid w:val="31EC7411"/>
    <w:rsid w:val="31EE42E1"/>
    <w:rsid w:val="31EF4897"/>
    <w:rsid w:val="31F16273"/>
    <w:rsid w:val="31F664E1"/>
    <w:rsid w:val="32026530"/>
    <w:rsid w:val="320D07A8"/>
    <w:rsid w:val="32104622"/>
    <w:rsid w:val="32146967"/>
    <w:rsid w:val="32171FB4"/>
    <w:rsid w:val="32222E32"/>
    <w:rsid w:val="32270EA1"/>
    <w:rsid w:val="322C14E1"/>
    <w:rsid w:val="322F3FB8"/>
    <w:rsid w:val="32370893"/>
    <w:rsid w:val="323A1534"/>
    <w:rsid w:val="324A3C47"/>
    <w:rsid w:val="324A6007"/>
    <w:rsid w:val="32521A87"/>
    <w:rsid w:val="32563C92"/>
    <w:rsid w:val="325739C0"/>
    <w:rsid w:val="32690A61"/>
    <w:rsid w:val="326B3B4A"/>
    <w:rsid w:val="327949C8"/>
    <w:rsid w:val="327B3B44"/>
    <w:rsid w:val="327F6A9A"/>
    <w:rsid w:val="328020D3"/>
    <w:rsid w:val="32831E17"/>
    <w:rsid w:val="3284589B"/>
    <w:rsid w:val="32885D85"/>
    <w:rsid w:val="328E040D"/>
    <w:rsid w:val="329F2A84"/>
    <w:rsid w:val="32A6337A"/>
    <w:rsid w:val="32B1276F"/>
    <w:rsid w:val="32B16FC5"/>
    <w:rsid w:val="32B700E9"/>
    <w:rsid w:val="32B83797"/>
    <w:rsid w:val="32C30324"/>
    <w:rsid w:val="32C3285F"/>
    <w:rsid w:val="32D95339"/>
    <w:rsid w:val="32DB045C"/>
    <w:rsid w:val="32DE46A5"/>
    <w:rsid w:val="32E75E2A"/>
    <w:rsid w:val="32EB34DA"/>
    <w:rsid w:val="32F04CDF"/>
    <w:rsid w:val="32F6659B"/>
    <w:rsid w:val="32F66C7A"/>
    <w:rsid w:val="32FA790B"/>
    <w:rsid w:val="32FB32C7"/>
    <w:rsid w:val="32FD0E47"/>
    <w:rsid w:val="330511E4"/>
    <w:rsid w:val="331610BF"/>
    <w:rsid w:val="331754E6"/>
    <w:rsid w:val="331F4560"/>
    <w:rsid w:val="3327063B"/>
    <w:rsid w:val="332901F1"/>
    <w:rsid w:val="33290B1A"/>
    <w:rsid w:val="332D5B73"/>
    <w:rsid w:val="333077D1"/>
    <w:rsid w:val="33314C1D"/>
    <w:rsid w:val="33330774"/>
    <w:rsid w:val="3334756E"/>
    <w:rsid w:val="3345519C"/>
    <w:rsid w:val="334C035D"/>
    <w:rsid w:val="335024C7"/>
    <w:rsid w:val="33516B3C"/>
    <w:rsid w:val="3356680C"/>
    <w:rsid w:val="335C66DA"/>
    <w:rsid w:val="335E6CAD"/>
    <w:rsid w:val="336F654B"/>
    <w:rsid w:val="337004C8"/>
    <w:rsid w:val="337D2C7F"/>
    <w:rsid w:val="337F1F8A"/>
    <w:rsid w:val="33801BC7"/>
    <w:rsid w:val="339549A7"/>
    <w:rsid w:val="33955886"/>
    <w:rsid w:val="339643C5"/>
    <w:rsid w:val="339B32F9"/>
    <w:rsid w:val="33A9407F"/>
    <w:rsid w:val="33AB34B4"/>
    <w:rsid w:val="33C148CD"/>
    <w:rsid w:val="33C345F1"/>
    <w:rsid w:val="33C700F0"/>
    <w:rsid w:val="33D94A19"/>
    <w:rsid w:val="33DB773D"/>
    <w:rsid w:val="33DD7D10"/>
    <w:rsid w:val="33E72FAA"/>
    <w:rsid w:val="33E82351"/>
    <w:rsid w:val="33E86A61"/>
    <w:rsid w:val="33E92304"/>
    <w:rsid w:val="33EB114B"/>
    <w:rsid w:val="33F1769F"/>
    <w:rsid w:val="33F52545"/>
    <w:rsid w:val="33F7148E"/>
    <w:rsid w:val="33F77973"/>
    <w:rsid w:val="33F831D2"/>
    <w:rsid w:val="33FB7DC0"/>
    <w:rsid w:val="34196871"/>
    <w:rsid w:val="34270811"/>
    <w:rsid w:val="34280DB6"/>
    <w:rsid w:val="343E19E3"/>
    <w:rsid w:val="343E23CA"/>
    <w:rsid w:val="344111D6"/>
    <w:rsid w:val="34423EB7"/>
    <w:rsid w:val="344466F8"/>
    <w:rsid w:val="344A0E33"/>
    <w:rsid w:val="344B611B"/>
    <w:rsid w:val="344B6EC2"/>
    <w:rsid w:val="34507CFD"/>
    <w:rsid w:val="3453283D"/>
    <w:rsid w:val="345A6A99"/>
    <w:rsid w:val="3464285D"/>
    <w:rsid w:val="34684488"/>
    <w:rsid w:val="346A42F6"/>
    <w:rsid w:val="34720470"/>
    <w:rsid w:val="34766D2B"/>
    <w:rsid w:val="347831DE"/>
    <w:rsid w:val="3487391C"/>
    <w:rsid w:val="348B05B9"/>
    <w:rsid w:val="34910AB6"/>
    <w:rsid w:val="349539F5"/>
    <w:rsid w:val="349E745E"/>
    <w:rsid w:val="34A44DDA"/>
    <w:rsid w:val="34AC5118"/>
    <w:rsid w:val="34C53F49"/>
    <w:rsid w:val="34D07B18"/>
    <w:rsid w:val="34F7183C"/>
    <w:rsid w:val="34FA7339"/>
    <w:rsid w:val="34FE6F2B"/>
    <w:rsid w:val="350B326D"/>
    <w:rsid w:val="350D7A04"/>
    <w:rsid w:val="35106A2D"/>
    <w:rsid w:val="351A0017"/>
    <w:rsid w:val="351F6706"/>
    <w:rsid w:val="35362FF7"/>
    <w:rsid w:val="3539111D"/>
    <w:rsid w:val="353A0493"/>
    <w:rsid w:val="353D12BC"/>
    <w:rsid w:val="353D5B03"/>
    <w:rsid w:val="353E029D"/>
    <w:rsid w:val="35441123"/>
    <w:rsid w:val="354A67C6"/>
    <w:rsid w:val="355039EA"/>
    <w:rsid w:val="3551061B"/>
    <w:rsid w:val="35515D53"/>
    <w:rsid w:val="35561D1B"/>
    <w:rsid w:val="35565DF7"/>
    <w:rsid w:val="35594AC6"/>
    <w:rsid w:val="35600AF5"/>
    <w:rsid w:val="356C4BE9"/>
    <w:rsid w:val="356D6D20"/>
    <w:rsid w:val="3572737A"/>
    <w:rsid w:val="357F3CD7"/>
    <w:rsid w:val="3593528C"/>
    <w:rsid w:val="35A06ADD"/>
    <w:rsid w:val="35A63D7A"/>
    <w:rsid w:val="35AB2DCF"/>
    <w:rsid w:val="35C84979"/>
    <w:rsid w:val="35CA07A2"/>
    <w:rsid w:val="35D228E3"/>
    <w:rsid w:val="35D24292"/>
    <w:rsid w:val="35DA2EB3"/>
    <w:rsid w:val="35EC7582"/>
    <w:rsid w:val="35F04FC6"/>
    <w:rsid w:val="35F67F15"/>
    <w:rsid w:val="35F90F38"/>
    <w:rsid w:val="35FA18ED"/>
    <w:rsid w:val="35FB7E9F"/>
    <w:rsid w:val="36044FB6"/>
    <w:rsid w:val="360A44E7"/>
    <w:rsid w:val="360A5C83"/>
    <w:rsid w:val="36105E50"/>
    <w:rsid w:val="36160071"/>
    <w:rsid w:val="361A3E6A"/>
    <w:rsid w:val="361F39DB"/>
    <w:rsid w:val="362A675A"/>
    <w:rsid w:val="362F05C2"/>
    <w:rsid w:val="363008D6"/>
    <w:rsid w:val="3630294D"/>
    <w:rsid w:val="36304572"/>
    <w:rsid w:val="3632013D"/>
    <w:rsid w:val="363C2350"/>
    <w:rsid w:val="363E0457"/>
    <w:rsid w:val="363E1983"/>
    <w:rsid w:val="36441EF7"/>
    <w:rsid w:val="364A32E1"/>
    <w:rsid w:val="364D0348"/>
    <w:rsid w:val="364D069A"/>
    <w:rsid w:val="36567B77"/>
    <w:rsid w:val="365C42B7"/>
    <w:rsid w:val="365F70AA"/>
    <w:rsid w:val="366E52A7"/>
    <w:rsid w:val="366E5949"/>
    <w:rsid w:val="367048F1"/>
    <w:rsid w:val="36734EAA"/>
    <w:rsid w:val="367C2A7B"/>
    <w:rsid w:val="367D1142"/>
    <w:rsid w:val="36816825"/>
    <w:rsid w:val="36894DA0"/>
    <w:rsid w:val="368F0CB2"/>
    <w:rsid w:val="36906834"/>
    <w:rsid w:val="3692572B"/>
    <w:rsid w:val="369405F6"/>
    <w:rsid w:val="36A8320F"/>
    <w:rsid w:val="36AA7527"/>
    <w:rsid w:val="36C025D5"/>
    <w:rsid w:val="36C21279"/>
    <w:rsid w:val="36C24BE4"/>
    <w:rsid w:val="36C60EB9"/>
    <w:rsid w:val="36C80157"/>
    <w:rsid w:val="36D6068F"/>
    <w:rsid w:val="36DB120D"/>
    <w:rsid w:val="36DE6304"/>
    <w:rsid w:val="36E04201"/>
    <w:rsid w:val="36EA1FC2"/>
    <w:rsid w:val="36EE6547"/>
    <w:rsid w:val="36F86D4B"/>
    <w:rsid w:val="36F948DF"/>
    <w:rsid w:val="37060F75"/>
    <w:rsid w:val="37101C5A"/>
    <w:rsid w:val="37236B32"/>
    <w:rsid w:val="37273C93"/>
    <w:rsid w:val="372B65ED"/>
    <w:rsid w:val="373158C6"/>
    <w:rsid w:val="373A5F48"/>
    <w:rsid w:val="373A6E70"/>
    <w:rsid w:val="374641AB"/>
    <w:rsid w:val="374B5CA6"/>
    <w:rsid w:val="374C089C"/>
    <w:rsid w:val="374E2556"/>
    <w:rsid w:val="3754403F"/>
    <w:rsid w:val="37557806"/>
    <w:rsid w:val="37567F37"/>
    <w:rsid w:val="375A5814"/>
    <w:rsid w:val="376634FD"/>
    <w:rsid w:val="3769199A"/>
    <w:rsid w:val="37710FF7"/>
    <w:rsid w:val="37866EC8"/>
    <w:rsid w:val="37957928"/>
    <w:rsid w:val="379B1777"/>
    <w:rsid w:val="37A45495"/>
    <w:rsid w:val="37A53F5B"/>
    <w:rsid w:val="37BB091D"/>
    <w:rsid w:val="37BF0B6F"/>
    <w:rsid w:val="37C973A0"/>
    <w:rsid w:val="37D6227D"/>
    <w:rsid w:val="37DF5F93"/>
    <w:rsid w:val="37E41A36"/>
    <w:rsid w:val="37E450AC"/>
    <w:rsid w:val="37E73FC0"/>
    <w:rsid w:val="37EA2644"/>
    <w:rsid w:val="37EE1995"/>
    <w:rsid w:val="37EE468F"/>
    <w:rsid w:val="37F136FA"/>
    <w:rsid w:val="37F605D2"/>
    <w:rsid w:val="37F86F84"/>
    <w:rsid w:val="37FE2484"/>
    <w:rsid w:val="38054641"/>
    <w:rsid w:val="380A6D0B"/>
    <w:rsid w:val="380D7546"/>
    <w:rsid w:val="380E536E"/>
    <w:rsid w:val="3842580C"/>
    <w:rsid w:val="38473699"/>
    <w:rsid w:val="38497FF7"/>
    <w:rsid w:val="384E79F0"/>
    <w:rsid w:val="384F74ED"/>
    <w:rsid w:val="385138B4"/>
    <w:rsid w:val="38614F30"/>
    <w:rsid w:val="38636939"/>
    <w:rsid w:val="386A4446"/>
    <w:rsid w:val="3882323E"/>
    <w:rsid w:val="38842F3E"/>
    <w:rsid w:val="388514ED"/>
    <w:rsid w:val="388A5F08"/>
    <w:rsid w:val="388C7914"/>
    <w:rsid w:val="38A16DCC"/>
    <w:rsid w:val="38A9770A"/>
    <w:rsid w:val="38AF2F46"/>
    <w:rsid w:val="38B47DCE"/>
    <w:rsid w:val="38BA224E"/>
    <w:rsid w:val="38BB3DE1"/>
    <w:rsid w:val="38BF5D4E"/>
    <w:rsid w:val="38C04787"/>
    <w:rsid w:val="38C30F24"/>
    <w:rsid w:val="38D00AF5"/>
    <w:rsid w:val="38D43FCA"/>
    <w:rsid w:val="38D84F60"/>
    <w:rsid w:val="38D9660C"/>
    <w:rsid w:val="38E269A0"/>
    <w:rsid w:val="38E8355D"/>
    <w:rsid w:val="38E902BD"/>
    <w:rsid w:val="38ED26D2"/>
    <w:rsid w:val="38F10BA8"/>
    <w:rsid w:val="38F11E0A"/>
    <w:rsid w:val="38F24B32"/>
    <w:rsid w:val="38F55D8E"/>
    <w:rsid w:val="38FA68B7"/>
    <w:rsid w:val="3900139E"/>
    <w:rsid w:val="390370E7"/>
    <w:rsid w:val="39145712"/>
    <w:rsid w:val="3917244C"/>
    <w:rsid w:val="39201E32"/>
    <w:rsid w:val="392075EA"/>
    <w:rsid w:val="392E1901"/>
    <w:rsid w:val="393031D5"/>
    <w:rsid w:val="39333DE7"/>
    <w:rsid w:val="39381503"/>
    <w:rsid w:val="393F2D58"/>
    <w:rsid w:val="39466928"/>
    <w:rsid w:val="39487C55"/>
    <w:rsid w:val="394B5B40"/>
    <w:rsid w:val="39520C8B"/>
    <w:rsid w:val="39520D42"/>
    <w:rsid w:val="39577944"/>
    <w:rsid w:val="39592552"/>
    <w:rsid w:val="395A1089"/>
    <w:rsid w:val="395D489C"/>
    <w:rsid w:val="395D7B98"/>
    <w:rsid w:val="395F2C16"/>
    <w:rsid w:val="39603709"/>
    <w:rsid w:val="396345EC"/>
    <w:rsid w:val="39642FE8"/>
    <w:rsid w:val="39674AFA"/>
    <w:rsid w:val="397A14D3"/>
    <w:rsid w:val="39842625"/>
    <w:rsid w:val="398E5251"/>
    <w:rsid w:val="39903E32"/>
    <w:rsid w:val="39923999"/>
    <w:rsid w:val="39972358"/>
    <w:rsid w:val="39977890"/>
    <w:rsid w:val="39997DC1"/>
    <w:rsid w:val="399A7116"/>
    <w:rsid w:val="39A15439"/>
    <w:rsid w:val="39AE67F2"/>
    <w:rsid w:val="39AE73F4"/>
    <w:rsid w:val="39B921F0"/>
    <w:rsid w:val="39B940FE"/>
    <w:rsid w:val="39C018CC"/>
    <w:rsid w:val="39C34D54"/>
    <w:rsid w:val="39C40C73"/>
    <w:rsid w:val="39D1036D"/>
    <w:rsid w:val="39D61D95"/>
    <w:rsid w:val="39D64842"/>
    <w:rsid w:val="39E25D57"/>
    <w:rsid w:val="39E45F74"/>
    <w:rsid w:val="39EA7B50"/>
    <w:rsid w:val="39EE5CF0"/>
    <w:rsid w:val="39EE5D4E"/>
    <w:rsid w:val="39F13364"/>
    <w:rsid w:val="39F478B4"/>
    <w:rsid w:val="39FD7F43"/>
    <w:rsid w:val="3A121C23"/>
    <w:rsid w:val="3A1754C3"/>
    <w:rsid w:val="3A1B0DA4"/>
    <w:rsid w:val="3A1E4827"/>
    <w:rsid w:val="3A255BB6"/>
    <w:rsid w:val="3A2C0BB3"/>
    <w:rsid w:val="3A2D184D"/>
    <w:rsid w:val="3A2F6F49"/>
    <w:rsid w:val="3A35391F"/>
    <w:rsid w:val="3A3914C4"/>
    <w:rsid w:val="3A3E4D90"/>
    <w:rsid w:val="3A4260CA"/>
    <w:rsid w:val="3A4D1669"/>
    <w:rsid w:val="3A5147C5"/>
    <w:rsid w:val="3A5A080F"/>
    <w:rsid w:val="3A5A2CCD"/>
    <w:rsid w:val="3A5A7298"/>
    <w:rsid w:val="3A5F01FC"/>
    <w:rsid w:val="3A6003CD"/>
    <w:rsid w:val="3A6A624C"/>
    <w:rsid w:val="3A745C66"/>
    <w:rsid w:val="3A7860C1"/>
    <w:rsid w:val="3A7A6CD8"/>
    <w:rsid w:val="3A7B35D4"/>
    <w:rsid w:val="3A803901"/>
    <w:rsid w:val="3A84119C"/>
    <w:rsid w:val="3A9118F1"/>
    <w:rsid w:val="3A992100"/>
    <w:rsid w:val="3A9A14B2"/>
    <w:rsid w:val="3AA03E9B"/>
    <w:rsid w:val="3AA92216"/>
    <w:rsid w:val="3AAC66EC"/>
    <w:rsid w:val="3AB42592"/>
    <w:rsid w:val="3AB53C25"/>
    <w:rsid w:val="3AC037CE"/>
    <w:rsid w:val="3AC0768C"/>
    <w:rsid w:val="3AC57DDE"/>
    <w:rsid w:val="3AC6268A"/>
    <w:rsid w:val="3AD63521"/>
    <w:rsid w:val="3ADE68A0"/>
    <w:rsid w:val="3AE772CF"/>
    <w:rsid w:val="3AED71EE"/>
    <w:rsid w:val="3AF05452"/>
    <w:rsid w:val="3AFA5DF7"/>
    <w:rsid w:val="3AFF26B5"/>
    <w:rsid w:val="3B021A53"/>
    <w:rsid w:val="3B0F4145"/>
    <w:rsid w:val="3B1672AC"/>
    <w:rsid w:val="3B1A7DE1"/>
    <w:rsid w:val="3B2421E7"/>
    <w:rsid w:val="3B2964C0"/>
    <w:rsid w:val="3B2D07B2"/>
    <w:rsid w:val="3B3275A4"/>
    <w:rsid w:val="3B344AB0"/>
    <w:rsid w:val="3B3538B8"/>
    <w:rsid w:val="3B3C436C"/>
    <w:rsid w:val="3B672451"/>
    <w:rsid w:val="3B6B6C44"/>
    <w:rsid w:val="3B74532B"/>
    <w:rsid w:val="3B7750AA"/>
    <w:rsid w:val="3B800928"/>
    <w:rsid w:val="3B814DF9"/>
    <w:rsid w:val="3B8556F1"/>
    <w:rsid w:val="3B87670A"/>
    <w:rsid w:val="3B97563C"/>
    <w:rsid w:val="3B9F7919"/>
    <w:rsid w:val="3BA3543A"/>
    <w:rsid w:val="3BA50630"/>
    <w:rsid w:val="3BA851D0"/>
    <w:rsid w:val="3BAD5577"/>
    <w:rsid w:val="3BAD5A50"/>
    <w:rsid w:val="3BAD748E"/>
    <w:rsid w:val="3BC211E2"/>
    <w:rsid w:val="3BC90BD6"/>
    <w:rsid w:val="3BD64D2B"/>
    <w:rsid w:val="3BD67E70"/>
    <w:rsid w:val="3BDB5382"/>
    <w:rsid w:val="3BDF0DE0"/>
    <w:rsid w:val="3BE52761"/>
    <w:rsid w:val="3BE55277"/>
    <w:rsid w:val="3BF75566"/>
    <w:rsid w:val="3BF772E8"/>
    <w:rsid w:val="3BFF09B8"/>
    <w:rsid w:val="3C025096"/>
    <w:rsid w:val="3C074072"/>
    <w:rsid w:val="3C0D07BA"/>
    <w:rsid w:val="3C102C2F"/>
    <w:rsid w:val="3C1E28BD"/>
    <w:rsid w:val="3C2576DE"/>
    <w:rsid w:val="3C2B322B"/>
    <w:rsid w:val="3C2D48B6"/>
    <w:rsid w:val="3C2F35CC"/>
    <w:rsid w:val="3C2F5530"/>
    <w:rsid w:val="3C306904"/>
    <w:rsid w:val="3C3B2CB0"/>
    <w:rsid w:val="3C423511"/>
    <w:rsid w:val="3C6B411C"/>
    <w:rsid w:val="3C6C5E20"/>
    <w:rsid w:val="3C841123"/>
    <w:rsid w:val="3C843363"/>
    <w:rsid w:val="3C926AC8"/>
    <w:rsid w:val="3C926E07"/>
    <w:rsid w:val="3CA20ECA"/>
    <w:rsid w:val="3CA932FD"/>
    <w:rsid w:val="3CC54D6D"/>
    <w:rsid w:val="3CC9765F"/>
    <w:rsid w:val="3CD26D6D"/>
    <w:rsid w:val="3CD4648D"/>
    <w:rsid w:val="3CEA6BE5"/>
    <w:rsid w:val="3CF17BD3"/>
    <w:rsid w:val="3D0253BE"/>
    <w:rsid w:val="3D05582A"/>
    <w:rsid w:val="3D1269BA"/>
    <w:rsid w:val="3D153E96"/>
    <w:rsid w:val="3D1635D1"/>
    <w:rsid w:val="3D2A7EBD"/>
    <w:rsid w:val="3D2D38C0"/>
    <w:rsid w:val="3D345A36"/>
    <w:rsid w:val="3D3A1E56"/>
    <w:rsid w:val="3D421541"/>
    <w:rsid w:val="3D4A31DC"/>
    <w:rsid w:val="3D546B9F"/>
    <w:rsid w:val="3D5508B8"/>
    <w:rsid w:val="3D561C9A"/>
    <w:rsid w:val="3D563862"/>
    <w:rsid w:val="3D592973"/>
    <w:rsid w:val="3D5D23C5"/>
    <w:rsid w:val="3D5F1B17"/>
    <w:rsid w:val="3D611512"/>
    <w:rsid w:val="3D6274C5"/>
    <w:rsid w:val="3D6748A1"/>
    <w:rsid w:val="3D692754"/>
    <w:rsid w:val="3D6D529B"/>
    <w:rsid w:val="3D744CD8"/>
    <w:rsid w:val="3D7B1E57"/>
    <w:rsid w:val="3D7F35E2"/>
    <w:rsid w:val="3D8050C6"/>
    <w:rsid w:val="3D826B9C"/>
    <w:rsid w:val="3D836094"/>
    <w:rsid w:val="3D885021"/>
    <w:rsid w:val="3D8A5AE2"/>
    <w:rsid w:val="3D8B4D80"/>
    <w:rsid w:val="3D982C02"/>
    <w:rsid w:val="3D9A359C"/>
    <w:rsid w:val="3D9B1CEB"/>
    <w:rsid w:val="3D9C5B4F"/>
    <w:rsid w:val="3D9D069A"/>
    <w:rsid w:val="3DA0142C"/>
    <w:rsid w:val="3DAD1681"/>
    <w:rsid w:val="3DBA0563"/>
    <w:rsid w:val="3DC27802"/>
    <w:rsid w:val="3DC471FE"/>
    <w:rsid w:val="3DCA305B"/>
    <w:rsid w:val="3DCF1C62"/>
    <w:rsid w:val="3DD37639"/>
    <w:rsid w:val="3DD50437"/>
    <w:rsid w:val="3DD601C8"/>
    <w:rsid w:val="3DDB658B"/>
    <w:rsid w:val="3DE90504"/>
    <w:rsid w:val="3DF04372"/>
    <w:rsid w:val="3DFD60E0"/>
    <w:rsid w:val="3E106D52"/>
    <w:rsid w:val="3E111FAD"/>
    <w:rsid w:val="3E1E276F"/>
    <w:rsid w:val="3E223626"/>
    <w:rsid w:val="3E23728C"/>
    <w:rsid w:val="3E287A22"/>
    <w:rsid w:val="3E2C2DE5"/>
    <w:rsid w:val="3E2E695B"/>
    <w:rsid w:val="3E3143FD"/>
    <w:rsid w:val="3E3418AD"/>
    <w:rsid w:val="3E3513D2"/>
    <w:rsid w:val="3E41562C"/>
    <w:rsid w:val="3E6043AB"/>
    <w:rsid w:val="3E6622F9"/>
    <w:rsid w:val="3E686FF8"/>
    <w:rsid w:val="3E6B67DD"/>
    <w:rsid w:val="3E72144C"/>
    <w:rsid w:val="3E734A16"/>
    <w:rsid w:val="3E775125"/>
    <w:rsid w:val="3E7A40AB"/>
    <w:rsid w:val="3E7F3803"/>
    <w:rsid w:val="3E9B777F"/>
    <w:rsid w:val="3E9C7BE2"/>
    <w:rsid w:val="3EA40D5E"/>
    <w:rsid w:val="3EAF29BA"/>
    <w:rsid w:val="3EC10054"/>
    <w:rsid w:val="3EC64914"/>
    <w:rsid w:val="3ECB5E26"/>
    <w:rsid w:val="3ED731F7"/>
    <w:rsid w:val="3EDB37A4"/>
    <w:rsid w:val="3EDB3DFA"/>
    <w:rsid w:val="3EDD297B"/>
    <w:rsid w:val="3EFC3E48"/>
    <w:rsid w:val="3EFC6B0D"/>
    <w:rsid w:val="3F013B9E"/>
    <w:rsid w:val="3F067774"/>
    <w:rsid w:val="3F0B4C4E"/>
    <w:rsid w:val="3F0C223C"/>
    <w:rsid w:val="3F125C20"/>
    <w:rsid w:val="3F127E0E"/>
    <w:rsid w:val="3F22048F"/>
    <w:rsid w:val="3F296DE4"/>
    <w:rsid w:val="3F340649"/>
    <w:rsid w:val="3F395C5F"/>
    <w:rsid w:val="3F3A2DDB"/>
    <w:rsid w:val="3F3B2CE7"/>
    <w:rsid w:val="3F4436BA"/>
    <w:rsid w:val="3F5045CB"/>
    <w:rsid w:val="3F570150"/>
    <w:rsid w:val="3F5D7394"/>
    <w:rsid w:val="3F620D12"/>
    <w:rsid w:val="3F66647F"/>
    <w:rsid w:val="3F717681"/>
    <w:rsid w:val="3F7257FD"/>
    <w:rsid w:val="3F7A2036"/>
    <w:rsid w:val="3F93536F"/>
    <w:rsid w:val="3FB24C91"/>
    <w:rsid w:val="3FB96573"/>
    <w:rsid w:val="3FBB0468"/>
    <w:rsid w:val="3FC02AA3"/>
    <w:rsid w:val="3FC077EA"/>
    <w:rsid w:val="3FC930D6"/>
    <w:rsid w:val="3FCA4BF1"/>
    <w:rsid w:val="3FD25E21"/>
    <w:rsid w:val="3FD45D5C"/>
    <w:rsid w:val="3FDA72F3"/>
    <w:rsid w:val="3FDB0AC5"/>
    <w:rsid w:val="3FDD46A1"/>
    <w:rsid w:val="3FE50604"/>
    <w:rsid w:val="3FEE736E"/>
    <w:rsid w:val="3FF20108"/>
    <w:rsid w:val="3FF67955"/>
    <w:rsid w:val="3FFB2F15"/>
    <w:rsid w:val="3FFF2A05"/>
    <w:rsid w:val="400422C9"/>
    <w:rsid w:val="400A753C"/>
    <w:rsid w:val="400B3158"/>
    <w:rsid w:val="40140839"/>
    <w:rsid w:val="40181965"/>
    <w:rsid w:val="40194129"/>
    <w:rsid w:val="401D330D"/>
    <w:rsid w:val="401D5B7F"/>
    <w:rsid w:val="402773B5"/>
    <w:rsid w:val="402B1A4C"/>
    <w:rsid w:val="402D08D8"/>
    <w:rsid w:val="402F285A"/>
    <w:rsid w:val="403C2B07"/>
    <w:rsid w:val="403E349A"/>
    <w:rsid w:val="404014D6"/>
    <w:rsid w:val="40414212"/>
    <w:rsid w:val="40464190"/>
    <w:rsid w:val="40520D87"/>
    <w:rsid w:val="4054303C"/>
    <w:rsid w:val="40582115"/>
    <w:rsid w:val="405C7E57"/>
    <w:rsid w:val="40627887"/>
    <w:rsid w:val="406352D3"/>
    <w:rsid w:val="40665305"/>
    <w:rsid w:val="406A24E5"/>
    <w:rsid w:val="406A45F3"/>
    <w:rsid w:val="406C6BBE"/>
    <w:rsid w:val="406C796F"/>
    <w:rsid w:val="407216DC"/>
    <w:rsid w:val="407A7C38"/>
    <w:rsid w:val="407D546E"/>
    <w:rsid w:val="407F76A2"/>
    <w:rsid w:val="40A22548"/>
    <w:rsid w:val="40AA0BC3"/>
    <w:rsid w:val="40B82101"/>
    <w:rsid w:val="40CA55A1"/>
    <w:rsid w:val="40D630EC"/>
    <w:rsid w:val="40D71B88"/>
    <w:rsid w:val="40D84937"/>
    <w:rsid w:val="40E1035D"/>
    <w:rsid w:val="40FB06AF"/>
    <w:rsid w:val="40FE74A2"/>
    <w:rsid w:val="4100432A"/>
    <w:rsid w:val="41087989"/>
    <w:rsid w:val="410A460E"/>
    <w:rsid w:val="411C088E"/>
    <w:rsid w:val="411F330B"/>
    <w:rsid w:val="412300DD"/>
    <w:rsid w:val="41287EAE"/>
    <w:rsid w:val="41296933"/>
    <w:rsid w:val="413855D4"/>
    <w:rsid w:val="41390524"/>
    <w:rsid w:val="413C16BC"/>
    <w:rsid w:val="413C3718"/>
    <w:rsid w:val="413E62AE"/>
    <w:rsid w:val="4143090E"/>
    <w:rsid w:val="414D59F2"/>
    <w:rsid w:val="414E6981"/>
    <w:rsid w:val="414F693A"/>
    <w:rsid w:val="4157307D"/>
    <w:rsid w:val="41616A46"/>
    <w:rsid w:val="4163639F"/>
    <w:rsid w:val="416A7095"/>
    <w:rsid w:val="416A78B1"/>
    <w:rsid w:val="416D5FA1"/>
    <w:rsid w:val="41745B44"/>
    <w:rsid w:val="417967E7"/>
    <w:rsid w:val="4182380F"/>
    <w:rsid w:val="41854318"/>
    <w:rsid w:val="41890320"/>
    <w:rsid w:val="41925048"/>
    <w:rsid w:val="419C7036"/>
    <w:rsid w:val="419E7FFC"/>
    <w:rsid w:val="41A41AB6"/>
    <w:rsid w:val="41A96064"/>
    <w:rsid w:val="41AE426B"/>
    <w:rsid w:val="41B205C1"/>
    <w:rsid w:val="41B62C23"/>
    <w:rsid w:val="41B63597"/>
    <w:rsid w:val="41BA4D94"/>
    <w:rsid w:val="41BC30B7"/>
    <w:rsid w:val="41BC79B3"/>
    <w:rsid w:val="41C1555B"/>
    <w:rsid w:val="41D84DF0"/>
    <w:rsid w:val="41DC778C"/>
    <w:rsid w:val="41E75FF2"/>
    <w:rsid w:val="41FC3E52"/>
    <w:rsid w:val="420530A7"/>
    <w:rsid w:val="420F7654"/>
    <w:rsid w:val="42177F76"/>
    <w:rsid w:val="421806E1"/>
    <w:rsid w:val="421D19CE"/>
    <w:rsid w:val="421D7C5F"/>
    <w:rsid w:val="421F5A89"/>
    <w:rsid w:val="422258F6"/>
    <w:rsid w:val="422357F5"/>
    <w:rsid w:val="42356D63"/>
    <w:rsid w:val="423B7E16"/>
    <w:rsid w:val="423C1CEE"/>
    <w:rsid w:val="42415F5D"/>
    <w:rsid w:val="42444742"/>
    <w:rsid w:val="42532BF6"/>
    <w:rsid w:val="425705DC"/>
    <w:rsid w:val="425B7C9B"/>
    <w:rsid w:val="42600318"/>
    <w:rsid w:val="42646A35"/>
    <w:rsid w:val="426A4681"/>
    <w:rsid w:val="426D1D88"/>
    <w:rsid w:val="426D1E34"/>
    <w:rsid w:val="427A667D"/>
    <w:rsid w:val="427B0293"/>
    <w:rsid w:val="427C73F0"/>
    <w:rsid w:val="427D66BD"/>
    <w:rsid w:val="428E6874"/>
    <w:rsid w:val="42902A74"/>
    <w:rsid w:val="42A16E67"/>
    <w:rsid w:val="42A17E43"/>
    <w:rsid w:val="42AF096F"/>
    <w:rsid w:val="42B43EC1"/>
    <w:rsid w:val="42B921FB"/>
    <w:rsid w:val="42BD32F4"/>
    <w:rsid w:val="42C33914"/>
    <w:rsid w:val="42C92D9F"/>
    <w:rsid w:val="42CD1E00"/>
    <w:rsid w:val="42CE4911"/>
    <w:rsid w:val="42CF7DF6"/>
    <w:rsid w:val="42D01C34"/>
    <w:rsid w:val="42D250E2"/>
    <w:rsid w:val="42DA4A78"/>
    <w:rsid w:val="42DB7F5A"/>
    <w:rsid w:val="42DF320E"/>
    <w:rsid w:val="42E10C82"/>
    <w:rsid w:val="42EB0928"/>
    <w:rsid w:val="42FB3958"/>
    <w:rsid w:val="43025DED"/>
    <w:rsid w:val="430E6BD3"/>
    <w:rsid w:val="43142230"/>
    <w:rsid w:val="431A11A1"/>
    <w:rsid w:val="431D3E6D"/>
    <w:rsid w:val="431F4306"/>
    <w:rsid w:val="4322274B"/>
    <w:rsid w:val="43241D6C"/>
    <w:rsid w:val="43260C39"/>
    <w:rsid w:val="432F75A1"/>
    <w:rsid w:val="433749C3"/>
    <w:rsid w:val="43426494"/>
    <w:rsid w:val="4344095B"/>
    <w:rsid w:val="43453FC8"/>
    <w:rsid w:val="43470345"/>
    <w:rsid w:val="434A3F97"/>
    <w:rsid w:val="434B3FFF"/>
    <w:rsid w:val="434B5CEA"/>
    <w:rsid w:val="435C68FB"/>
    <w:rsid w:val="435F167D"/>
    <w:rsid w:val="43654F9A"/>
    <w:rsid w:val="4369644B"/>
    <w:rsid w:val="436A3F81"/>
    <w:rsid w:val="436E2861"/>
    <w:rsid w:val="43713CD8"/>
    <w:rsid w:val="437603E0"/>
    <w:rsid w:val="43762B85"/>
    <w:rsid w:val="437E44CC"/>
    <w:rsid w:val="43911092"/>
    <w:rsid w:val="43913221"/>
    <w:rsid w:val="43A31D6D"/>
    <w:rsid w:val="43A67E30"/>
    <w:rsid w:val="43AE6C50"/>
    <w:rsid w:val="43AE7043"/>
    <w:rsid w:val="43BA1402"/>
    <w:rsid w:val="43C30566"/>
    <w:rsid w:val="43CC0E50"/>
    <w:rsid w:val="43CE1B59"/>
    <w:rsid w:val="43D0071A"/>
    <w:rsid w:val="43D1381E"/>
    <w:rsid w:val="43D24E78"/>
    <w:rsid w:val="43D2785E"/>
    <w:rsid w:val="43D8045A"/>
    <w:rsid w:val="43DC157C"/>
    <w:rsid w:val="43DF68B2"/>
    <w:rsid w:val="43E15EF1"/>
    <w:rsid w:val="43E60035"/>
    <w:rsid w:val="43F14D5A"/>
    <w:rsid w:val="43F5411D"/>
    <w:rsid w:val="43F63327"/>
    <w:rsid w:val="43F76BEC"/>
    <w:rsid w:val="43FE4C59"/>
    <w:rsid w:val="43FE4D82"/>
    <w:rsid w:val="4408774F"/>
    <w:rsid w:val="440914FF"/>
    <w:rsid w:val="440F35DC"/>
    <w:rsid w:val="440F5251"/>
    <w:rsid w:val="44150C44"/>
    <w:rsid w:val="441A7B08"/>
    <w:rsid w:val="441F17C9"/>
    <w:rsid w:val="441F20F7"/>
    <w:rsid w:val="44220BA1"/>
    <w:rsid w:val="44247090"/>
    <w:rsid w:val="442672E1"/>
    <w:rsid w:val="442C7B41"/>
    <w:rsid w:val="443C061B"/>
    <w:rsid w:val="443D49A6"/>
    <w:rsid w:val="44423399"/>
    <w:rsid w:val="44441198"/>
    <w:rsid w:val="44497082"/>
    <w:rsid w:val="44520C95"/>
    <w:rsid w:val="44534498"/>
    <w:rsid w:val="44545048"/>
    <w:rsid w:val="4464635E"/>
    <w:rsid w:val="446675B2"/>
    <w:rsid w:val="44670A67"/>
    <w:rsid w:val="44670B79"/>
    <w:rsid w:val="446B041B"/>
    <w:rsid w:val="446D69EE"/>
    <w:rsid w:val="446E4667"/>
    <w:rsid w:val="447B633F"/>
    <w:rsid w:val="448554B8"/>
    <w:rsid w:val="448A549D"/>
    <w:rsid w:val="448D2DAD"/>
    <w:rsid w:val="449F71E7"/>
    <w:rsid w:val="44A632CA"/>
    <w:rsid w:val="44A81917"/>
    <w:rsid w:val="44BC0BCB"/>
    <w:rsid w:val="44C37FD7"/>
    <w:rsid w:val="44C84BC6"/>
    <w:rsid w:val="44C96F48"/>
    <w:rsid w:val="44CB57F3"/>
    <w:rsid w:val="44D37FBC"/>
    <w:rsid w:val="44DA3CF0"/>
    <w:rsid w:val="44DA4346"/>
    <w:rsid w:val="44DD6280"/>
    <w:rsid w:val="44E23E87"/>
    <w:rsid w:val="44EB0DA9"/>
    <w:rsid w:val="44EC3DFB"/>
    <w:rsid w:val="44EF6232"/>
    <w:rsid w:val="44F03A96"/>
    <w:rsid w:val="450A60D4"/>
    <w:rsid w:val="451374DA"/>
    <w:rsid w:val="45145C06"/>
    <w:rsid w:val="45170CEA"/>
    <w:rsid w:val="451728FA"/>
    <w:rsid w:val="451A3F05"/>
    <w:rsid w:val="451B3299"/>
    <w:rsid w:val="452151CC"/>
    <w:rsid w:val="452B604A"/>
    <w:rsid w:val="452D5CAE"/>
    <w:rsid w:val="452E7BB6"/>
    <w:rsid w:val="45303F8D"/>
    <w:rsid w:val="45317388"/>
    <w:rsid w:val="453D5FF8"/>
    <w:rsid w:val="454001E9"/>
    <w:rsid w:val="45456981"/>
    <w:rsid w:val="454B5D42"/>
    <w:rsid w:val="454C4ADA"/>
    <w:rsid w:val="454E52B1"/>
    <w:rsid w:val="4552000F"/>
    <w:rsid w:val="455C22D3"/>
    <w:rsid w:val="455E76C3"/>
    <w:rsid w:val="456456E4"/>
    <w:rsid w:val="45710F1A"/>
    <w:rsid w:val="45742C00"/>
    <w:rsid w:val="45754123"/>
    <w:rsid w:val="45801D20"/>
    <w:rsid w:val="458062E5"/>
    <w:rsid w:val="45866BD2"/>
    <w:rsid w:val="458C1FD2"/>
    <w:rsid w:val="45915769"/>
    <w:rsid w:val="459222EA"/>
    <w:rsid w:val="459B4424"/>
    <w:rsid w:val="459C0274"/>
    <w:rsid w:val="45A05B2D"/>
    <w:rsid w:val="45A53745"/>
    <w:rsid w:val="45AB2CE7"/>
    <w:rsid w:val="45AC239C"/>
    <w:rsid w:val="45C53E69"/>
    <w:rsid w:val="45CB0E0E"/>
    <w:rsid w:val="45D44D3F"/>
    <w:rsid w:val="45D61706"/>
    <w:rsid w:val="45DD3A9B"/>
    <w:rsid w:val="45DE7F20"/>
    <w:rsid w:val="45E57EC7"/>
    <w:rsid w:val="45ED5C4B"/>
    <w:rsid w:val="45F6294C"/>
    <w:rsid w:val="45FB066C"/>
    <w:rsid w:val="45FB6B7C"/>
    <w:rsid w:val="46010DDA"/>
    <w:rsid w:val="46073546"/>
    <w:rsid w:val="46087427"/>
    <w:rsid w:val="460A0029"/>
    <w:rsid w:val="46141E84"/>
    <w:rsid w:val="4616511E"/>
    <w:rsid w:val="461B60BF"/>
    <w:rsid w:val="461F3BFE"/>
    <w:rsid w:val="46250CEB"/>
    <w:rsid w:val="46261D22"/>
    <w:rsid w:val="4642364B"/>
    <w:rsid w:val="46456C98"/>
    <w:rsid w:val="46494198"/>
    <w:rsid w:val="464E3AE1"/>
    <w:rsid w:val="46515F51"/>
    <w:rsid w:val="46523CEF"/>
    <w:rsid w:val="465743EC"/>
    <w:rsid w:val="465E1B24"/>
    <w:rsid w:val="46646AAE"/>
    <w:rsid w:val="46746FF7"/>
    <w:rsid w:val="46777B5E"/>
    <w:rsid w:val="468064E6"/>
    <w:rsid w:val="46837985"/>
    <w:rsid w:val="468D62F3"/>
    <w:rsid w:val="468E292E"/>
    <w:rsid w:val="468E6891"/>
    <w:rsid w:val="469949A9"/>
    <w:rsid w:val="469C749D"/>
    <w:rsid w:val="46A009FF"/>
    <w:rsid w:val="46A014E2"/>
    <w:rsid w:val="46A165C4"/>
    <w:rsid w:val="46A51950"/>
    <w:rsid w:val="46B43D2F"/>
    <w:rsid w:val="46B459C6"/>
    <w:rsid w:val="46B804BD"/>
    <w:rsid w:val="46BF01CD"/>
    <w:rsid w:val="46C07B8B"/>
    <w:rsid w:val="46C82055"/>
    <w:rsid w:val="46CE7D88"/>
    <w:rsid w:val="46DA200E"/>
    <w:rsid w:val="46DF022F"/>
    <w:rsid w:val="46E00992"/>
    <w:rsid w:val="46E16945"/>
    <w:rsid w:val="46EC2E54"/>
    <w:rsid w:val="46EC4F44"/>
    <w:rsid w:val="46F5323E"/>
    <w:rsid w:val="46FA24D6"/>
    <w:rsid w:val="46FB2C23"/>
    <w:rsid w:val="4708796B"/>
    <w:rsid w:val="470C0593"/>
    <w:rsid w:val="470D12D4"/>
    <w:rsid w:val="471255DF"/>
    <w:rsid w:val="47185889"/>
    <w:rsid w:val="471A5D5F"/>
    <w:rsid w:val="47225B05"/>
    <w:rsid w:val="47251D85"/>
    <w:rsid w:val="47297696"/>
    <w:rsid w:val="47311237"/>
    <w:rsid w:val="473348A4"/>
    <w:rsid w:val="473C7A32"/>
    <w:rsid w:val="474F0C4F"/>
    <w:rsid w:val="475E2543"/>
    <w:rsid w:val="476D47AC"/>
    <w:rsid w:val="47807CD0"/>
    <w:rsid w:val="47832EC1"/>
    <w:rsid w:val="478653F6"/>
    <w:rsid w:val="478F1A37"/>
    <w:rsid w:val="479308CB"/>
    <w:rsid w:val="4798597D"/>
    <w:rsid w:val="47AB0ABF"/>
    <w:rsid w:val="47B51F61"/>
    <w:rsid w:val="47B75973"/>
    <w:rsid w:val="47BC2328"/>
    <w:rsid w:val="47C01F8D"/>
    <w:rsid w:val="47C056BD"/>
    <w:rsid w:val="47C16EF4"/>
    <w:rsid w:val="47C22C96"/>
    <w:rsid w:val="47C567D2"/>
    <w:rsid w:val="47D30281"/>
    <w:rsid w:val="47D349BA"/>
    <w:rsid w:val="47DE73A4"/>
    <w:rsid w:val="47E119ED"/>
    <w:rsid w:val="47E17C2A"/>
    <w:rsid w:val="47E32A59"/>
    <w:rsid w:val="47E75196"/>
    <w:rsid w:val="47E81FD1"/>
    <w:rsid w:val="47EA152A"/>
    <w:rsid w:val="47EA7AF7"/>
    <w:rsid w:val="47ED21B7"/>
    <w:rsid w:val="47F60341"/>
    <w:rsid w:val="47FA5955"/>
    <w:rsid w:val="47FC0A95"/>
    <w:rsid w:val="47FE42A1"/>
    <w:rsid w:val="47FE60BF"/>
    <w:rsid w:val="48017531"/>
    <w:rsid w:val="48037092"/>
    <w:rsid w:val="480378E2"/>
    <w:rsid w:val="48070D71"/>
    <w:rsid w:val="48071DDF"/>
    <w:rsid w:val="48114D6C"/>
    <w:rsid w:val="481767C3"/>
    <w:rsid w:val="481B2B82"/>
    <w:rsid w:val="481C0C8C"/>
    <w:rsid w:val="481D71A2"/>
    <w:rsid w:val="48201F17"/>
    <w:rsid w:val="4823277A"/>
    <w:rsid w:val="482570A7"/>
    <w:rsid w:val="482609B7"/>
    <w:rsid w:val="482C6B79"/>
    <w:rsid w:val="482E0473"/>
    <w:rsid w:val="48316E2B"/>
    <w:rsid w:val="48335942"/>
    <w:rsid w:val="483772B7"/>
    <w:rsid w:val="4839282C"/>
    <w:rsid w:val="48574566"/>
    <w:rsid w:val="4858614A"/>
    <w:rsid w:val="4871646A"/>
    <w:rsid w:val="48774C32"/>
    <w:rsid w:val="48821320"/>
    <w:rsid w:val="4896054D"/>
    <w:rsid w:val="48967C7F"/>
    <w:rsid w:val="489E4C47"/>
    <w:rsid w:val="48A10C9D"/>
    <w:rsid w:val="48A21AB8"/>
    <w:rsid w:val="48A57858"/>
    <w:rsid w:val="48AD6C6A"/>
    <w:rsid w:val="48AF6AB8"/>
    <w:rsid w:val="48CB20B8"/>
    <w:rsid w:val="48D5436F"/>
    <w:rsid w:val="48DD0751"/>
    <w:rsid w:val="48E45C37"/>
    <w:rsid w:val="48E93081"/>
    <w:rsid w:val="48ED05C4"/>
    <w:rsid w:val="48FB0044"/>
    <w:rsid w:val="48FC15B4"/>
    <w:rsid w:val="48FE3DBB"/>
    <w:rsid w:val="49062F1B"/>
    <w:rsid w:val="4908690C"/>
    <w:rsid w:val="490A461C"/>
    <w:rsid w:val="490E5A67"/>
    <w:rsid w:val="49151A1E"/>
    <w:rsid w:val="49217016"/>
    <w:rsid w:val="49262A0C"/>
    <w:rsid w:val="492F1A61"/>
    <w:rsid w:val="493018FF"/>
    <w:rsid w:val="4930640B"/>
    <w:rsid w:val="4933362A"/>
    <w:rsid w:val="49390779"/>
    <w:rsid w:val="493F3E51"/>
    <w:rsid w:val="494476DB"/>
    <w:rsid w:val="496164DE"/>
    <w:rsid w:val="496555C4"/>
    <w:rsid w:val="496E3280"/>
    <w:rsid w:val="49732BB6"/>
    <w:rsid w:val="49785762"/>
    <w:rsid w:val="49804164"/>
    <w:rsid w:val="49881D6C"/>
    <w:rsid w:val="49961BF2"/>
    <w:rsid w:val="49987FAB"/>
    <w:rsid w:val="49A42527"/>
    <w:rsid w:val="49A85D72"/>
    <w:rsid w:val="49AD1724"/>
    <w:rsid w:val="49B40B24"/>
    <w:rsid w:val="49BC3EFE"/>
    <w:rsid w:val="49C32CF5"/>
    <w:rsid w:val="49C5497D"/>
    <w:rsid w:val="49D02FC1"/>
    <w:rsid w:val="49DD3C4B"/>
    <w:rsid w:val="49E60ED2"/>
    <w:rsid w:val="49EA6603"/>
    <w:rsid w:val="49F90946"/>
    <w:rsid w:val="4A056571"/>
    <w:rsid w:val="4A071678"/>
    <w:rsid w:val="4A0739BB"/>
    <w:rsid w:val="4A0868C0"/>
    <w:rsid w:val="4A0F1E40"/>
    <w:rsid w:val="4A111CB3"/>
    <w:rsid w:val="4A15132F"/>
    <w:rsid w:val="4A1B0B6B"/>
    <w:rsid w:val="4A1D477A"/>
    <w:rsid w:val="4A1D5EC9"/>
    <w:rsid w:val="4A261A60"/>
    <w:rsid w:val="4A2A3E30"/>
    <w:rsid w:val="4A2A59A8"/>
    <w:rsid w:val="4A2F59AA"/>
    <w:rsid w:val="4A3239D7"/>
    <w:rsid w:val="4A3F17D9"/>
    <w:rsid w:val="4A470C7E"/>
    <w:rsid w:val="4A593D45"/>
    <w:rsid w:val="4A597B1E"/>
    <w:rsid w:val="4A5D4EF8"/>
    <w:rsid w:val="4A5E54C5"/>
    <w:rsid w:val="4A64529E"/>
    <w:rsid w:val="4A672DFB"/>
    <w:rsid w:val="4A6C333B"/>
    <w:rsid w:val="4A6D122A"/>
    <w:rsid w:val="4A7834E4"/>
    <w:rsid w:val="4A833006"/>
    <w:rsid w:val="4A83470C"/>
    <w:rsid w:val="4A882FAA"/>
    <w:rsid w:val="4A885330"/>
    <w:rsid w:val="4A940BCE"/>
    <w:rsid w:val="4AAA5E01"/>
    <w:rsid w:val="4AAD44D6"/>
    <w:rsid w:val="4AB72DF4"/>
    <w:rsid w:val="4ABA47E2"/>
    <w:rsid w:val="4ABD6669"/>
    <w:rsid w:val="4AD03497"/>
    <w:rsid w:val="4AD14B83"/>
    <w:rsid w:val="4ADF7CF9"/>
    <w:rsid w:val="4AE80FFA"/>
    <w:rsid w:val="4AF173EE"/>
    <w:rsid w:val="4AFC4B9A"/>
    <w:rsid w:val="4B0C62A4"/>
    <w:rsid w:val="4B0F2F9F"/>
    <w:rsid w:val="4B102D94"/>
    <w:rsid w:val="4B121505"/>
    <w:rsid w:val="4B175986"/>
    <w:rsid w:val="4B1A2BF2"/>
    <w:rsid w:val="4B1D3273"/>
    <w:rsid w:val="4B274BF6"/>
    <w:rsid w:val="4B344161"/>
    <w:rsid w:val="4B3703BC"/>
    <w:rsid w:val="4B400909"/>
    <w:rsid w:val="4B432E28"/>
    <w:rsid w:val="4B4738BF"/>
    <w:rsid w:val="4B4755AD"/>
    <w:rsid w:val="4B4B258B"/>
    <w:rsid w:val="4B4C0D6B"/>
    <w:rsid w:val="4B4F26DD"/>
    <w:rsid w:val="4B580E21"/>
    <w:rsid w:val="4B643267"/>
    <w:rsid w:val="4B6467A5"/>
    <w:rsid w:val="4B6C0945"/>
    <w:rsid w:val="4B722A3D"/>
    <w:rsid w:val="4B7A0E50"/>
    <w:rsid w:val="4B7E0DD4"/>
    <w:rsid w:val="4B7F5336"/>
    <w:rsid w:val="4B842010"/>
    <w:rsid w:val="4B8C5CDF"/>
    <w:rsid w:val="4B8D1B46"/>
    <w:rsid w:val="4B9761E7"/>
    <w:rsid w:val="4B985DF5"/>
    <w:rsid w:val="4B9E0693"/>
    <w:rsid w:val="4BA24842"/>
    <w:rsid w:val="4BA9437D"/>
    <w:rsid w:val="4BAB3A41"/>
    <w:rsid w:val="4BB37012"/>
    <w:rsid w:val="4BBF379D"/>
    <w:rsid w:val="4BCE7434"/>
    <w:rsid w:val="4BCE772F"/>
    <w:rsid w:val="4BD532E8"/>
    <w:rsid w:val="4BE864FA"/>
    <w:rsid w:val="4BEC5862"/>
    <w:rsid w:val="4BED23AD"/>
    <w:rsid w:val="4BED6AD1"/>
    <w:rsid w:val="4BF0454B"/>
    <w:rsid w:val="4BF06FAD"/>
    <w:rsid w:val="4BF67817"/>
    <w:rsid w:val="4BF74FA9"/>
    <w:rsid w:val="4C002EDF"/>
    <w:rsid w:val="4C012EFF"/>
    <w:rsid w:val="4C0D4897"/>
    <w:rsid w:val="4C143394"/>
    <w:rsid w:val="4C155AC6"/>
    <w:rsid w:val="4C157CFD"/>
    <w:rsid w:val="4C157F5A"/>
    <w:rsid w:val="4C1A156A"/>
    <w:rsid w:val="4C1C1422"/>
    <w:rsid w:val="4C2E2197"/>
    <w:rsid w:val="4C3A168F"/>
    <w:rsid w:val="4C3A5FEF"/>
    <w:rsid w:val="4C401227"/>
    <w:rsid w:val="4C4567B9"/>
    <w:rsid w:val="4C4944C1"/>
    <w:rsid w:val="4C4D173E"/>
    <w:rsid w:val="4C5421EF"/>
    <w:rsid w:val="4C575C97"/>
    <w:rsid w:val="4C5E32FD"/>
    <w:rsid w:val="4C613F0B"/>
    <w:rsid w:val="4C6146D6"/>
    <w:rsid w:val="4C673E0C"/>
    <w:rsid w:val="4C6A1317"/>
    <w:rsid w:val="4C6A7458"/>
    <w:rsid w:val="4C7D266B"/>
    <w:rsid w:val="4C7E5C7D"/>
    <w:rsid w:val="4C7F5A9B"/>
    <w:rsid w:val="4C96326D"/>
    <w:rsid w:val="4CA0571B"/>
    <w:rsid w:val="4CA31380"/>
    <w:rsid w:val="4CA45F45"/>
    <w:rsid w:val="4CA878C4"/>
    <w:rsid w:val="4CAC0D83"/>
    <w:rsid w:val="4CAD6E7D"/>
    <w:rsid w:val="4CB54C6D"/>
    <w:rsid w:val="4CB8430F"/>
    <w:rsid w:val="4CBD72E6"/>
    <w:rsid w:val="4CC20439"/>
    <w:rsid w:val="4CCF2240"/>
    <w:rsid w:val="4CD32548"/>
    <w:rsid w:val="4CD72445"/>
    <w:rsid w:val="4CD82614"/>
    <w:rsid w:val="4CDC1197"/>
    <w:rsid w:val="4CE31605"/>
    <w:rsid w:val="4CF238BE"/>
    <w:rsid w:val="4CF346CE"/>
    <w:rsid w:val="4CF534E1"/>
    <w:rsid w:val="4CFA1C86"/>
    <w:rsid w:val="4CFB4CAC"/>
    <w:rsid w:val="4CFE32F4"/>
    <w:rsid w:val="4CFE7AB9"/>
    <w:rsid w:val="4D027508"/>
    <w:rsid w:val="4D04076D"/>
    <w:rsid w:val="4D056005"/>
    <w:rsid w:val="4D0B6F16"/>
    <w:rsid w:val="4D121217"/>
    <w:rsid w:val="4D172974"/>
    <w:rsid w:val="4D175610"/>
    <w:rsid w:val="4D1837DF"/>
    <w:rsid w:val="4D250D1B"/>
    <w:rsid w:val="4D2E492A"/>
    <w:rsid w:val="4D31126A"/>
    <w:rsid w:val="4D365515"/>
    <w:rsid w:val="4D3869EC"/>
    <w:rsid w:val="4D3A42E9"/>
    <w:rsid w:val="4D3A77A1"/>
    <w:rsid w:val="4D3D6EBF"/>
    <w:rsid w:val="4D413028"/>
    <w:rsid w:val="4D5A74CD"/>
    <w:rsid w:val="4D5C4A01"/>
    <w:rsid w:val="4D656ADF"/>
    <w:rsid w:val="4D704ADA"/>
    <w:rsid w:val="4D7230E2"/>
    <w:rsid w:val="4D7375FE"/>
    <w:rsid w:val="4D7A2EF2"/>
    <w:rsid w:val="4D81550C"/>
    <w:rsid w:val="4D84279B"/>
    <w:rsid w:val="4D8469FB"/>
    <w:rsid w:val="4D8867F5"/>
    <w:rsid w:val="4D8C7873"/>
    <w:rsid w:val="4D8E40DC"/>
    <w:rsid w:val="4D8E47EB"/>
    <w:rsid w:val="4D931F22"/>
    <w:rsid w:val="4D9B4165"/>
    <w:rsid w:val="4D9C1275"/>
    <w:rsid w:val="4D9C4129"/>
    <w:rsid w:val="4DA9070F"/>
    <w:rsid w:val="4DAD3AA0"/>
    <w:rsid w:val="4DB3505A"/>
    <w:rsid w:val="4DB3738D"/>
    <w:rsid w:val="4DB427B5"/>
    <w:rsid w:val="4DBC0B76"/>
    <w:rsid w:val="4DBD45A6"/>
    <w:rsid w:val="4DC857B0"/>
    <w:rsid w:val="4DC96400"/>
    <w:rsid w:val="4DD161E5"/>
    <w:rsid w:val="4DDB63D7"/>
    <w:rsid w:val="4DDD25B4"/>
    <w:rsid w:val="4DE155DB"/>
    <w:rsid w:val="4DE66181"/>
    <w:rsid w:val="4DF17A63"/>
    <w:rsid w:val="4DF40005"/>
    <w:rsid w:val="4DF85DA9"/>
    <w:rsid w:val="4E01155E"/>
    <w:rsid w:val="4E092CA1"/>
    <w:rsid w:val="4E1313F6"/>
    <w:rsid w:val="4E140FC6"/>
    <w:rsid w:val="4E190A33"/>
    <w:rsid w:val="4E1E01B1"/>
    <w:rsid w:val="4E23479E"/>
    <w:rsid w:val="4E320449"/>
    <w:rsid w:val="4E3B2C94"/>
    <w:rsid w:val="4E3E294A"/>
    <w:rsid w:val="4E4F0F85"/>
    <w:rsid w:val="4E603E01"/>
    <w:rsid w:val="4E64399F"/>
    <w:rsid w:val="4E657334"/>
    <w:rsid w:val="4E6600F3"/>
    <w:rsid w:val="4E6E3F9C"/>
    <w:rsid w:val="4E7179FB"/>
    <w:rsid w:val="4E72684D"/>
    <w:rsid w:val="4E934E42"/>
    <w:rsid w:val="4E944271"/>
    <w:rsid w:val="4E9B79EF"/>
    <w:rsid w:val="4E9C1F72"/>
    <w:rsid w:val="4EA96152"/>
    <w:rsid w:val="4EAC32E3"/>
    <w:rsid w:val="4EAF1962"/>
    <w:rsid w:val="4EB1136E"/>
    <w:rsid w:val="4EB259C5"/>
    <w:rsid w:val="4EC11450"/>
    <w:rsid w:val="4EC17D1D"/>
    <w:rsid w:val="4EC6524A"/>
    <w:rsid w:val="4EC7788E"/>
    <w:rsid w:val="4ECA1C88"/>
    <w:rsid w:val="4ED212E5"/>
    <w:rsid w:val="4ED25437"/>
    <w:rsid w:val="4ED372FC"/>
    <w:rsid w:val="4ED63106"/>
    <w:rsid w:val="4EDA4877"/>
    <w:rsid w:val="4EDB066F"/>
    <w:rsid w:val="4EDF73D4"/>
    <w:rsid w:val="4EE43A5D"/>
    <w:rsid w:val="4EEB1120"/>
    <w:rsid w:val="4EED2F1C"/>
    <w:rsid w:val="4EF427F6"/>
    <w:rsid w:val="4EFA6F6B"/>
    <w:rsid w:val="4EFC6FE8"/>
    <w:rsid w:val="4EFE032C"/>
    <w:rsid w:val="4F017C81"/>
    <w:rsid w:val="4F06596D"/>
    <w:rsid w:val="4F1D2555"/>
    <w:rsid w:val="4F1E308D"/>
    <w:rsid w:val="4F2E60DC"/>
    <w:rsid w:val="4F351F9F"/>
    <w:rsid w:val="4F352DB4"/>
    <w:rsid w:val="4F3632EA"/>
    <w:rsid w:val="4F3F2A16"/>
    <w:rsid w:val="4F440434"/>
    <w:rsid w:val="4F484168"/>
    <w:rsid w:val="4F4E209F"/>
    <w:rsid w:val="4F651595"/>
    <w:rsid w:val="4F664D00"/>
    <w:rsid w:val="4F6841D5"/>
    <w:rsid w:val="4F6C1261"/>
    <w:rsid w:val="4F764CAF"/>
    <w:rsid w:val="4F776038"/>
    <w:rsid w:val="4F7C2E68"/>
    <w:rsid w:val="4F966ABB"/>
    <w:rsid w:val="4FA32022"/>
    <w:rsid w:val="4FA578B9"/>
    <w:rsid w:val="4FA82BFF"/>
    <w:rsid w:val="4FB821D2"/>
    <w:rsid w:val="4FBB3FF0"/>
    <w:rsid w:val="4FBC1FA7"/>
    <w:rsid w:val="4FBC5995"/>
    <w:rsid w:val="4FC7124E"/>
    <w:rsid w:val="4FCD2A59"/>
    <w:rsid w:val="4FD00808"/>
    <w:rsid w:val="4FD118E4"/>
    <w:rsid w:val="4FD2256B"/>
    <w:rsid w:val="4FE34E20"/>
    <w:rsid w:val="4FE36CCF"/>
    <w:rsid w:val="4FE44E9C"/>
    <w:rsid w:val="4FE646FD"/>
    <w:rsid w:val="4FE96A42"/>
    <w:rsid w:val="4FEB3E41"/>
    <w:rsid w:val="4FEF351E"/>
    <w:rsid w:val="4FF77558"/>
    <w:rsid w:val="4FF854E8"/>
    <w:rsid w:val="4FFA2846"/>
    <w:rsid w:val="4FFA6908"/>
    <w:rsid w:val="50011E81"/>
    <w:rsid w:val="500951DA"/>
    <w:rsid w:val="500A2FF2"/>
    <w:rsid w:val="50120291"/>
    <w:rsid w:val="501F487D"/>
    <w:rsid w:val="50204062"/>
    <w:rsid w:val="50251211"/>
    <w:rsid w:val="50262711"/>
    <w:rsid w:val="502A125F"/>
    <w:rsid w:val="502C0172"/>
    <w:rsid w:val="5033278D"/>
    <w:rsid w:val="503572A0"/>
    <w:rsid w:val="504A632E"/>
    <w:rsid w:val="504D5CAA"/>
    <w:rsid w:val="504E6D89"/>
    <w:rsid w:val="505446A7"/>
    <w:rsid w:val="50595DB0"/>
    <w:rsid w:val="505A204B"/>
    <w:rsid w:val="506A7B7F"/>
    <w:rsid w:val="506B2283"/>
    <w:rsid w:val="50766266"/>
    <w:rsid w:val="50872205"/>
    <w:rsid w:val="509660E3"/>
    <w:rsid w:val="509712AB"/>
    <w:rsid w:val="5099030C"/>
    <w:rsid w:val="509C0C73"/>
    <w:rsid w:val="509D0CB3"/>
    <w:rsid w:val="509E0825"/>
    <w:rsid w:val="50A66539"/>
    <w:rsid w:val="50B60EBE"/>
    <w:rsid w:val="50B84BC3"/>
    <w:rsid w:val="50B976EB"/>
    <w:rsid w:val="50BE02E7"/>
    <w:rsid w:val="50C42A4A"/>
    <w:rsid w:val="50CC0BB5"/>
    <w:rsid w:val="50CC248F"/>
    <w:rsid w:val="50DC39D3"/>
    <w:rsid w:val="50E07FFF"/>
    <w:rsid w:val="50E545D8"/>
    <w:rsid w:val="50E750E8"/>
    <w:rsid w:val="50ED680C"/>
    <w:rsid w:val="50EF61B4"/>
    <w:rsid w:val="50EF6693"/>
    <w:rsid w:val="50F95FEE"/>
    <w:rsid w:val="51087240"/>
    <w:rsid w:val="510C60DF"/>
    <w:rsid w:val="51117E35"/>
    <w:rsid w:val="5113638A"/>
    <w:rsid w:val="5117191B"/>
    <w:rsid w:val="512C2F2E"/>
    <w:rsid w:val="513208A7"/>
    <w:rsid w:val="513C65A9"/>
    <w:rsid w:val="51466DB5"/>
    <w:rsid w:val="514A49BD"/>
    <w:rsid w:val="51512421"/>
    <w:rsid w:val="51597B9D"/>
    <w:rsid w:val="516211A0"/>
    <w:rsid w:val="51651AFA"/>
    <w:rsid w:val="516E45FE"/>
    <w:rsid w:val="51791528"/>
    <w:rsid w:val="517D5A11"/>
    <w:rsid w:val="518049FA"/>
    <w:rsid w:val="5183617E"/>
    <w:rsid w:val="51907961"/>
    <w:rsid w:val="51907DCC"/>
    <w:rsid w:val="519E4F60"/>
    <w:rsid w:val="51A36C64"/>
    <w:rsid w:val="51AE31BA"/>
    <w:rsid w:val="51AF7F74"/>
    <w:rsid w:val="51B457BF"/>
    <w:rsid w:val="51B70CB4"/>
    <w:rsid w:val="51C84ADF"/>
    <w:rsid w:val="51CF0548"/>
    <w:rsid w:val="51D020DD"/>
    <w:rsid w:val="51D73D3C"/>
    <w:rsid w:val="51DB7342"/>
    <w:rsid w:val="51DC6048"/>
    <w:rsid w:val="51E90E1F"/>
    <w:rsid w:val="51ED5287"/>
    <w:rsid w:val="51EE402D"/>
    <w:rsid w:val="51F15F26"/>
    <w:rsid w:val="51F84722"/>
    <w:rsid w:val="51F872B4"/>
    <w:rsid w:val="51FA127E"/>
    <w:rsid w:val="520224CA"/>
    <w:rsid w:val="520B4BB2"/>
    <w:rsid w:val="520C70FF"/>
    <w:rsid w:val="520E31A3"/>
    <w:rsid w:val="520E3420"/>
    <w:rsid w:val="52102134"/>
    <w:rsid w:val="52102D04"/>
    <w:rsid w:val="52127F13"/>
    <w:rsid w:val="5218631C"/>
    <w:rsid w:val="521F0313"/>
    <w:rsid w:val="52277831"/>
    <w:rsid w:val="52311068"/>
    <w:rsid w:val="52323BB1"/>
    <w:rsid w:val="523429E2"/>
    <w:rsid w:val="5235345C"/>
    <w:rsid w:val="5240739C"/>
    <w:rsid w:val="524C3263"/>
    <w:rsid w:val="5251302F"/>
    <w:rsid w:val="52532770"/>
    <w:rsid w:val="525F201E"/>
    <w:rsid w:val="52603232"/>
    <w:rsid w:val="526828F9"/>
    <w:rsid w:val="526A1FA7"/>
    <w:rsid w:val="526B628E"/>
    <w:rsid w:val="526B6F23"/>
    <w:rsid w:val="526D225D"/>
    <w:rsid w:val="5271602E"/>
    <w:rsid w:val="528405C0"/>
    <w:rsid w:val="52862B12"/>
    <w:rsid w:val="52A03BD4"/>
    <w:rsid w:val="52A511EA"/>
    <w:rsid w:val="52A77475"/>
    <w:rsid w:val="52BB514B"/>
    <w:rsid w:val="52BC41A5"/>
    <w:rsid w:val="52C33018"/>
    <w:rsid w:val="52C5188C"/>
    <w:rsid w:val="52D113CC"/>
    <w:rsid w:val="52DC57C4"/>
    <w:rsid w:val="530561FC"/>
    <w:rsid w:val="53070B75"/>
    <w:rsid w:val="531038C0"/>
    <w:rsid w:val="53120235"/>
    <w:rsid w:val="53125F74"/>
    <w:rsid w:val="53167F46"/>
    <w:rsid w:val="531A40A9"/>
    <w:rsid w:val="53257760"/>
    <w:rsid w:val="5327228A"/>
    <w:rsid w:val="532742F5"/>
    <w:rsid w:val="532D0253"/>
    <w:rsid w:val="53334A48"/>
    <w:rsid w:val="5335725E"/>
    <w:rsid w:val="534C0DFE"/>
    <w:rsid w:val="53506D78"/>
    <w:rsid w:val="535148C8"/>
    <w:rsid w:val="535553F9"/>
    <w:rsid w:val="53591E50"/>
    <w:rsid w:val="535A56B8"/>
    <w:rsid w:val="535E4AA9"/>
    <w:rsid w:val="53683806"/>
    <w:rsid w:val="536D3367"/>
    <w:rsid w:val="536F17F8"/>
    <w:rsid w:val="53710577"/>
    <w:rsid w:val="53715570"/>
    <w:rsid w:val="53754575"/>
    <w:rsid w:val="537947F1"/>
    <w:rsid w:val="537A69F1"/>
    <w:rsid w:val="537C11C6"/>
    <w:rsid w:val="538222AA"/>
    <w:rsid w:val="538D1CF8"/>
    <w:rsid w:val="538E6122"/>
    <w:rsid w:val="539849AF"/>
    <w:rsid w:val="539C7B55"/>
    <w:rsid w:val="53A20A16"/>
    <w:rsid w:val="53A55206"/>
    <w:rsid w:val="53AC4502"/>
    <w:rsid w:val="53BA6F17"/>
    <w:rsid w:val="53BB4A3D"/>
    <w:rsid w:val="53BE3578"/>
    <w:rsid w:val="53C34093"/>
    <w:rsid w:val="53C554DC"/>
    <w:rsid w:val="53CD5208"/>
    <w:rsid w:val="53CF413B"/>
    <w:rsid w:val="53D425E3"/>
    <w:rsid w:val="53E83E17"/>
    <w:rsid w:val="53EB3A75"/>
    <w:rsid w:val="53F16A3C"/>
    <w:rsid w:val="53F44B97"/>
    <w:rsid w:val="53F55620"/>
    <w:rsid w:val="53F76360"/>
    <w:rsid w:val="53F874C5"/>
    <w:rsid w:val="53FC7290"/>
    <w:rsid w:val="54014A48"/>
    <w:rsid w:val="5402109E"/>
    <w:rsid w:val="54047986"/>
    <w:rsid w:val="54067702"/>
    <w:rsid w:val="54076FFA"/>
    <w:rsid w:val="54104A99"/>
    <w:rsid w:val="54161C73"/>
    <w:rsid w:val="541A5CBA"/>
    <w:rsid w:val="54274C37"/>
    <w:rsid w:val="542D4457"/>
    <w:rsid w:val="54332B51"/>
    <w:rsid w:val="5436795D"/>
    <w:rsid w:val="54372316"/>
    <w:rsid w:val="54375ED4"/>
    <w:rsid w:val="54414F42"/>
    <w:rsid w:val="54505220"/>
    <w:rsid w:val="54517B25"/>
    <w:rsid w:val="54570C85"/>
    <w:rsid w:val="54644147"/>
    <w:rsid w:val="546465BC"/>
    <w:rsid w:val="546B49BF"/>
    <w:rsid w:val="54757EC0"/>
    <w:rsid w:val="548D7A67"/>
    <w:rsid w:val="548E0A81"/>
    <w:rsid w:val="549034A7"/>
    <w:rsid w:val="54967D86"/>
    <w:rsid w:val="54974F4B"/>
    <w:rsid w:val="54A131E8"/>
    <w:rsid w:val="54AA1344"/>
    <w:rsid w:val="54AF4895"/>
    <w:rsid w:val="54C674AA"/>
    <w:rsid w:val="54D72166"/>
    <w:rsid w:val="54DB1411"/>
    <w:rsid w:val="54DE6418"/>
    <w:rsid w:val="54E20E8F"/>
    <w:rsid w:val="54EB5FD4"/>
    <w:rsid w:val="54FB2FCD"/>
    <w:rsid w:val="54FC51E9"/>
    <w:rsid w:val="55114323"/>
    <w:rsid w:val="55156BCF"/>
    <w:rsid w:val="5516102F"/>
    <w:rsid w:val="55177356"/>
    <w:rsid w:val="552060CA"/>
    <w:rsid w:val="552D522A"/>
    <w:rsid w:val="553C43F0"/>
    <w:rsid w:val="55414ECC"/>
    <w:rsid w:val="55483A08"/>
    <w:rsid w:val="55484076"/>
    <w:rsid w:val="55522DB5"/>
    <w:rsid w:val="5552778D"/>
    <w:rsid w:val="55545F03"/>
    <w:rsid w:val="5560589C"/>
    <w:rsid w:val="55611D6D"/>
    <w:rsid w:val="556550E1"/>
    <w:rsid w:val="55683ADA"/>
    <w:rsid w:val="557529C9"/>
    <w:rsid w:val="557C6B2E"/>
    <w:rsid w:val="55812E2C"/>
    <w:rsid w:val="55825660"/>
    <w:rsid w:val="558562F4"/>
    <w:rsid w:val="55862935"/>
    <w:rsid w:val="55911359"/>
    <w:rsid w:val="55930973"/>
    <w:rsid w:val="55A056C0"/>
    <w:rsid w:val="55A16800"/>
    <w:rsid w:val="55A2220E"/>
    <w:rsid w:val="55A31608"/>
    <w:rsid w:val="55A35789"/>
    <w:rsid w:val="55A41820"/>
    <w:rsid w:val="55B331F6"/>
    <w:rsid w:val="55BB6F76"/>
    <w:rsid w:val="55BE6A62"/>
    <w:rsid w:val="55C5009F"/>
    <w:rsid w:val="55C86F23"/>
    <w:rsid w:val="55CA504D"/>
    <w:rsid w:val="55DB13C7"/>
    <w:rsid w:val="55E10682"/>
    <w:rsid w:val="55E65CED"/>
    <w:rsid w:val="55F068BE"/>
    <w:rsid w:val="55FB3F8B"/>
    <w:rsid w:val="55FE1983"/>
    <w:rsid w:val="56022C4C"/>
    <w:rsid w:val="560241A3"/>
    <w:rsid w:val="56193264"/>
    <w:rsid w:val="562B3A43"/>
    <w:rsid w:val="562B4252"/>
    <w:rsid w:val="56305F2D"/>
    <w:rsid w:val="56340B3E"/>
    <w:rsid w:val="563E57AF"/>
    <w:rsid w:val="564670ED"/>
    <w:rsid w:val="56490CF3"/>
    <w:rsid w:val="564C2886"/>
    <w:rsid w:val="565765FB"/>
    <w:rsid w:val="56675DA7"/>
    <w:rsid w:val="566A582F"/>
    <w:rsid w:val="56744087"/>
    <w:rsid w:val="568535E4"/>
    <w:rsid w:val="568A111C"/>
    <w:rsid w:val="568B66CD"/>
    <w:rsid w:val="569658B6"/>
    <w:rsid w:val="56A96477"/>
    <w:rsid w:val="56AF6272"/>
    <w:rsid w:val="56B972E3"/>
    <w:rsid w:val="56BE1B98"/>
    <w:rsid w:val="56BF4844"/>
    <w:rsid w:val="56C1365E"/>
    <w:rsid w:val="56C633E7"/>
    <w:rsid w:val="56C72F27"/>
    <w:rsid w:val="56C86ECF"/>
    <w:rsid w:val="56CA17BA"/>
    <w:rsid w:val="56D452A6"/>
    <w:rsid w:val="56D60652"/>
    <w:rsid w:val="56D8626A"/>
    <w:rsid w:val="56E30533"/>
    <w:rsid w:val="56E542AB"/>
    <w:rsid w:val="56E650F7"/>
    <w:rsid w:val="56EF6ED8"/>
    <w:rsid w:val="56F43B8A"/>
    <w:rsid w:val="56F75F43"/>
    <w:rsid w:val="56FD14B8"/>
    <w:rsid w:val="570327DE"/>
    <w:rsid w:val="57186F92"/>
    <w:rsid w:val="57191957"/>
    <w:rsid w:val="5721105B"/>
    <w:rsid w:val="57236B81"/>
    <w:rsid w:val="5724004D"/>
    <w:rsid w:val="5725737B"/>
    <w:rsid w:val="57276214"/>
    <w:rsid w:val="572D77A8"/>
    <w:rsid w:val="572F540B"/>
    <w:rsid w:val="57370EED"/>
    <w:rsid w:val="573D1559"/>
    <w:rsid w:val="573E51A8"/>
    <w:rsid w:val="57466790"/>
    <w:rsid w:val="574B4357"/>
    <w:rsid w:val="574C01FB"/>
    <w:rsid w:val="574F27DE"/>
    <w:rsid w:val="57500D86"/>
    <w:rsid w:val="5754249E"/>
    <w:rsid w:val="575620C3"/>
    <w:rsid w:val="575641B1"/>
    <w:rsid w:val="57564D54"/>
    <w:rsid w:val="57571697"/>
    <w:rsid w:val="575C02E5"/>
    <w:rsid w:val="575D6190"/>
    <w:rsid w:val="57650F48"/>
    <w:rsid w:val="5768796E"/>
    <w:rsid w:val="576D604E"/>
    <w:rsid w:val="57720E26"/>
    <w:rsid w:val="577377C2"/>
    <w:rsid w:val="57767BA5"/>
    <w:rsid w:val="57767CCD"/>
    <w:rsid w:val="577E200A"/>
    <w:rsid w:val="577F454D"/>
    <w:rsid w:val="57810EF2"/>
    <w:rsid w:val="57830133"/>
    <w:rsid w:val="578F4DE2"/>
    <w:rsid w:val="57915009"/>
    <w:rsid w:val="57941E3D"/>
    <w:rsid w:val="57984565"/>
    <w:rsid w:val="579B024A"/>
    <w:rsid w:val="579E77F9"/>
    <w:rsid w:val="57A633FA"/>
    <w:rsid w:val="57B0616A"/>
    <w:rsid w:val="57B67341"/>
    <w:rsid w:val="57BF4814"/>
    <w:rsid w:val="57C01D89"/>
    <w:rsid w:val="57C66DF1"/>
    <w:rsid w:val="57C77606"/>
    <w:rsid w:val="57C77957"/>
    <w:rsid w:val="57CF2865"/>
    <w:rsid w:val="57D26B2D"/>
    <w:rsid w:val="57D603B4"/>
    <w:rsid w:val="57D927B0"/>
    <w:rsid w:val="57DA0FF4"/>
    <w:rsid w:val="57E43151"/>
    <w:rsid w:val="57E6369C"/>
    <w:rsid w:val="57EA122A"/>
    <w:rsid w:val="57EE4FDB"/>
    <w:rsid w:val="57F73636"/>
    <w:rsid w:val="58003366"/>
    <w:rsid w:val="580350C7"/>
    <w:rsid w:val="58072BA7"/>
    <w:rsid w:val="581820C6"/>
    <w:rsid w:val="5822508B"/>
    <w:rsid w:val="58280C44"/>
    <w:rsid w:val="582C4167"/>
    <w:rsid w:val="58331046"/>
    <w:rsid w:val="58380C99"/>
    <w:rsid w:val="583900A3"/>
    <w:rsid w:val="58450D79"/>
    <w:rsid w:val="584D37A9"/>
    <w:rsid w:val="58650270"/>
    <w:rsid w:val="586B735B"/>
    <w:rsid w:val="587578B0"/>
    <w:rsid w:val="587736BE"/>
    <w:rsid w:val="58885CFA"/>
    <w:rsid w:val="58894CF6"/>
    <w:rsid w:val="588F50B2"/>
    <w:rsid w:val="58A54470"/>
    <w:rsid w:val="58AC2AF9"/>
    <w:rsid w:val="58B967D2"/>
    <w:rsid w:val="58BC20A6"/>
    <w:rsid w:val="58BE4209"/>
    <w:rsid w:val="58C67894"/>
    <w:rsid w:val="58CA0F96"/>
    <w:rsid w:val="58D57B02"/>
    <w:rsid w:val="58D96812"/>
    <w:rsid w:val="58D97E3F"/>
    <w:rsid w:val="58DB23F1"/>
    <w:rsid w:val="58E51BC8"/>
    <w:rsid w:val="58E86129"/>
    <w:rsid w:val="58F66238"/>
    <w:rsid w:val="58F87D2F"/>
    <w:rsid w:val="59066664"/>
    <w:rsid w:val="590E560F"/>
    <w:rsid w:val="59170320"/>
    <w:rsid w:val="5928437A"/>
    <w:rsid w:val="592971F6"/>
    <w:rsid w:val="592D237C"/>
    <w:rsid w:val="59376914"/>
    <w:rsid w:val="593F1688"/>
    <w:rsid w:val="59443F98"/>
    <w:rsid w:val="594611E5"/>
    <w:rsid w:val="59480B21"/>
    <w:rsid w:val="59485917"/>
    <w:rsid w:val="59534913"/>
    <w:rsid w:val="59542AED"/>
    <w:rsid w:val="59545568"/>
    <w:rsid w:val="595970E6"/>
    <w:rsid w:val="595E02C5"/>
    <w:rsid w:val="595E6AB1"/>
    <w:rsid w:val="596056EC"/>
    <w:rsid w:val="59630210"/>
    <w:rsid w:val="596F257A"/>
    <w:rsid w:val="596F431F"/>
    <w:rsid w:val="597613FD"/>
    <w:rsid w:val="59791C22"/>
    <w:rsid w:val="597B4D39"/>
    <w:rsid w:val="5981600C"/>
    <w:rsid w:val="59827EC7"/>
    <w:rsid w:val="59883E2B"/>
    <w:rsid w:val="59A26483"/>
    <w:rsid w:val="59AF3353"/>
    <w:rsid w:val="59B20643"/>
    <w:rsid w:val="59C73937"/>
    <w:rsid w:val="59C86B3A"/>
    <w:rsid w:val="59CE2DDC"/>
    <w:rsid w:val="59D16D68"/>
    <w:rsid w:val="59D171B4"/>
    <w:rsid w:val="59D23552"/>
    <w:rsid w:val="59DB18E4"/>
    <w:rsid w:val="59DB1995"/>
    <w:rsid w:val="59E00D5A"/>
    <w:rsid w:val="59E82E00"/>
    <w:rsid w:val="59E9162A"/>
    <w:rsid w:val="59EC3BA2"/>
    <w:rsid w:val="59F1740B"/>
    <w:rsid w:val="59F41FC7"/>
    <w:rsid w:val="59F462AC"/>
    <w:rsid w:val="59FE2A0A"/>
    <w:rsid w:val="5A00764E"/>
    <w:rsid w:val="5A0507CB"/>
    <w:rsid w:val="5A0A332B"/>
    <w:rsid w:val="5A0E58C7"/>
    <w:rsid w:val="5A103D0A"/>
    <w:rsid w:val="5A125A86"/>
    <w:rsid w:val="5A153167"/>
    <w:rsid w:val="5A1C0CC8"/>
    <w:rsid w:val="5A1C1474"/>
    <w:rsid w:val="5A244308"/>
    <w:rsid w:val="5A2B006E"/>
    <w:rsid w:val="5A306A64"/>
    <w:rsid w:val="5A3219C8"/>
    <w:rsid w:val="5A345EA4"/>
    <w:rsid w:val="5A3663DB"/>
    <w:rsid w:val="5A3F38BF"/>
    <w:rsid w:val="5A400BA5"/>
    <w:rsid w:val="5A413B2D"/>
    <w:rsid w:val="5A432A0E"/>
    <w:rsid w:val="5A4532B2"/>
    <w:rsid w:val="5A4F5176"/>
    <w:rsid w:val="5A520B34"/>
    <w:rsid w:val="5A570986"/>
    <w:rsid w:val="5A572655"/>
    <w:rsid w:val="5A6E1400"/>
    <w:rsid w:val="5A7427F2"/>
    <w:rsid w:val="5A7B72DE"/>
    <w:rsid w:val="5A800C8A"/>
    <w:rsid w:val="5A82351A"/>
    <w:rsid w:val="5A847F50"/>
    <w:rsid w:val="5A8A1C0F"/>
    <w:rsid w:val="5A8A4C19"/>
    <w:rsid w:val="5A8D5FFC"/>
    <w:rsid w:val="5A8E7D58"/>
    <w:rsid w:val="5A927DA6"/>
    <w:rsid w:val="5A944700"/>
    <w:rsid w:val="5A9E0E28"/>
    <w:rsid w:val="5AA432F6"/>
    <w:rsid w:val="5AA561CB"/>
    <w:rsid w:val="5AA61FA3"/>
    <w:rsid w:val="5AA7353C"/>
    <w:rsid w:val="5AA82F1F"/>
    <w:rsid w:val="5AAD0254"/>
    <w:rsid w:val="5AAD21BC"/>
    <w:rsid w:val="5ABC3F32"/>
    <w:rsid w:val="5AC13D20"/>
    <w:rsid w:val="5ACD3F45"/>
    <w:rsid w:val="5ACD4971"/>
    <w:rsid w:val="5AD7215D"/>
    <w:rsid w:val="5AD97379"/>
    <w:rsid w:val="5ADB02CB"/>
    <w:rsid w:val="5ADF25DF"/>
    <w:rsid w:val="5ADF6894"/>
    <w:rsid w:val="5AE32852"/>
    <w:rsid w:val="5AE44879"/>
    <w:rsid w:val="5AFA22EF"/>
    <w:rsid w:val="5AFA63FB"/>
    <w:rsid w:val="5AFD15D0"/>
    <w:rsid w:val="5B151E24"/>
    <w:rsid w:val="5B1618D1"/>
    <w:rsid w:val="5B172A6B"/>
    <w:rsid w:val="5B182775"/>
    <w:rsid w:val="5B224940"/>
    <w:rsid w:val="5B2D091C"/>
    <w:rsid w:val="5B2E07A7"/>
    <w:rsid w:val="5B39571B"/>
    <w:rsid w:val="5B3B703F"/>
    <w:rsid w:val="5B433C96"/>
    <w:rsid w:val="5B473B56"/>
    <w:rsid w:val="5B4A0D76"/>
    <w:rsid w:val="5B4A1675"/>
    <w:rsid w:val="5B4B3F08"/>
    <w:rsid w:val="5B4F4B1F"/>
    <w:rsid w:val="5B533FCB"/>
    <w:rsid w:val="5B633569"/>
    <w:rsid w:val="5B661073"/>
    <w:rsid w:val="5B7134DD"/>
    <w:rsid w:val="5B831F88"/>
    <w:rsid w:val="5B8F6B3C"/>
    <w:rsid w:val="5B9E74B9"/>
    <w:rsid w:val="5BA80A99"/>
    <w:rsid w:val="5BAA3D12"/>
    <w:rsid w:val="5BBC4884"/>
    <w:rsid w:val="5BBE4203"/>
    <w:rsid w:val="5BC24DAC"/>
    <w:rsid w:val="5BCB7BD3"/>
    <w:rsid w:val="5BCD4C3D"/>
    <w:rsid w:val="5BD26DC8"/>
    <w:rsid w:val="5BD35675"/>
    <w:rsid w:val="5BD62BF1"/>
    <w:rsid w:val="5BD9346C"/>
    <w:rsid w:val="5BE052D8"/>
    <w:rsid w:val="5BE70D30"/>
    <w:rsid w:val="5BEF26F9"/>
    <w:rsid w:val="5BF16F7C"/>
    <w:rsid w:val="5BF475D9"/>
    <w:rsid w:val="5BF57987"/>
    <w:rsid w:val="5BFA7767"/>
    <w:rsid w:val="5C004699"/>
    <w:rsid w:val="5C043425"/>
    <w:rsid w:val="5C143009"/>
    <w:rsid w:val="5C1512A2"/>
    <w:rsid w:val="5C1703FF"/>
    <w:rsid w:val="5C1D2CED"/>
    <w:rsid w:val="5C1F7321"/>
    <w:rsid w:val="5C2B0744"/>
    <w:rsid w:val="5C2E6B39"/>
    <w:rsid w:val="5C3063BA"/>
    <w:rsid w:val="5C30688C"/>
    <w:rsid w:val="5C4005F4"/>
    <w:rsid w:val="5C425F6D"/>
    <w:rsid w:val="5C4B4E03"/>
    <w:rsid w:val="5C4F6766"/>
    <w:rsid w:val="5C5370F5"/>
    <w:rsid w:val="5C575ECB"/>
    <w:rsid w:val="5C657C3C"/>
    <w:rsid w:val="5C6C5CAE"/>
    <w:rsid w:val="5C6F5115"/>
    <w:rsid w:val="5C722EB2"/>
    <w:rsid w:val="5C771C11"/>
    <w:rsid w:val="5C792BF5"/>
    <w:rsid w:val="5C7D42A5"/>
    <w:rsid w:val="5C7F57DA"/>
    <w:rsid w:val="5C8067EB"/>
    <w:rsid w:val="5C846314"/>
    <w:rsid w:val="5C8C0158"/>
    <w:rsid w:val="5C8C480C"/>
    <w:rsid w:val="5C8E4392"/>
    <w:rsid w:val="5C906898"/>
    <w:rsid w:val="5C9133AE"/>
    <w:rsid w:val="5C940B61"/>
    <w:rsid w:val="5C942593"/>
    <w:rsid w:val="5C971B5E"/>
    <w:rsid w:val="5C9A1E6B"/>
    <w:rsid w:val="5C9E784E"/>
    <w:rsid w:val="5CA819B6"/>
    <w:rsid w:val="5CB66DE8"/>
    <w:rsid w:val="5CB97970"/>
    <w:rsid w:val="5CBD0DD4"/>
    <w:rsid w:val="5CBD35D4"/>
    <w:rsid w:val="5CC077CF"/>
    <w:rsid w:val="5CC42251"/>
    <w:rsid w:val="5CC505B1"/>
    <w:rsid w:val="5CC9401E"/>
    <w:rsid w:val="5CCE3209"/>
    <w:rsid w:val="5CCE3A33"/>
    <w:rsid w:val="5CD526CC"/>
    <w:rsid w:val="5CEC08D0"/>
    <w:rsid w:val="5CEE7391"/>
    <w:rsid w:val="5CF329F5"/>
    <w:rsid w:val="5D0134C1"/>
    <w:rsid w:val="5D064F7B"/>
    <w:rsid w:val="5D09249C"/>
    <w:rsid w:val="5D094A2E"/>
    <w:rsid w:val="5D0A0798"/>
    <w:rsid w:val="5D192AB0"/>
    <w:rsid w:val="5D1A6C78"/>
    <w:rsid w:val="5D1C56A2"/>
    <w:rsid w:val="5D1E0517"/>
    <w:rsid w:val="5D245C04"/>
    <w:rsid w:val="5D2909AB"/>
    <w:rsid w:val="5D350482"/>
    <w:rsid w:val="5D3B5E94"/>
    <w:rsid w:val="5D3C6BEF"/>
    <w:rsid w:val="5D426726"/>
    <w:rsid w:val="5D463C92"/>
    <w:rsid w:val="5D4D0E3A"/>
    <w:rsid w:val="5D4F1D79"/>
    <w:rsid w:val="5D5337FC"/>
    <w:rsid w:val="5D5C183F"/>
    <w:rsid w:val="5D6275DE"/>
    <w:rsid w:val="5D6815C2"/>
    <w:rsid w:val="5D7207AE"/>
    <w:rsid w:val="5D725BBE"/>
    <w:rsid w:val="5D732CAE"/>
    <w:rsid w:val="5D7A73AE"/>
    <w:rsid w:val="5D7D740E"/>
    <w:rsid w:val="5D826424"/>
    <w:rsid w:val="5D835624"/>
    <w:rsid w:val="5D8875BE"/>
    <w:rsid w:val="5D9A7FA7"/>
    <w:rsid w:val="5DA0388A"/>
    <w:rsid w:val="5DA171E4"/>
    <w:rsid w:val="5DA70FBE"/>
    <w:rsid w:val="5DA913D2"/>
    <w:rsid w:val="5DAC6C29"/>
    <w:rsid w:val="5DAE6CC3"/>
    <w:rsid w:val="5DC066AE"/>
    <w:rsid w:val="5DC27575"/>
    <w:rsid w:val="5DC61979"/>
    <w:rsid w:val="5DD23AA1"/>
    <w:rsid w:val="5DD60DF1"/>
    <w:rsid w:val="5DD60FE1"/>
    <w:rsid w:val="5DED4EE6"/>
    <w:rsid w:val="5DF41277"/>
    <w:rsid w:val="5E014CAD"/>
    <w:rsid w:val="5E0247D6"/>
    <w:rsid w:val="5E031E2D"/>
    <w:rsid w:val="5E070FAB"/>
    <w:rsid w:val="5E07299A"/>
    <w:rsid w:val="5E08087F"/>
    <w:rsid w:val="5E0C65C1"/>
    <w:rsid w:val="5E117BAE"/>
    <w:rsid w:val="5E2E0278"/>
    <w:rsid w:val="5E2E1600"/>
    <w:rsid w:val="5E2F0501"/>
    <w:rsid w:val="5E373AF8"/>
    <w:rsid w:val="5E3F6E50"/>
    <w:rsid w:val="5E47584B"/>
    <w:rsid w:val="5E4B4D56"/>
    <w:rsid w:val="5E557710"/>
    <w:rsid w:val="5E65531D"/>
    <w:rsid w:val="5E6C3088"/>
    <w:rsid w:val="5E776F7F"/>
    <w:rsid w:val="5E7B72A3"/>
    <w:rsid w:val="5E856373"/>
    <w:rsid w:val="5E8676D3"/>
    <w:rsid w:val="5E971CA8"/>
    <w:rsid w:val="5E976854"/>
    <w:rsid w:val="5EA018C1"/>
    <w:rsid w:val="5EA462E1"/>
    <w:rsid w:val="5EA55068"/>
    <w:rsid w:val="5EA91865"/>
    <w:rsid w:val="5EAA5DDA"/>
    <w:rsid w:val="5EAB5E7A"/>
    <w:rsid w:val="5EB33EC3"/>
    <w:rsid w:val="5EB361EE"/>
    <w:rsid w:val="5EB9125F"/>
    <w:rsid w:val="5EBE1CE1"/>
    <w:rsid w:val="5EBE23F5"/>
    <w:rsid w:val="5EC155FD"/>
    <w:rsid w:val="5EC733E8"/>
    <w:rsid w:val="5ECA3E2D"/>
    <w:rsid w:val="5ECA5527"/>
    <w:rsid w:val="5EE36968"/>
    <w:rsid w:val="5EE603A7"/>
    <w:rsid w:val="5EE7018D"/>
    <w:rsid w:val="5EE8089B"/>
    <w:rsid w:val="5EE876B5"/>
    <w:rsid w:val="5EF36779"/>
    <w:rsid w:val="5EFB31D0"/>
    <w:rsid w:val="5EFF6126"/>
    <w:rsid w:val="5EFF69C7"/>
    <w:rsid w:val="5F011DF8"/>
    <w:rsid w:val="5F013EC6"/>
    <w:rsid w:val="5F02650C"/>
    <w:rsid w:val="5F09751C"/>
    <w:rsid w:val="5F1273C6"/>
    <w:rsid w:val="5F174362"/>
    <w:rsid w:val="5F182D44"/>
    <w:rsid w:val="5F24573B"/>
    <w:rsid w:val="5F253D06"/>
    <w:rsid w:val="5F2B1133"/>
    <w:rsid w:val="5F2B1FD1"/>
    <w:rsid w:val="5F2C6F7C"/>
    <w:rsid w:val="5F346FCD"/>
    <w:rsid w:val="5F36138C"/>
    <w:rsid w:val="5F3971BB"/>
    <w:rsid w:val="5F3B394D"/>
    <w:rsid w:val="5F46445D"/>
    <w:rsid w:val="5F4A0AE8"/>
    <w:rsid w:val="5F4B4EC7"/>
    <w:rsid w:val="5F4F0E5B"/>
    <w:rsid w:val="5F7863FE"/>
    <w:rsid w:val="5F8C4EEC"/>
    <w:rsid w:val="5F8E5A53"/>
    <w:rsid w:val="5F93311C"/>
    <w:rsid w:val="5F99240F"/>
    <w:rsid w:val="5F9E25B4"/>
    <w:rsid w:val="5F9F0E1C"/>
    <w:rsid w:val="5F9F20AC"/>
    <w:rsid w:val="5FA303A0"/>
    <w:rsid w:val="5FA35561"/>
    <w:rsid w:val="5FA359C9"/>
    <w:rsid w:val="5FAC1CC7"/>
    <w:rsid w:val="5FB627EA"/>
    <w:rsid w:val="5FBF491F"/>
    <w:rsid w:val="5FCA1CF1"/>
    <w:rsid w:val="5FCB7E23"/>
    <w:rsid w:val="5FCD1D80"/>
    <w:rsid w:val="5FD30F2C"/>
    <w:rsid w:val="5FDD50BC"/>
    <w:rsid w:val="5FE33E1E"/>
    <w:rsid w:val="5FE7234F"/>
    <w:rsid w:val="5FEB66AA"/>
    <w:rsid w:val="5FED1C8F"/>
    <w:rsid w:val="5FED2017"/>
    <w:rsid w:val="5FF10E1B"/>
    <w:rsid w:val="5FF5219F"/>
    <w:rsid w:val="5FF71E3A"/>
    <w:rsid w:val="5FFA3B6F"/>
    <w:rsid w:val="5FFD269F"/>
    <w:rsid w:val="600E1E5E"/>
    <w:rsid w:val="601E657A"/>
    <w:rsid w:val="6022348A"/>
    <w:rsid w:val="60226C97"/>
    <w:rsid w:val="60251264"/>
    <w:rsid w:val="602B4086"/>
    <w:rsid w:val="602F6597"/>
    <w:rsid w:val="60341DE8"/>
    <w:rsid w:val="60343BAD"/>
    <w:rsid w:val="60372B34"/>
    <w:rsid w:val="603E75A0"/>
    <w:rsid w:val="603F2DCE"/>
    <w:rsid w:val="6053003A"/>
    <w:rsid w:val="60546DDB"/>
    <w:rsid w:val="60583DFA"/>
    <w:rsid w:val="605F4559"/>
    <w:rsid w:val="606445A5"/>
    <w:rsid w:val="60654E29"/>
    <w:rsid w:val="6072578B"/>
    <w:rsid w:val="607C5E42"/>
    <w:rsid w:val="607F0317"/>
    <w:rsid w:val="607F17BA"/>
    <w:rsid w:val="60812909"/>
    <w:rsid w:val="608C686A"/>
    <w:rsid w:val="609151CC"/>
    <w:rsid w:val="60935E00"/>
    <w:rsid w:val="60947238"/>
    <w:rsid w:val="60971C60"/>
    <w:rsid w:val="609A2993"/>
    <w:rsid w:val="60A11BA6"/>
    <w:rsid w:val="60AA51B8"/>
    <w:rsid w:val="60AF1186"/>
    <w:rsid w:val="60B40091"/>
    <w:rsid w:val="60BB052D"/>
    <w:rsid w:val="60BB42CE"/>
    <w:rsid w:val="60C66BB9"/>
    <w:rsid w:val="60CD52D3"/>
    <w:rsid w:val="60CE385D"/>
    <w:rsid w:val="60D046B0"/>
    <w:rsid w:val="60DC41A6"/>
    <w:rsid w:val="60DD4606"/>
    <w:rsid w:val="60DE6A78"/>
    <w:rsid w:val="60E33525"/>
    <w:rsid w:val="60E42DC4"/>
    <w:rsid w:val="60E61659"/>
    <w:rsid w:val="60E71987"/>
    <w:rsid w:val="60E8266C"/>
    <w:rsid w:val="60EA6D6B"/>
    <w:rsid w:val="60EB5C39"/>
    <w:rsid w:val="60F13D33"/>
    <w:rsid w:val="60F15F42"/>
    <w:rsid w:val="610712C2"/>
    <w:rsid w:val="610823D3"/>
    <w:rsid w:val="610D0906"/>
    <w:rsid w:val="612400C6"/>
    <w:rsid w:val="612E3FD9"/>
    <w:rsid w:val="61302E20"/>
    <w:rsid w:val="61375B70"/>
    <w:rsid w:val="61380774"/>
    <w:rsid w:val="613B2C27"/>
    <w:rsid w:val="613D748D"/>
    <w:rsid w:val="61410553"/>
    <w:rsid w:val="61435E22"/>
    <w:rsid w:val="61443FDC"/>
    <w:rsid w:val="614B11D3"/>
    <w:rsid w:val="615A60AB"/>
    <w:rsid w:val="615B168C"/>
    <w:rsid w:val="615F4F5D"/>
    <w:rsid w:val="616C3CEF"/>
    <w:rsid w:val="61727C96"/>
    <w:rsid w:val="617C276D"/>
    <w:rsid w:val="618211E0"/>
    <w:rsid w:val="61836BA7"/>
    <w:rsid w:val="61854362"/>
    <w:rsid w:val="61926DDD"/>
    <w:rsid w:val="6199523E"/>
    <w:rsid w:val="619F2C41"/>
    <w:rsid w:val="619F39D3"/>
    <w:rsid w:val="61A403EA"/>
    <w:rsid w:val="61AC0AB9"/>
    <w:rsid w:val="61AC24AD"/>
    <w:rsid w:val="61AC6A26"/>
    <w:rsid w:val="61B157B1"/>
    <w:rsid w:val="61B90B7B"/>
    <w:rsid w:val="61B9248C"/>
    <w:rsid w:val="61B92616"/>
    <w:rsid w:val="61BC5CD8"/>
    <w:rsid w:val="61C12CF0"/>
    <w:rsid w:val="61C652F8"/>
    <w:rsid w:val="61CB7596"/>
    <w:rsid w:val="61D022CD"/>
    <w:rsid w:val="61D8218F"/>
    <w:rsid w:val="61DE7E26"/>
    <w:rsid w:val="61E138C1"/>
    <w:rsid w:val="61ED65FE"/>
    <w:rsid w:val="61F21F72"/>
    <w:rsid w:val="61FC2982"/>
    <w:rsid w:val="62054B22"/>
    <w:rsid w:val="62056A58"/>
    <w:rsid w:val="6208476B"/>
    <w:rsid w:val="62117643"/>
    <w:rsid w:val="6212239B"/>
    <w:rsid w:val="62143A42"/>
    <w:rsid w:val="621961B1"/>
    <w:rsid w:val="6220088D"/>
    <w:rsid w:val="6223212B"/>
    <w:rsid w:val="622806AC"/>
    <w:rsid w:val="622C46C9"/>
    <w:rsid w:val="623029DE"/>
    <w:rsid w:val="62347D2C"/>
    <w:rsid w:val="6237564B"/>
    <w:rsid w:val="624517C6"/>
    <w:rsid w:val="62451A20"/>
    <w:rsid w:val="62470256"/>
    <w:rsid w:val="624D0975"/>
    <w:rsid w:val="62540537"/>
    <w:rsid w:val="62562501"/>
    <w:rsid w:val="625C4709"/>
    <w:rsid w:val="62612BFB"/>
    <w:rsid w:val="6265219D"/>
    <w:rsid w:val="627A3205"/>
    <w:rsid w:val="627B18E1"/>
    <w:rsid w:val="627C760C"/>
    <w:rsid w:val="62A414BE"/>
    <w:rsid w:val="62A73EDD"/>
    <w:rsid w:val="62AA1120"/>
    <w:rsid w:val="62AD4DB7"/>
    <w:rsid w:val="62AF4A87"/>
    <w:rsid w:val="62AF7A48"/>
    <w:rsid w:val="62B833EC"/>
    <w:rsid w:val="62CB58FE"/>
    <w:rsid w:val="62CD28A7"/>
    <w:rsid w:val="62CD796E"/>
    <w:rsid w:val="62CF7120"/>
    <w:rsid w:val="62DB1BC4"/>
    <w:rsid w:val="62DE35A9"/>
    <w:rsid w:val="62DF2A0A"/>
    <w:rsid w:val="62E400D0"/>
    <w:rsid w:val="62F07064"/>
    <w:rsid w:val="62FA5A38"/>
    <w:rsid w:val="62FD0BCE"/>
    <w:rsid w:val="630605A5"/>
    <w:rsid w:val="630E06E5"/>
    <w:rsid w:val="631E196F"/>
    <w:rsid w:val="631F6803"/>
    <w:rsid w:val="632415B7"/>
    <w:rsid w:val="63275833"/>
    <w:rsid w:val="633221AA"/>
    <w:rsid w:val="63403322"/>
    <w:rsid w:val="634152B5"/>
    <w:rsid w:val="63464323"/>
    <w:rsid w:val="63550D84"/>
    <w:rsid w:val="635D30AB"/>
    <w:rsid w:val="6373248D"/>
    <w:rsid w:val="63774314"/>
    <w:rsid w:val="637B27A3"/>
    <w:rsid w:val="637D4291"/>
    <w:rsid w:val="6382570A"/>
    <w:rsid w:val="6386073F"/>
    <w:rsid w:val="638B3510"/>
    <w:rsid w:val="638D39EF"/>
    <w:rsid w:val="638F5F47"/>
    <w:rsid w:val="63995268"/>
    <w:rsid w:val="63A1761B"/>
    <w:rsid w:val="63AE2192"/>
    <w:rsid w:val="63BF770C"/>
    <w:rsid w:val="63C93EBB"/>
    <w:rsid w:val="63DA7EC1"/>
    <w:rsid w:val="63E27C9A"/>
    <w:rsid w:val="63E325AC"/>
    <w:rsid w:val="63E546BF"/>
    <w:rsid w:val="63E94CAF"/>
    <w:rsid w:val="63EA1651"/>
    <w:rsid w:val="63EB0895"/>
    <w:rsid w:val="63EB3275"/>
    <w:rsid w:val="63F457C8"/>
    <w:rsid w:val="63F7110D"/>
    <w:rsid w:val="64063C77"/>
    <w:rsid w:val="640641F1"/>
    <w:rsid w:val="641E115D"/>
    <w:rsid w:val="6421552F"/>
    <w:rsid w:val="64227AD4"/>
    <w:rsid w:val="642746B2"/>
    <w:rsid w:val="642A6986"/>
    <w:rsid w:val="642B3519"/>
    <w:rsid w:val="64312593"/>
    <w:rsid w:val="643305AA"/>
    <w:rsid w:val="643444DE"/>
    <w:rsid w:val="64360FA0"/>
    <w:rsid w:val="643811CD"/>
    <w:rsid w:val="6445282D"/>
    <w:rsid w:val="644A1BF1"/>
    <w:rsid w:val="644C02A3"/>
    <w:rsid w:val="64551451"/>
    <w:rsid w:val="6456718B"/>
    <w:rsid w:val="645B52B9"/>
    <w:rsid w:val="64682560"/>
    <w:rsid w:val="646F6DCB"/>
    <w:rsid w:val="64726ED6"/>
    <w:rsid w:val="64741744"/>
    <w:rsid w:val="64863E3A"/>
    <w:rsid w:val="6487052A"/>
    <w:rsid w:val="6494490D"/>
    <w:rsid w:val="64955791"/>
    <w:rsid w:val="649862F3"/>
    <w:rsid w:val="649C6B95"/>
    <w:rsid w:val="64A00315"/>
    <w:rsid w:val="64A23B56"/>
    <w:rsid w:val="64AA6142"/>
    <w:rsid w:val="64AD71EE"/>
    <w:rsid w:val="64AF510A"/>
    <w:rsid w:val="64B40D99"/>
    <w:rsid w:val="64B444F8"/>
    <w:rsid w:val="64B44DF8"/>
    <w:rsid w:val="64BE30AD"/>
    <w:rsid w:val="64EC051E"/>
    <w:rsid w:val="64EE63BB"/>
    <w:rsid w:val="64F82C61"/>
    <w:rsid w:val="64FD0DDD"/>
    <w:rsid w:val="650258A8"/>
    <w:rsid w:val="65141EF5"/>
    <w:rsid w:val="65143FAD"/>
    <w:rsid w:val="651642DD"/>
    <w:rsid w:val="651976B3"/>
    <w:rsid w:val="651A5FA2"/>
    <w:rsid w:val="651B358E"/>
    <w:rsid w:val="652C12F7"/>
    <w:rsid w:val="65323886"/>
    <w:rsid w:val="65371A08"/>
    <w:rsid w:val="65375A27"/>
    <w:rsid w:val="653A1C66"/>
    <w:rsid w:val="654571C2"/>
    <w:rsid w:val="655651C8"/>
    <w:rsid w:val="655D4979"/>
    <w:rsid w:val="656D65CE"/>
    <w:rsid w:val="65733C7A"/>
    <w:rsid w:val="65766A16"/>
    <w:rsid w:val="65820660"/>
    <w:rsid w:val="65823DD3"/>
    <w:rsid w:val="658253BB"/>
    <w:rsid w:val="65844EE4"/>
    <w:rsid w:val="658A6DE3"/>
    <w:rsid w:val="659E3ABB"/>
    <w:rsid w:val="65A04C05"/>
    <w:rsid w:val="65A07C75"/>
    <w:rsid w:val="65A15F0E"/>
    <w:rsid w:val="65AA4092"/>
    <w:rsid w:val="65AC1953"/>
    <w:rsid w:val="65B01F28"/>
    <w:rsid w:val="65BD4CBA"/>
    <w:rsid w:val="65C14BE1"/>
    <w:rsid w:val="65C15053"/>
    <w:rsid w:val="65CA1081"/>
    <w:rsid w:val="65CF0ACC"/>
    <w:rsid w:val="65D81427"/>
    <w:rsid w:val="65DA764B"/>
    <w:rsid w:val="65DB2C4D"/>
    <w:rsid w:val="65E179A0"/>
    <w:rsid w:val="65E84BB5"/>
    <w:rsid w:val="65E9548D"/>
    <w:rsid w:val="65F0155A"/>
    <w:rsid w:val="65F73073"/>
    <w:rsid w:val="65F840C9"/>
    <w:rsid w:val="65FB53B1"/>
    <w:rsid w:val="660835D8"/>
    <w:rsid w:val="660A1E2C"/>
    <w:rsid w:val="660D04D9"/>
    <w:rsid w:val="66120B2E"/>
    <w:rsid w:val="661871C7"/>
    <w:rsid w:val="661F2C0A"/>
    <w:rsid w:val="661F6D4A"/>
    <w:rsid w:val="662934B5"/>
    <w:rsid w:val="662A786B"/>
    <w:rsid w:val="662D6723"/>
    <w:rsid w:val="663414B5"/>
    <w:rsid w:val="66344CC4"/>
    <w:rsid w:val="66395723"/>
    <w:rsid w:val="663E71C0"/>
    <w:rsid w:val="664434BF"/>
    <w:rsid w:val="664E702E"/>
    <w:rsid w:val="665A7C6E"/>
    <w:rsid w:val="666923C8"/>
    <w:rsid w:val="666C67F4"/>
    <w:rsid w:val="666E4331"/>
    <w:rsid w:val="666E7FFE"/>
    <w:rsid w:val="667016B7"/>
    <w:rsid w:val="66701B62"/>
    <w:rsid w:val="66712349"/>
    <w:rsid w:val="66756CCD"/>
    <w:rsid w:val="66761E80"/>
    <w:rsid w:val="668A0580"/>
    <w:rsid w:val="668A1791"/>
    <w:rsid w:val="668E1715"/>
    <w:rsid w:val="66925AD1"/>
    <w:rsid w:val="66973195"/>
    <w:rsid w:val="669C445B"/>
    <w:rsid w:val="669C6028"/>
    <w:rsid w:val="66AB3158"/>
    <w:rsid w:val="66AF0716"/>
    <w:rsid w:val="66B12F18"/>
    <w:rsid w:val="66B9305E"/>
    <w:rsid w:val="66C3182F"/>
    <w:rsid w:val="66C71DAF"/>
    <w:rsid w:val="66CA6265"/>
    <w:rsid w:val="66CC10EA"/>
    <w:rsid w:val="66CE1EF9"/>
    <w:rsid w:val="66DC1E6E"/>
    <w:rsid w:val="66DC46A4"/>
    <w:rsid w:val="66DD1259"/>
    <w:rsid w:val="66E21F74"/>
    <w:rsid w:val="66E27932"/>
    <w:rsid w:val="66E62B2E"/>
    <w:rsid w:val="66EC4B8A"/>
    <w:rsid w:val="66F17E45"/>
    <w:rsid w:val="66F424F6"/>
    <w:rsid w:val="66F606F2"/>
    <w:rsid w:val="66F77E99"/>
    <w:rsid w:val="66F803CD"/>
    <w:rsid w:val="66F9345B"/>
    <w:rsid w:val="66FE6113"/>
    <w:rsid w:val="670047E9"/>
    <w:rsid w:val="67010E59"/>
    <w:rsid w:val="67077DBA"/>
    <w:rsid w:val="670A5668"/>
    <w:rsid w:val="67257427"/>
    <w:rsid w:val="67290201"/>
    <w:rsid w:val="67396D1C"/>
    <w:rsid w:val="673B1C62"/>
    <w:rsid w:val="673D028A"/>
    <w:rsid w:val="674212A6"/>
    <w:rsid w:val="67422A52"/>
    <w:rsid w:val="675E27FC"/>
    <w:rsid w:val="67655552"/>
    <w:rsid w:val="676C2FBA"/>
    <w:rsid w:val="6770296A"/>
    <w:rsid w:val="6772031C"/>
    <w:rsid w:val="67744D22"/>
    <w:rsid w:val="677D6DA4"/>
    <w:rsid w:val="678E269B"/>
    <w:rsid w:val="67914DD0"/>
    <w:rsid w:val="67980CB5"/>
    <w:rsid w:val="679E4D0E"/>
    <w:rsid w:val="67A01DFD"/>
    <w:rsid w:val="67B6134C"/>
    <w:rsid w:val="67C143CE"/>
    <w:rsid w:val="67C34ACD"/>
    <w:rsid w:val="67CF0A1B"/>
    <w:rsid w:val="67CF69B6"/>
    <w:rsid w:val="67E07241"/>
    <w:rsid w:val="67E330DB"/>
    <w:rsid w:val="67E95C2A"/>
    <w:rsid w:val="67EB75C9"/>
    <w:rsid w:val="67EC3CDB"/>
    <w:rsid w:val="67EC6568"/>
    <w:rsid w:val="67EE2D4A"/>
    <w:rsid w:val="67EF7529"/>
    <w:rsid w:val="67F96BE5"/>
    <w:rsid w:val="67FF47E5"/>
    <w:rsid w:val="6800448E"/>
    <w:rsid w:val="680B5B3B"/>
    <w:rsid w:val="680C1E25"/>
    <w:rsid w:val="680C4DF1"/>
    <w:rsid w:val="681543A1"/>
    <w:rsid w:val="681C023D"/>
    <w:rsid w:val="68205AFC"/>
    <w:rsid w:val="682E3223"/>
    <w:rsid w:val="683307D4"/>
    <w:rsid w:val="68483A4B"/>
    <w:rsid w:val="684B1C4F"/>
    <w:rsid w:val="68534DEC"/>
    <w:rsid w:val="6853549A"/>
    <w:rsid w:val="6854080E"/>
    <w:rsid w:val="685F7C35"/>
    <w:rsid w:val="68600B94"/>
    <w:rsid w:val="68602315"/>
    <w:rsid w:val="68672C6D"/>
    <w:rsid w:val="686C3D5E"/>
    <w:rsid w:val="686C7830"/>
    <w:rsid w:val="686D4100"/>
    <w:rsid w:val="68882CE8"/>
    <w:rsid w:val="68894060"/>
    <w:rsid w:val="688A3AB0"/>
    <w:rsid w:val="688B4586"/>
    <w:rsid w:val="688D39FA"/>
    <w:rsid w:val="68912FFB"/>
    <w:rsid w:val="689258C1"/>
    <w:rsid w:val="68934348"/>
    <w:rsid w:val="689606EA"/>
    <w:rsid w:val="68A71A23"/>
    <w:rsid w:val="68A7661D"/>
    <w:rsid w:val="68A76D16"/>
    <w:rsid w:val="68B060E2"/>
    <w:rsid w:val="68BB41FA"/>
    <w:rsid w:val="68C5729B"/>
    <w:rsid w:val="68C57512"/>
    <w:rsid w:val="68CC399F"/>
    <w:rsid w:val="68D016E4"/>
    <w:rsid w:val="68D73C6F"/>
    <w:rsid w:val="68E330E8"/>
    <w:rsid w:val="68E55573"/>
    <w:rsid w:val="68F2645F"/>
    <w:rsid w:val="68F42A08"/>
    <w:rsid w:val="68F46489"/>
    <w:rsid w:val="68F714E2"/>
    <w:rsid w:val="68FA3941"/>
    <w:rsid w:val="68FE476E"/>
    <w:rsid w:val="68FE62F4"/>
    <w:rsid w:val="68FE7E59"/>
    <w:rsid w:val="69063A0A"/>
    <w:rsid w:val="69090A8F"/>
    <w:rsid w:val="690C3636"/>
    <w:rsid w:val="690E7D40"/>
    <w:rsid w:val="69195929"/>
    <w:rsid w:val="69290B91"/>
    <w:rsid w:val="69312D2A"/>
    <w:rsid w:val="69373AF2"/>
    <w:rsid w:val="693E2C78"/>
    <w:rsid w:val="69412BBC"/>
    <w:rsid w:val="69431305"/>
    <w:rsid w:val="69435208"/>
    <w:rsid w:val="694F1A58"/>
    <w:rsid w:val="69540E1C"/>
    <w:rsid w:val="695E5665"/>
    <w:rsid w:val="695F0966"/>
    <w:rsid w:val="69652618"/>
    <w:rsid w:val="69656776"/>
    <w:rsid w:val="696663BC"/>
    <w:rsid w:val="696C1263"/>
    <w:rsid w:val="696F20FA"/>
    <w:rsid w:val="69712E77"/>
    <w:rsid w:val="69754FAB"/>
    <w:rsid w:val="697E058F"/>
    <w:rsid w:val="69854913"/>
    <w:rsid w:val="69885A06"/>
    <w:rsid w:val="69921E02"/>
    <w:rsid w:val="6994393A"/>
    <w:rsid w:val="69BE1424"/>
    <w:rsid w:val="69C064B2"/>
    <w:rsid w:val="69C108DB"/>
    <w:rsid w:val="69C15A70"/>
    <w:rsid w:val="69C31573"/>
    <w:rsid w:val="69CB458A"/>
    <w:rsid w:val="69CF7ACB"/>
    <w:rsid w:val="69D00DEB"/>
    <w:rsid w:val="69D03A73"/>
    <w:rsid w:val="69D559C2"/>
    <w:rsid w:val="69E875A2"/>
    <w:rsid w:val="69ED40E8"/>
    <w:rsid w:val="69F44CA0"/>
    <w:rsid w:val="69F47A0C"/>
    <w:rsid w:val="69F61ECF"/>
    <w:rsid w:val="6A0463A0"/>
    <w:rsid w:val="6A056EB8"/>
    <w:rsid w:val="6A060EF6"/>
    <w:rsid w:val="6A12199E"/>
    <w:rsid w:val="6A2B3553"/>
    <w:rsid w:val="6A3E7870"/>
    <w:rsid w:val="6A4922C6"/>
    <w:rsid w:val="6A6C5A6B"/>
    <w:rsid w:val="6A6D5BB5"/>
    <w:rsid w:val="6A723C50"/>
    <w:rsid w:val="6A7B2695"/>
    <w:rsid w:val="6A7E5E03"/>
    <w:rsid w:val="6A886C19"/>
    <w:rsid w:val="6A8D0BBC"/>
    <w:rsid w:val="6A9040D6"/>
    <w:rsid w:val="6A99257A"/>
    <w:rsid w:val="6A9A4F55"/>
    <w:rsid w:val="6A9D6FB3"/>
    <w:rsid w:val="6A9F0A51"/>
    <w:rsid w:val="6AAD59FF"/>
    <w:rsid w:val="6AB12CA6"/>
    <w:rsid w:val="6AB5515D"/>
    <w:rsid w:val="6AC62062"/>
    <w:rsid w:val="6ACB35BD"/>
    <w:rsid w:val="6ACE0B77"/>
    <w:rsid w:val="6AD12E1E"/>
    <w:rsid w:val="6ADD1EE4"/>
    <w:rsid w:val="6AE15D01"/>
    <w:rsid w:val="6AE325D4"/>
    <w:rsid w:val="6AE47AD6"/>
    <w:rsid w:val="6AEE2E90"/>
    <w:rsid w:val="6AEE4742"/>
    <w:rsid w:val="6AEF653C"/>
    <w:rsid w:val="6AF21B7B"/>
    <w:rsid w:val="6AF23DFB"/>
    <w:rsid w:val="6AF942D9"/>
    <w:rsid w:val="6AFA2FBD"/>
    <w:rsid w:val="6B077043"/>
    <w:rsid w:val="6B094CEB"/>
    <w:rsid w:val="6B0B3AD5"/>
    <w:rsid w:val="6B0D6956"/>
    <w:rsid w:val="6B113431"/>
    <w:rsid w:val="6B116259"/>
    <w:rsid w:val="6B124CFC"/>
    <w:rsid w:val="6B174432"/>
    <w:rsid w:val="6B1C00F7"/>
    <w:rsid w:val="6B1C17BD"/>
    <w:rsid w:val="6B1F4036"/>
    <w:rsid w:val="6B2747D7"/>
    <w:rsid w:val="6B2D0F3F"/>
    <w:rsid w:val="6B312FF2"/>
    <w:rsid w:val="6B3453A9"/>
    <w:rsid w:val="6B3501F3"/>
    <w:rsid w:val="6B447FCB"/>
    <w:rsid w:val="6B4F00E0"/>
    <w:rsid w:val="6B4F0AF1"/>
    <w:rsid w:val="6B4F38C8"/>
    <w:rsid w:val="6B5244E9"/>
    <w:rsid w:val="6B5B6485"/>
    <w:rsid w:val="6B5E7228"/>
    <w:rsid w:val="6B655563"/>
    <w:rsid w:val="6B6835B3"/>
    <w:rsid w:val="6B696E77"/>
    <w:rsid w:val="6B6F43AD"/>
    <w:rsid w:val="6B735438"/>
    <w:rsid w:val="6B76398D"/>
    <w:rsid w:val="6B827E6D"/>
    <w:rsid w:val="6B8737C7"/>
    <w:rsid w:val="6B880B1A"/>
    <w:rsid w:val="6B902E43"/>
    <w:rsid w:val="6B907ADF"/>
    <w:rsid w:val="6B983A20"/>
    <w:rsid w:val="6BA00227"/>
    <w:rsid w:val="6BA23374"/>
    <w:rsid w:val="6BA7215D"/>
    <w:rsid w:val="6BB43DF4"/>
    <w:rsid w:val="6BB9535A"/>
    <w:rsid w:val="6BC84F29"/>
    <w:rsid w:val="6BCF16A3"/>
    <w:rsid w:val="6BD83A05"/>
    <w:rsid w:val="6BDC7C4D"/>
    <w:rsid w:val="6BE6503E"/>
    <w:rsid w:val="6BE9165E"/>
    <w:rsid w:val="6BF35653"/>
    <w:rsid w:val="6BF50EF1"/>
    <w:rsid w:val="6BFD0F44"/>
    <w:rsid w:val="6BFF3E80"/>
    <w:rsid w:val="6BFF64E7"/>
    <w:rsid w:val="6C047BD3"/>
    <w:rsid w:val="6C063C39"/>
    <w:rsid w:val="6C06509D"/>
    <w:rsid w:val="6C081CAD"/>
    <w:rsid w:val="6C0F420D"/>
    <w:rsid w:val="6C103E26"/>
    <w:rsid w:val="6C207DDD"/>
    <w:rsid w:val="6C285BB9"/>
    <w:rsid w:val="6C2C4919"/>
    <w:rsid w:val="6C2E2F6B"/>
    <w:rsid w:val="6C365A99"/>
    <w:rsid w:val="6C4A7395"/>
    <w:rsid w:val="6C4B7A2B"/>
    <w:rsid w:val="6C4E7D65"/>
    <w:rsid w:val="6C5033CF"/>
    <w:rsid w:val="6C510D6B"/>
    <w:rsid w:val="6C544C87"/>
    <w:rsid w:val="6C6A6549"/>
    <w:rsid w:val="6C6E55AB"/>
    <w:rsid w:val="6C752961"/>
    <w:rsid w:val="6C7D2A1C"/>
    <w:rsid w:val="6C7D2B9E"/>
    <w:rsid w:val="6C82122D"/>
    <w:rsid w:val="6C847C6A"/>
    <w:rsid w:val="6C9C6D62"/>
    <w:rsid w:val="6CA40FA3"/>
    <w:rsid w:val="6CA5779B"/>
    <w:rsid w:val="6CB22379"/>
    <w:rsid w:val="6CB30C91"/>
    <w:rsid w:val="6CB4547E"/>
    <w:rsid w:val="6CC10EBE"/>
    <w:rsid w:val="6CD30260"/>
    <w:rsid w:val="6CDF4198"/>
    <w:rsid w:val="6CE26C7A"/>
    <w:rsid w:val="6CF44DF0"/>
    <w:rsid w:val="6D021CA9"/>
    <w:rsid w:val="6D1014FE"/>
    <w:rsid w:val="6D1F304F"/>
    <w:rsid w:val="6D2B3431"/>
    <w:rsid w:val="6D2D1BAB"/>
    <w:rsid w:val="6D323B6A"/>
    <w:rsid w:val="6D3252EE"/>
    <w:rsid w:val="6D366E92"/>
    <w:rsid w:val="6D371AAD"/>
    <w:rsid w:val="6D3D45FB"/>
    <w:rsid w:val="6D422099"/>
    <w:rsid w:val="6D457F78"/>
    <w:rsid w:val="6D535020"/>
    <w:rsid w:val="6D570E89"/>
    <w:rsid w:val="6D57191B"/>
    <w:rsid w:val="6D5754EA"/>
    <w:rsid w:val="6D6900AB"/>
    <w:rsid w:val="6D6A28A8"/>
    <w:rsid w:val="6D732CEA"/>
    <w:rsid w:val="6D7926E1"/>
    <w:rsid w:val="6D7A2E61"/>
    <w:rsid w:val="6D7D69B4"/>
    <w:rsid w:val="6D7E162F"/>
    <w:rsid w:val="6D860DF1"/>
    <w:rsid w:val="6D920165"/>
    <w:rsid w:val="6D94212F"/>
    <w:rsid w:val="6D9A7D3D"/>
    <w:rsid w:val="6D9E6902"/>
    <w:rsid w:val="6DA560EA"/>
    <w:rsid w:val="6DA93E5E"/>
    <w:rsid w:val="6DAB1EDF"/>
    <w:rsid w:val="6DB65755"/>
    <w:rsid w:val="6DB91940"/>
    <w:rsid w:val="6DBA7CE3"/>
    <w:rsid w:val="6DBB76BC"/>
    <w:rsid w:val="6DC52B98"/>
    <w:rsid w:val="6DC63647"/>
    <w:rsid w:val="6DCA215F"/>
    <w:rsid w:val="6DCF5E07"/>
    <w:rsid w:val="6DD805A2"/>
    <w:rsid w:val="6DD9468D"/>
    <w:rsid w:val="6DDF6F04"/>
    <w:rsid w:val="6DEA5143"/>
    <w:rsid w:val="6DEB6278"/>
    <w:rsid w:val="6DF84E12"/>
    <w:rsid w:val="6E0355B6"/>
    <w:rsid w:val="6E144360"/>
    <w:rsid w:val="6E1540BD"/>
    <w:rsid w:val="6E192010"/>
    <w:rsid w:val="6E266E3C"/>
    <w:rsid w:val="6E317741"/>
    <w:rsid w:val="6E3978C7"/>
    <w:rsid w:val="6E4A0A40"/>
    <w:rsid w:val="6E501D6A"/>
    <w:rsid w:val="6E504D83"/>
    <w:rsid w:val="6E5129FA"/>
    <w:rsid w:val="6E524148"/>
    <w:rsid w:val="6E5C0B36"/>
    <w:rsid w:val="6E5C3920"/>
    <w:rsid w:val="6E6346E2"/>
    <w:rsid w:val="6E661D1D"/>
    <w:rsid w:val="6E664871"/>
    <w:rsid w:val="6E780775"/>
    <w:rsid w:val="6E7939DC"/>
    <w:rsid w:val="6E7C3427"/>
    <w:rsid w:val="6E7F130E"/>
    <w:rsid w:val="6E804461"/>
    <w:rsid w:val="6E844DC6"/>
    <w:rsid w:val="6E84712D"/>
    <w:rsid w:val="6E8E3022"/>
    <w:rsid w:val="6E9323E7"/>
    <w:rsid w:val="6E95212E"/>
    <w:rsid w:val="6E9A3C1F"/>
    <w:rsid w:val="6E9C0F62"/>
    <w:rsid w:val="6EA014C0"/>
    <w:rsid w:val="6EA6127D"/>
    <w:rsid w:val="6EAB3A9E"/>
    <w:rsid w:val="6EAC2045"/>
    <w:rsid w:val="6EB81E4D"/>
    <w:rsid w:val="6EB96DE9"/>
    <w:rsid w:val="6EBF0851"/>
    <w:rsid w:val="6EBF1234"/>
    <w:rsid w:val="6EC218A3"/>
    <w:rsid w:val="6EC3411C"/>
    <w:rsid w:val="6EC6456A"/>
    <w:rsid w:val="6EC914BB"/>
    <w:rsid w:val="6ECA3677"/>
    <w:rsid w:val="6ECC724F"/>
    <w:rsid w:val="6ED05165"/>
    <w:rsid w:val="6ED301C7"/>
    <w:rsid w:val="6ED358F1"/>
    <w:rsid w:val="6ED6078F"/>
    <w:rsid w:val="6EE31437"/>
    <w:rsid w:val="6EE421AC"/>
    <w:rsid w:val="6EE911C3"/>
    <w:rsid w:val="6EED49C0"/>
    <w:rsid w:val="6EF30052"/>
    <w:rsid w:val="6EF70BC7"/>
    <w:rsid w:val="6EFA037C"/>
    <w:rsid w:val="6EFD786F"/>
    <w:rsid w:val="6F0165E6"/>
    <w:rsid w:val="6F060E0B"/>
    <w:rsid w:val="6F083CA2"/>
    <w:rsid w:val="6F0B1883"/>
    <w:rsid w:val="6F1753EF"/>
    <w:rsid w:val="6F2F682F"/>
    <w:rsid w:val="6F314582"/>
    <w:rsid w:val="6F3260DE"/>
    <w:rsid w:val="6F3275E5"/>
    <w:rsid w:val="6F3B53B3"/>
    <w:rsid w:val="6F3D018E"/>
    <w:rsid w:val="6F411E43"/>
    <w:rsid w:val="6F432437"/>
    <w:rsid w:val="6F527E38"/>
    <w:rsid w:val="6F533F27"/>
    <w:rsid w:val="6F5953DE"/>
    <w:rsid w:val="6F5A4DBB"/>
    <w:rsid w:val="6F624A72"/>
    <w:rsid w:val="6F710C85"/>
    <w:rsid w:val="6F752701"/>
    <w:rsid w:val="6F7B1B95"/>
    <w:rsid w:val="6F7E5F57"/>
    <w:rsid w:val="6F833028"/>
    <w:rsid w:val="6F88706C"/>
    <w:rsid w:val="6F8B41AC"/>
    <w:rsid w:val="6F8F782F"/>
    <w:rsid w:val="6F993A2D"/>
    <w:rsid w:val="6F9B3AFB"/>
    <w:rsid w:val="6F9B6F31"/>
    <w:rsid w:val="6F9D0687"/>
    <w:rsid w:val="6FAB2936"/>
    <w:rsid w:val="6FAD4E7B"/>
    <w:rsid w:val="6FAE6BFE"/>
    <w:rsid w:val="6FB30CE7"/>
    <w:rsid w:val="6FB945B2"/>
    <w:rsid w:val="6FBA4EDB"/>
    <w:rsid w:val="6FCA1E38"/>
    <w:rsid w:val="6FD14B28"/>
    <w:rsid w:val="6FD51381"/>
    <w:rsid w:val="6FD51864"/>
    <w:rsid w:val="6FD65715"/>
    <w:rsid w:val="6FE176E9"/>
    <w:rsid w:val="6FE7156A"/>
    <w:rsid w:val="6FE73B42"/>
    <w:rsid w:val="6FF2313D"/>
    <w:rsid w:val="6FF83671"/>
    <w:rsid w:val="70044EEC"/>
    <w:rsid w:val="70075D95"/>
    <w:rsid w:val="700A492A"/>
    <w:rsid w:val="700F1F41"/>
    <w:rsid w:val="70132E73"/>
    <w:rsid w:val="7018207A"/>
    <w:rsid w:val="70185A48"/>
    <w:rsid w:val="702950E3"/>
    <w:rsid w:val="702A7721"/>
    <w:rsid w:val="7030643E"/>
    <w:rsid w:val="703E2512"/>
    <w:rsid w:val="70402CF8"/>
    <w:rsid w:val="70425E72"/>
    <w:rsid w:val="70457157"/>
    <w:rsid w:val="704D7E21"/>
    <w:rsid w:val="705029FA"/>
    <w:rsid w:val="705165F5"/>
    <w:rsid w:val="705772D5"/>
    <w:rsid w:val="705A4FEA"/>
    <w:rsid w:val="706519AA"/>
    <w:rsid w:val="706C4894"/>
    <w:rsid w:val="707B61DC"/>
    <w:rsid w:val="70810DAD"/>
    <w:rsid w:val="70832A1A"/>
    <w:rsid w:val="70844759"/>
    <w:rsid w:val="708C1877"/>
    <w:rsid w:val="70B7060E"/>
    <w:rsid w:val="70B70BE3"/>
    <w:rsid w:val="70B97039"/>
    <w:rsid w:val="70C04C9B"/>
    <w:rsid w:val="70CA3197"/>
    <w:rsid w:val="70D56151"/>
    <w:rsid w:val="70DB60CB"/>
    <w:rsid w:val="70DC13CF"/>
    <w:rsid w:val="70DD3DED"/>
    <w:rsid w:val="70E01093"/>
    <w:rsid w:val="70E345E0"/>
    <w:rsid w:val="70ED4030"/>
    <w:rsid w:val="70EE4AD4"/>
    <w:rsid w:val="70F43CF9"/>
    <w:rsid w:val="70F9279F"/>
    <w:rsid w:val="70FD3672"/>
    <w:rsid w:val="71112BA8"/>
    <w:rsid w:val="71161366"/>
    <w:rsid w:val="711C348A"/>
    <w:rsid w:val="711F0E9E"/>
    <w:rsid w:val="711F10D7"/>
    <w:rsid w:val="71243A13"/>
    <w:rsid w:val="71246E2B"/>
    <w:rsid w:val="71272203"/>
    <w:rsid w:val="71272B63"/>
    <w:rsid w:val="71306613"/>
    <w:rsid w:val="713B76EC"/>
    <w:rsid w:val="713E488C"/>
    <w:rsid w:val="71401C99"/>
    <w:rsid w:val="71497735"/>
    <w:rsid w:val="71565241"/>
    <w:rsid w:val="715916C6"/>
    <w:rsid w:val="715C45F0"/>
    <w:rsid w:val="715F7078"/>
    <w:rsid w:val="716275A7"/>
    <w:rsid w:val="7162765A"/>
    <w:rsid w:val="716E0B09"/>
    <w:rsid w:val="71700607"/>
    <w:rsid w:val="717A2992"/>
    <w:rsid w:val="71864485"/>
    <w:rsid w:val="718779B7"/>
    <w:rsid w:val="718D4173"/>
    <w:rsid w:val="718F3339"/>
    <w:rsid w:val="719646C8"/>
    <w:rsid w:val="719B3D80"/>
    <w:rsid w:val="719E4B89"/>
    <w:rsid w:val="71A02396"/>
    <w:rsid w:val="71AB5A59"/>
    <w:rsid w:val="71B42C01"/>
    <w:rsid w:val="71B63436"/>
    <w:rsid w:val="71C04DEA"/>
    <w:rsid w:val="71C104A1"/>
    <w:rsid w:val="71D43A37"/>
    <w:rsid w:val="71D56512"/>
    <w:rsid w:val="71D56BAA"/>
    <w:rsid w:val="71D8577C"/>
    <w:rsid w:val="71DD22D4"/>
    <w:rsid w:val="71DF38C2"/>
    <w:rsid w:val="71E948F2"/>
    <w:rsid w:val="71ED3958"/>
    <w:rsid w:val="71F0490C"/>
    <w:rsid w:val="720430D3"/>
    <w:rsid w:val="721246F8"/>
    <w:rsid w:val="7214383E"/>
    <w:rsid w:val="721C1134"/>
    <w:rsid w:val="721D0CDA"/>
    <w:rsid w:val="721F64DF"/>
    <w:rsid w:val="72251C13"/>
    <w:rsid w:val="7225345C"/>
    <w:rsid w:val="722E28C3"/>
    <w:rsid w:val="72356FDA"/>
    <w:rsid w:val="723E1B79"/>
    <w:rsid w:val="7245221F"/>
    <w:rsid w:val="72502E02"/>
    <w:rsid w:val="725E7C58"/>
    <w:rsid w:val="7260118E"/>
    <w:rsid w:val="72661584"/>
    <w:rsid w:val="726B3894"/>
    <w:rsid w:val="726B70DE"/>
    <w:rsid w:val="726B7F9F"/>
    <w:rsid w:val="726C0479"/>
    <w:rsid w:val="72766111"/>
    <w:rsid w:val="72811A06"/>
    <w:rsid w:val="728D0101"/>
    <w:rsid w:val="72981626"/>
    <w:rsid w:val="729C7111"/>
    <w:rsid w:val="729F44BE"/>
    <w:rsid w:val="72A966BA"/>
    <w:rsid w:val="72B2216F"/>
    <w:rsid w:val="72B40918"/>
    <w:rsid w:val="72BF6F83"/>
    <w:rsid w:val="72C07DAD"/>
    <w:rsid w:val="72CC4717"/>
    <w:rsid w:val="72D80958"/>
    <w:rsid w:val="72DB20DA"/>
    <w:rsid w:val="72E3039E"/>
    <w:rsid w:val="72E51535"/>
    <w:rsid w:val="72F82597"/>
    <w:rsid w:val="73186BB1"/>
    <w:rsid w:val="731E3F27"/>
    <w:rsid w:val="73277167"/>
    <w:rsid w:val="73280A10"/>
    <w:rsid w:val="732D2B1F"/>
    <w:rsid w:val="732E55CF"/>
    <w:rsid w:val="73300F5B"/>
    <w:rsid w:val="73333294"/>
    <w:rsid w:val="7334289A"/>
    <w:rsid w:val="73376B36"/>
    <w:rsid w:val="733953EC"/>
    <w:rsid w:val="733F36F0"/>
    <w:rsid w:val="73423706"/>
    <w:rsid w:val="73431374"/>
    <w:rsid w:val="734F7890"/>
    <w:rsid w:val="735129DE"/>
    <w:rsid w:val="73537971"/>
    <w:rsid w:val="735A4D00"/>
    <w:rsid w:val="7362029C"/>
    <w:rsid w:val="736B748E"/>
    <w:rsid w:val="736D76AA"/>
    <w:rsid w:val="737B3ECF"/>
    <w:rsid w:val="73870B83"/>
    <w:rsid w:val="739311D4"/>
    <w:rsid w:val="73A200F5"/>
    <w:rsid w:val="73A34A46"/>
    <w:rsid w:val="73AE7943"/>
    <w:rsid w:val="73BD213B"/>
    <w:rsid w:val="73BF1FA3"/>
    <w:rsid w:val="73BF41CF"/>
    <w:rsid w:val="73C74939"/>
    <w:rsid w:val="73C90827"/>
    <w:rsid w:val="73CA1F8D"/>
    <w:rsid w:val="73D940D8"/>
    <w:rsid w:val="73D97C94"/>
    <w:rsid w:val="73DB3271"/>
    <w:rsid w:val="73E7745D"/>
    <w:rsid w:val="73EE2F9E"/>
    <w:rsid w:val="73F41B79"/>
    <w:rsid w:val="73F850C8"/>
    <w:rsid w:val="73FC4FC8"/>
    <w:rsid w:val="73FE35E2"/>
    <w:rsid w:val="73FF583C"/>
    <w:rsid w:val="7400051E"/>
    <w:rsid w:val="74043F5D"/>
    <w:rsid w:val="7409177F"/>
    <w:rsid w:val="740D20D4"/>
    <w:rsid w:val="740D2781"/>
    <w:rsid w:val="740E19A0"/>
    <w:rsid w:val="74113C97"/>
    <w:rsid w:val="74116287"/>
    <w:rsid w:val="741246E6"/>
    <w:rsid w:val="741473C6"/>
    <w:rsid w:val="7415288B"/>
    <w:rsid w:val="7416389E"/>
    <w:rsid w:val="7424040C"/>
    <w:rsid w:val="74334D04"/>
    <w:rsid w:val="74482F43"/>
    <w:rsid w:val="744A75D8"/>
    <w:rsid w:val="744B024B"/>
    <w:rsid w:val="744D7DFD"/>
    <w:rsid w:val="744E5315"/>
    <w:rsid w:val="74570C4B"/>
    <w:rsid w:val="74577E56"/>
    <w:rsid w:val="745B5755"/>
    <w:rsid w:val="74623C1E"/>
    <w:rsid w:val="746901A5"/>
    <w:rsid w:val="7475269C"/>
    <w:rsid w:val="747B116D"/>
    <w:rsid w:val="74807C32"/>
    <w:rsid w:val="748746D4"/>
    <w:rsid w:val="748C55D5"/>
    <w:rsid w:val="74910BC9"/>
    <w:rsid w:val="7494612A"/>
    <w:rsid w:val="74965C31"/>
    <w:rsid w:val="749B2CB9"/>
    <w:rsid w:val="74A728BC"/>
    <w:rsid w:val="74AA6820"/>
    <w:rsid w:val="74AD46A2"/>
    <w:rsid w:val="74AD6CB7"/>
    <w:rsid w:val="74B17A6A"/>
    <w:rsid w:val="74B34403"/>
    <w:rsid w:val="74BF430B"/>
    <w:rsid w:val="74C23A26"/>
    <w:rsid w:val="74C91C0C"/>
    <w:rsid w:val="74CA1DD7"/>
    <w:rsid w:val="74CF64A2"/>
    <w:rsid w:val="74D07909"/>
    <w:rsid w:val="74D14938"/>
    <w:rsid w:val="74DD616A"/>
    <w:rsid w:val="74E53270"/>
    <w:rsid w:val="74E60E29"/>
    <w:rsid w:val="74F9600E"/>
    <w:rsid w:val="74FF3471"/>
    <w:rsid w:val="74FF3782"/>
    <w:rsid w:val="75015542"/>
    <w:rsid w:val="75125A39"/>
    <w:rsid w:val="7513069A"/>
    <w:rsid w:val="75137DDD"/>
    <w:rsid w:val="7514415B"/>
    <w:rsid w:val="75175B20"/>
    <w:rsid w:val="75184647"/>
    <w:rsid w:val="751949C6"/>
    <w:rsid w:val="751B0F81"/>
    <w:rsid w:val="75206236"/>
    <w:rsid w:val="75260EE2"/>
    <w:rsid w:val="75295F35"/>
    <w:rsid w:val="752E5993"/>
    <w:rsid w:val="7531786E"/>
    <w:rsid w:val="75393A18"/>
    <w:rsid w:val="75481B38"/>
    <w:rsid w:val="754B0BB6"/>
    <w:rsid w:val="754F3A05"/>
    <w:rsid w:val="756D71DE"/>
    <w:rsid w:val="75705941"/>
    <w:rsid w:val="7572719A"/>
    <w:rsid w:val="757F42B3"/>
    <w:rsid w:val="758142CD"/>
    <w:rsid w:val="7583380D"/>
    <w:rsid w:val="75857EAC"/>
    <w:rsid w:val="758807CB"/>
    <w:rsid w:val="758E5B85"/>
    <w:rsid w:val="759030D1"/>
    <w:rsid w:val="75956C93"/>
    <w:rsid w:val="75992F92"/>
    <w:rsid w:val="759C6025"/>
    <w:rsid w:val="759D7A3C"/>
    <w:rsid w:val="75A66686"/>
    <w:rsid w:val="75AC4970"/>
    <w:rsid w:val="75BF0BF1"/>
    <w:rsid w:val="75C37B9F"/>
    <w:rsid w:val="75C853AE"/>
    <w:rsid w:val="75C96E82"/>
    <w:rsid w:val="75CD2682"/>
    <w:rsid w:val="75E23B8F"/>
    <w:rsid w:val="75E35A02"/>
    <w:rsid w:val="75E55C1E"/>
    <w:rsid w:val="75F47C0F"/>
    <w:rsid w:val="76033F45"/>
    <w:rsid w:val="760359D9"/>
    <w:rsid w:val="76091474"/>
    <w:rsid w:val="761F5240"/>
    <w:rsid w:val="76203B50"/>
    <w:rsid w:val="7621682F"/>
    <w:rsid w:val="76225EF4"/>
    <w:rsid w:val="76283D5C"/>
    <w:rsid w:val="76285B31"/>
    <w:rsid w:val="76296351"/>
    <w:rsid w:val="76426BCC"/>
    <w:rsid w:val="764346B7"/>
    <w:rsid w:val="76465615"/>
    <w:rsid w:val="76544D5C"/>
    <w:rsid w:val="765919F3"/>
    <w:rsid w:val="765B7980"/>
    <w:rsid w:val="765E31CE"/>
    <w:rsid w:val="766133D4"/>
    <w:rsid w:val="76643A7B"/>
    <w:rsid w:val="766D49A5"/>
    <w:rsid w:val="766D6CD0"/>
    <w:rsid w:val="76703BCB"/>
    <w:rsid w:val="768108DF"/>
    <w:rsid w:val="76833893"/>
    <w:rsid w:val="768C7E47"/>
    <w:rsid w:val="768D722F"/>
    <w:rsid w:val="768F1C82"/>
    <w:rsid w:val="76A414F4"/>
    <w:rsid w:val="76B00B20"/>
    <w:rsid w:val="76B4114C"/>
    <w:rsid w:val="76BD5FEC"/>
    <w:rsid w:val="76C91A22"/>
    <w:rsid w:val="76E15A8C"/>
    <w:rsid w:val="76E3712F"/>
    <w:rsid w:val="76E42E64"/>
    <w:rsid w:val="76E5291D"/>
    <w:rsid w:val="76E64C1F"/>
    <w:rsid w:val="76FE7FEE"/>
    <w:rsid w:val="770045A6"/>
    <w:rsid w:val="770C37B7"/>
    <w:rsid w:val="77111CB2"/>
    <w:rsid w:val="771A32E0"/>
    <w:rsid w:val="771E54E8"/>
    <w:rsid w:val="77206F38"/>
    <w:rsid w:val="77242611"/>
    <w:rsid w:val="772832DB"/>
    <w:rsid w:val="772A6B0E"/>
    <w:rsid w:val="772C33D8"/>
    <w:rsid w:val="772D0DAA"/>
    <w:rsid w:val="773205DC"/>
    <w:rsid w:val="773530B4"/>
    <w:rsid w:val="77357205"/>
    <w:rsid w:val="774150D6"/>
    <w:rsid w:val="774424D0"/>
    <w:rsid w:val="77482516"/>
    <w:rsid w:val="774A1EDB"/>
    <w:rsid w:val="774B75E7"/>
    <w:rsid w:val="774D3A7A"/>
    <w:rsid w:val="77506269"/>
    <w:rsid w:val="77562148"/>
    <w:rsid w:val="775A06C6"/>
    <w:rsid w:val="775A301A"/>
    <w:rsid w:val="77641901"/>
    <w:rsid w:val="776E39F1"/>
    <w:rsid w:val="77774829"/>
    <w:rsid w:val="777A3634"/>
    <w:rsid w:val="777D3C34"/>
    <w:rsid w:val="77806A4A"/>
    <w:rsid w:val="77822567"/>
    <w:rsid w:val="778E6F3D"/>
    <w:rsid w:val="7798600D"/>
    <w:rsid w:val="779B4EA7"/>
    <w:rsid w:val="779C0EB4"/>
    <w:rsid w:val="779E0873"/>
    <w:rsid w:val="779F1DFC"/>
    <w:rsid w:val="779F717A"/>
    <w:rsid w:val="77A044F2"/>
    <w:rsid w:val="77AB69F0"/>
    <w:rsid w:val="77AF679B"/>
    <w:rsid w:val="77B07B65"/>
    <w:rsid w:val="77BC0310"/>
    <w:rsid w:val="77C11C56"/>
    <w:rsid w:val="77D84E0C"/>
    <w:rsid w:val="77D870BC"/>
    <w:rsid w:val="77E64EA7"/>
    <w:rsid w:val="77E913F9"/>
    <w:rsid w:val="77EA4098"/>
    <w:rsid w:val="77EC7540"/>
    <w:rsid w:val="77EF5B1C"/>
    <w:rsid w:val="77FC5E34"/>
    <w:rsid w:val="78034AB4"/>
    <w:rsid w:val="78194B0C"/>
    <w:rsid w:val="781A1483"/>
    <w:rsid w:val="781A4C1F"/>
    <w:rsid w:val="781F4C36"/>
    <w:rsid w:val="78243357"/>
    <w:rsid w:val="78292987"/>
    <w:rsid w:val="7830532B"/>
    <w:rsid w:val="78313E26"/>
    <w:rsid w:val="78340CF4"/>
    <w:rsid w:val="78354EBF"/>
    <w:rsid w:val="7845133E"/>
    <w:rsid w:val="78492CD7"/>
    <w:rsid w:val="784D67EA"/>
    <w:rsid w:val="784F0186"/>
    <w:rsid w:val="78554193"/>
    <w:rsid w:val="78572FBE"/>
    <w:rsid w:val="78576DA0"/>
    <w:rsid w:val="78577135"/>
    <w:rsid w:val="785C6644"/>
    <w:rsid w:val="7863107C"/>
    <w:rsid w:val="786A55AD"/>
    <w:rsid w:val="786C7107"/>
    <w:rsid w:val="78766533"/>
    <w:rsid w:val="787A0A82"/>
    <w:rsid w:val="787B7480"/>
    <w:rsid w:val="787D274B"/>
    <w:rsid w:val="78810485"/>
    <w:rsid w:val="78811AD4"/>
    <w:rsid w:val="788A5D8B"/>
    <w:rsid w:val="78914D87"/>
    <w:rsid w:val="7891635B"/>
    <w:rsid w:val="78A65FD9"/>
    <w:rsid w:val="78BF2558"/>
    <w:rsid w:val="78C0202A"/>
    <w:rsid w:val="78CD3B11"/>
    <w:rsid w:val="78D13658"/>
    <w:rsid w:val="78D27018"/>
    <w:rsid w:val="78D31BBD"/>
    <w:rsid w:val="78DB5204"/>
    <w:rsid w:val="78E00D35"/>
    <w:rsid w:val="78E0350D"/>
    <w:rsid w:val="78E4734E"/>
    <w:rsid w:val="78E62EB6"/>
    <w:rsid w:val="78E96FFF"/>
    <w:rsid w:val="78EE303B"/>
    <w:rsid w:val="78F6008C"/>
    <w:rsid w:val="78FB2816"/>
    <w:rsid w:val="79002CE0"/>
    <w:rsid w:val="7913351B"/>
    <w:rsid w:val="79151636"/>
    <w:rsid w:val="791F0B5B"/>
    <w:rsid w:val="791F5C8A"/>
    <w:rsid w:val="793D30F4"/>
    <w:rsid w:val="793E0DE4"/>
    <w:rsid w:val="794A2755"/>
    <w:rsid w:val="794B064E"/>
    <w:rsid w:val="794C20AB"/>
    <w:rsid w:val="79580C2C"/>
    <w:rsid w:val="795A65CB"/>
    <w:rsid w:val="795A6610"/>
    <w:rsid w:val="795B7FA5"/>
    <w:rsid w:val="796804F9"/>
    <w:rsid w:val="796B16C0"/>
    <w:rsid w:val="797C182B"/>
    <w:rsid w:val="7984400B"/>
    <w:rsid w:val="798B2E87"/>
    <w:rsid w:val="798C3A5C"/>
    <w:rsid w:val="79912BF9"/>
    <w:rsid w:val="79930A16"/>
    <w:rsid w:val="79955265"/>
    <w:rsid w:val="7999719A"/>
    <w:rsid w:val="799B28BD"/>
    <w:rsid w:val="799C0FF8"/>
    <w:rsid w:val="799C1BAE"/>
    <w:rsid w:val="79A329D9"/>
    <w:rsid w:val="79A36954"/>
    <w:rsid w:val="79A62C40"/>
    <w:rsid w:val="79B155C0"/>
    <w:rsid w:val="79B51CBA"/>
    <w:rsid w:val="79C124FE"/>
    <w:rsid w:val="79C267C9"/>
    <w:rsid w:val="79C56A75"/>
    <w:rsid w:val="79C65809"/>
    <w:rsid w:val="79C91415"/>
    <w:rsid w:val="79C92CAD"/>
    <w:rsid w:val="79CC2FC9"/>
    <w:rsid w:val="79CD4036"/>
    <w:rsid w:val="79CE4366"/>
    <w:rsid w:val="79DA09D9"/>
    <w:rsid w:val="79DF7BE6"/>
    <w:rsid w:val="79E1494E"/>
    <w:rsid w:val="79E45764"/>
    <w:rsid w:val="79F52976"/>
    <w:rsid w:val="79F9251E"/>
    <w:rsid w:val="79FE010B"/>
    <w:rsid w:val="79FE1404"/>
    <w:rsid w:val="79FE29C8"/>
    <w:rsid w:val="7A066163"/>
    <w:rsid w:val="7A0D7E39"/>
    <w:rsid w:val="7A1A7F1F"/>
    <w:rsid w:val="7A1E44FE"/>
    <w:rsid w:val="7A1F384F"/>
    <w:rsid w:val="7A1F6A62"/>
    <w:rsid w:val="7A286B70"/>
    <w:rsid w:val="7A2A4FB8"/>
    <w:rsid w:val="7A2D2A8B"/>
    <w:rsid w:val="7A301A4F"/>
    <w:rsid w:val="7A346FF8"/>
    <w:rsid w:val="7A373411"/>
    <w:rsid w:val="7A392094"/>
    <w:rsid w:val="7A467E5B"/>
    <w:rsid w:val="7A4E6F77"/>
    <w:rsid w:val="7A533844"/>
    <w:rsid w:val="7A56265B"/>
    <w:rsid w:val="7A59586F"/>
    <w:rsid w:val="7A5C7C95"/>
    <w:rsid w:val="7A5D7184"/>
    <w:rsid w:val="7A5E7B30"/>
    <w:rsid w:val="7A71110D"/>
    <w:rsid w:val="7A713E14"/>
    <w:rsid w:val="7A75462E"/>
    <w:rsid w:val="7A7B70C8"/>
    <w:rsid w:val="7A7D64FA"/>
    <w:rsid w:val="7A8065E6"/>
    <w:rsid w:val="7A9216C8"/>
    <w:rsid w:val="7A98460B"/>
    <w:rsid w:val="7A9A12AD"/>
    <w:rsid w:val="7A9E1E57"/>
    <w:rsid w:val="7A9F0AEE"/>
    <w:rsid w:val="7AA239BB"/>
    <w:rsid w:val="7AA33706"/>
    <w:rsid w:val="7AA842D4"/>
    <w:rsid w:val="7AAA11E4"/>
    <w:rsid w:val="7AB30AE3"/>
    <w:rsid w:val="7AC51B7A"/>
    <w:rsid w:val="7AC93BAF"/>
    <w:rsid w:val="7ACC32D1"/>
    <w:rsid w:val="7AD4000F"/>
    <w:rsid w:val="7AD56857"/>
    <w:rsid w:val="7AD8717E"/>
    <w:rsid w:val="7AE170D3"/>
    <w:rsid w:val="7AE77DF6"/>
    <w:rsid w:val="7AED5234"/>
    <w:rsid w:val="7AF31293"/>
    <w:rsid w:val="7AF44FE3"/>
    <w:rsid w:val="7AFB5B7C"/>
    <w:rsid w:val="7B075F2A"/>
    <w:rsid w:val="7B0A1C83"/>
    <w:rsid w:val="7B0E1773"/>
    <w:rsid w:val="7B112E66"/>
    <w:rsid w:val="7B145743"/>
    <w:rsid w:val="7B152748"/>
    <w:rsid w:val="7B153240"/>
    <w:rsid w:val="7B1961CB"/>
    <w:rsid w:val="7B1C5DC0"/>
    <w:rsid w:val="7B227F22"/>
    <w:rsid w:val="7B2C66DF"/>
    <w:rsid w:val="7B32205E"/>
    <w:rsid w:val="7B3A6C87"/>
    <w:rsid w:val="7B420669"/>
    <w:rsid w:val="7B476E6A"/>
    <w:rsid w:val="7B492B03"/>
    <w:rsid w:val="7B4C60BC"/>
    <w:rsid w:val="7B503909"/>
    <w:rsid w:val="7B5B1E6F"/>
    <w:rsid w:val="7B672C31"/>
    <w:rsid w:val="7B6A4AA1"/>
    <w:rsid w:val="7B6E3FBF"/>
    <w:rsid w:val="7B740C6D"/>
    <w:rsid w:val="7B900498"/>
    <w:rsid w:val="7B9F2498"/>
    <w:rsid w:val="7BA422D8"/>
    <w:rsid w:val="7BAD4048"/>
    <w:rsid w:val="7BAE7EBC"/>
    <w:rsid w:val="7BB27400"/>
    <w:rsid w:val="7BB87930"/>
    <w:rsid w:val="7BBA359C"/>
    <w:rsid w:val="7BBD6CF5"/>
    <w:rsid w:val="7BC06C81"/>
    <w:rsid w:val="7BC71922"/>
    <w:rsid w:val="7BC71996"/>
    <w:rsid w:val="7BC73833"/>
    <w:rsid w:val="7BCB54E6"/>
    <w:rsid w:val="7BD53304"/>
    <w:rsid w:val="7BD61861"/>
    <w:rsid w:val="7BD61B65"/>
    <w:rsid w:val="7BDB2AAE"/>
    <w:rsid w:val="7BE10C35"/>
    <w:rsid w:val="7BF50C2B"/>
    <w:rsid w:val="7BFF61C4"/>
    <w:rsid w:val="7C007F3F"/>
    <w:rsid w:val="7C1605E2"/>
    <w:rsid w:val="7C1A214A"/>
    <w:rsid w:val="7C1E26CB"/>
    <w:rsid w:val="7C252DB4"/>
    <w:rsid w:val="7C2E005E"/>
    <w:rsid w:val="7C3D3992"/>
    <w:rsid w:val="7C3F294A"/>
    <w:rsid w:val="7C4B4301"/>
    <w:rsid w:val="7C4F3689"/>
    <w:rsid w:val="7C5E5077"/>
    <w:rsid w:val="7C5F74CB"/>
    <w:rsid w:val="7C7367CD"/>
    <w:rsid w:val="7C7C53DA"/>
    <w:rsid w:val="7C7D6B2B"/>
    <w:rsid w:val="7C7E2011"/>
    <w:rsid w:val="7C80537E"/>
    <w:rsid w:val="7C831CEC"/>
    <w:rsid w:val="7C857813"/>
    <w:rsid w:val="7C8A3313"/>
    <w:rsid w:val="7C8D2B6B"/>
    <w:rsid w:val="7C8F57FB"/>
    <w:rsid w:val="7C966817"/>
    <w:rsid w:val="7CA8395B"/>
    <w:rsid w:val="7CAE7AEA"/>
    <w:rsid w:val="7CB04BB2"/>
    <w:rsid w:val="7CB60C49"/>
    <w:rsid w:val="7CB93960"/>
    <w:rsid w:val="7CBD701B"/>
    <w:rsid w:val="7CD41CDE"/>
    <w:rsid w:val="7CD95C2A"/>
    <w:rsid w:val="7CE250DD"/>
    <w:rsid w:val="7CE34462"/>
    <w:rsid w:val="7CE42033"/>
    <w:rsid w:val="7CE656F4"/>
    <w:rsid w:val="7CEB56CE"/>
    <w:rsid w:val="7CF22A13"/>
    <w:rsid w:val="7CF455F4"/>
    <w:rsid w:val="7CF84488"/>
    <w:rsid w:val="7D02462A"/>
    <w:rsid w:val="7D032E2D"/>
    <w:rsid w:val="7D035CDC"/>
    <w:rsid w:val="7D0747BC"/>
    <w:rsid w:val="7D1140FE"/>
    <w:rsid w:val="7D2268E1"/>
    <w:rsid w:val="7D2305CF"/>
    <w:rsid w:val="7D26292B"/>
    <w:rsid w:val="7D2754A8"/>
    <w:rsid w:val="7D2E5363"/>
    <w:rsid w:val="7D346161"/>
    <w:rsid w:val="7D4766C9"/>
    <w:rsid w:val="7D4A280A"/>
    <w:rsid w:val="7D537911"/>
    <w:rsid w:val="7D602A9B"/>
    <w:rsid w:val="7D697023"/>
    <w:rsid w:val="7D6A65AD"/>
    <w:rsid w:val="7D6C452F"/>
    <w:rsid w:val="7D73383E"/>
    <w:rsid w:val="7DA0725A"/>
    <w:rsid w:val="7DA34077"/>
    <w:rsid w:val="7DA47218"/>
    <w:rsid w:val="7DC93796"/>
    <w:rsid w:val="7DCB3CDB"/>
    <w:rsid w:val="7DCD30D1"/>
    <w:rsid w:val="7DD1368B"/>
    <w:rsid w:val="7DD461BC"/>
    <w:rsid w:val="7DD74F97"/>
    <w:rsid w:val="7DDB345D"/>
    <w:rsid w:val="7DDC5043"/>
    <w:rsid w:val="7DE70059"/>
    <w:rsid w:val="7DEB14AB"/>
    <w:rsid w:val="7DEB5D9B"/>
    <w:rsid w:val="7DF704B8"/>
    <w:rsid w:val="7DFC59BE"/>
    <w:rsid w:val="7E050885"/>
    <w:rsid w:val="7E067BE0"/>
    <w:rsid w:val="7E0C4CA7"/>
    <w:rsid w:val="7E1301DE"/>
    <w:rsid w:val="7E277723"/>
    <w:rsid w:val="7E277B92"/>
    <w:rsid w:val="7E345949"/>
    <w:rsid w:val="7E370FE0"/>
    <w:rsid w:val="7E3B1751"/>
    <w:rsid w:val="7E3C610B"/>
    <w:rsid w:val="7E3D503D"/>
    <w:rsid w:val="7E427BE5"/>
    <w:rsid w:val="7E435E0B"/>
    <w:rsid w:val="7E465763"/>
    <w:rsid w:val="7E470AF8"/>
    <w:rsid w:val="7E535797"/>
    <w:rsid w:val="7E5D031B"/>
    <w:rsid w:val="7E5D2354"/>
    <w:rsid w:val="7E6625F0"/>
    <w:rsid w:val="7E670ECD"/>
    <w:rsid w:val="7E67167A"/>
    <w:rsid w:val="7E682071"/>
    <w:rsid w:val="7E694E00"/>
    <w:rsid w:val="7E6C7E95"/>
    <w:rsid w:val="7E74002B"/>
    <w:rsid w:val="7E857F9E"/>
    <w:rsid w:val="7E881A2F"/>
    <w:rsid w:val="7E8E1527"/>
    <w:rsid w:val="7E8F5909"/>
    <w:rsid w:val="7E9A42B1"/>
    <w:rsid w:val="7E9E7095"/>
    <w:rsid w:val="7EA92898"/>
    <w:rsid w:val="7EB07074"/>
    <w:rsid w:val="7EB1796C"/>
    <w:rsid w:val="7EB4799C"/>
    <w:rsid w:val="7EB61FE5"/>
    <w:rsid w:val="7EB76CA5"/>
    <w:rsid w:val="7EB9208E"/>
    <w:rsid w:val="7EB96CF0"/>
    <w:rsid w:val="7EBC0D91"/>
    <w:rsid w:val="7EBC447E"/>
    <w:rsid w:val="7EBD1A59"/>
    <w:rsid w:val="7EC32E3C"/>
    <w:rsid w:val="7ECB6FD3"/>
    <w:rsid w:val="7ED16DCE"/>
    <w:rsid w:val="7ED973CE"/>
    <w:rsid w:val="7EE04A43"/>
    <w:rsid w:val="7EED5B43"/>
    <w:rsid w:val="7EF60B44"/>
    <w:rsid w:val="7EF63453"/>
    <w:rsid w:val="7EF84EBA"/>
    <w:rsid w:val="7F07070D"/>
    <w:rsid w:val="7F0E5E68"/>
    <w:rsid w:val="7F1A6AAD"/>
    <w:rsid w:val="7F1B34CF"/>
    <w:rsid w:val="7F267033"/>
    <w:rsid w:val="7F29167F"/>
    <w:rsid w:val="7F2E129D"/>
    <w:rsid w:val="7F3579CB"/>
    <w:rsid w:val="7F3763C1"/>
    <w:rsid w:val="7F3F4B7A"/>
    <w:rsid w:val="7F4514DB"/>
    <w:rsid w:val="7F45305F"/>
    <w:rsid w:val="7F49103D"/>
    <w:rsid w:val="7F513BCE"/>
    <w:rsid w:val="7F53685A"/>
    <w:rsid w:val="7F5931D8"/>
    <w:rsid w:val="7F625BE9"/>
    <w:rsid w:val="7F656DCB"/>
    <w:rsid w:val="7F6A5A71"/>
    <w:rsid w:val="7F737DF6"/>
    <w:rsid w:val="7F746AB9"/>
    <w:rsid w:val="7F755821"/>
    <w:rsid w:val="7F7973D7"/>
    <w:rsid w:val="7F813D51"/>
    <w:rsid w:val="7F8518D8"/>
    <w:rsid w:val="7F875515"/>
    <w:rsid w:val="7F9B2619"/>
    <w:rsid w:val="7FA463D3"/>
    <w:rsid w:val="7FA9776C"/>
    <w:rsid w:val="7FAC6C72"/>
    <w:rsid w:val="7FB35C3D"/>
    <w:rsid w:val="7FB869AF"/>
    <w:rsid w:val="7FC86F5F"/>
    <w:rsid w:val="7FCF0244"/>
    <w:rsid w:val="7FD23833"/>
    <w:rsid w:val="7FD247E8"/>
    <w:rsid w:val="7FD80BCB"/>
    <w:rsid w:val="7FD9358C"/>
    <w:rsid w:val="7FDB7C30"/>
    <w:rsid w:val="7FDE1B6A"/>
    <w:rsid w:val="7FE8199C"/>
    <w:rsid w:val="7FEC583C"/>
    <w:rsid w:val="7FF957B0"/>
    <w:rsid w:val="7FFA5913"/>
    <w:rsid w:val="7FFE5B85"/>
    <w:rsid w:val="7FFF1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bidi w:val="0"/>
      <w:spacing w:line="360" w:lineRule="auto"/>
      <w:ind w:firstLine="1044" w:firstLineChars="200"/>
      <w:jc w:val="both"/>
    </w:pPr>
    <w:rPr>
      <w:rFonts w:eastAsia="仿宋" w:asciiTheme="minorHAnsi" w:hAnsiTheme="minorHAnsi" w:cstheme="minorBidi"/>
      <w:kern w:val="2"/>
      <w:sz w:val="28"/>
      <w:szCs w:val="24"/>
      <w:lang w:val="en-US" w:eastAsia="zh-CN" w:bidi="ar-SA"/>
    </w:rPr>
  </w:style>
  <w:style w:type="paragraph" w:styleId="2">
    <w:name w:val="heading 1"/>
    <w:basedOn w:val="1"/>
    <w:next w:val="1"/>
    <w:autoRedefine/>
    <w:qFormat/>
    <w:uiPriority w:val="0"/>
    <w:pPr>
      <w:keepLines/>
      <w:spacing w:afterLines="50"/>
      <w:ind w:firstLine="0" w:firstLineChars="0"/>
      <w:jc w:val="center"/>
      <w:outlineLvl w:val="0"/>
    </w:pPr>
    <w:rPr>
      <w:rFonts w:ascii="黑体" w:hAnsi="黑体" w:eastAsia="黑体"/>
      <w:b/>
      <w:kern w:val="28"/>
      <w:sz w:val="36"/>
      <w:szCs w:val="44"/>
    </w:rPr>
  </w:style>
  <w:style w:type="paragraph" w:styleId="3">
    <w:name w:val="heading 2"/>
    <w:basedOn w:val="1"/>
    <w:next w:val="1"/>
    <w:autoRedefine/>
    <w:unhideWhenUsed/>
    <w:qFormat/>
    <w:uiPriority w:val="0"/>
    <w:pPr>
      <w:ind w:firstLine="0" w:firstLineChars="0"/>
      <w:outlineLvl w:val="1"/>
    </w:pPr>
    <w:rPr>
      <w:rFonts w:ascii="Arial" w:hAnsi="Arial" w:eastAsia="黑体"/>
      <w:bCs/>
      <w:sz w:val="32"/>
      <w:szCs w:val="32"/>
    </w:rPr>
  </w:style>
  <w:style w:type="paragraph" w:styleId="4">
    <w:name w:val="heading 3"/>
    <w:basedOn w:val="1"/>
    <w:next w:val="1"/>
    <w:link w:val="61"/>
    <w:autoRedefine/>
    <w:unhideWhenUsed/>
    <w:qFormat/>
    <w:uiPriority w:val="0"/>
    <w:pPr>
      <w:ind w:firstLine="0" w:firstLineChars="0"/>
      <w:outlineLvl w:val="2"/>
    </w:pPr>
    <w:rPr>
      <w:rFonts w:ascii="仿宋_GB2312" w:hAnsi="仿宋_GB2312" w:eastAsia="黑体"/>
      <w:snapToGrid w:val="0"/>
      <w:sz w:val="30"/>
      <w:szCs w:val="30"/>
    </w:rPr>
  </w:style>
  <w:style w:type="paragraph" w:styleId="5">
    <w:name w:val="heading 4"/>
    <w:basedOn w:val="1"/>
    <w:next w:val="1"/>
    <w:link w:val="62"/>
    <w:autoRedefine/>
    <w:unhideWhenUsed/>
    <w:qFormat/>
    <w:uiPriority w:val="0"/>
    <w:pPr>
      <w:ind w:firstLine="0" w:firstLineChars="0"/>
      <w:outlineLvl w:val="3"/>
    </w:pPr>
    <w:rPr>
      <w:rFonts w:ascii="Arial" w:hAnsi="Arial" w:eastAsia="黑体"/>
    </w:rPr>
  </w:style>
  <w:style w:type="paragraph" w:styleId="6">
    <w:name w:val="heading 5"/>
    <w:basedOn w:val="1"/>
    <w:next w:val="1"/>
    <w:autoRedefine/>
    <w:unhideWhenUsed/>
    <w:qFormat/>
    <w:uiPriority w:val="0"/>
    <w:pPr>
      <w:keepNext/>
      <w:keepLines/>
      <w:spacing w:line="372" w:lineRule="auto"/>
      <w:outlineLvl w:val="4"/>
    </w:pPr>
    <w:rPr>
      <w:b/>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7">
    <w:name w:val="Document Map"/>
    <w:basedOn w:val="1"/>
    <w:link w:val="39"/>
    <w:autoRedefine/>
    <w:qFormat/>
    <w:uiPriority w:val="0"/>
    <w:rPr>
      <w:rFonts w:ascii="宋体" w:eastAsia="宋体"/>
      <w:sz w:val="18"/>
      <w:szCs w:val="18"/>
    </w:rPr>
  </w:style>
  <w:style w:type="paragraph" w:styleId="8">
    <w:name w:val="Salutation"/>
    <w:basedOn w:val="1"/>
    <w:next w:val="1"/>
    <w:qFormat/>
    <w:uiPriority w:val="0"/>
    <w:pPr>
      <w:jc w:val="center"/>
    </w:pPr>
    <w:rPr>
      <w:rFonts w:ascii="Times New Roman" w:hAnsi="Times New Roman"/>
    </w:rPr>
  </w:style>
  <w:style w:type="paragraph" w:styleId="9">
    <w:name w:val="Body Text"/>
    <w:basedOn w:val="1"/>
    <w:autoRedefine/>
    <w:qFormat/>
    <w:uiPriority w:val="0"/>
  </w:style>
  <w:style w:type="paragraph" w:styleId="10">
    <w:name w:val="Body Text Indent"/>
    <w:basedOn w:val="1"/>
    <w:autoRedefine/>
    <w:qFormat/>
    <w:uiPriority w:val="0"/>
    <w:pPr>
      <w:ind w:firstLine="633" w:firstLineChars="226"/>
    </w:pPr>
  </w:style>
  <w:style w:type="paragraph" w:styleId="11">
    <w:name w:val="Block Text"/>
    <w:basedOn w:val="1"/>
    <w:qFormat/>
    <w:uiPriority w:val="0"/>
    <w:pPr>
      <w:ind w:firstLine="200" w:firstLineChars="200"/>
    </w:pPr>
    <w:rPr>
      <w:rFonts w:ascii="宋体" w:hAnsi="宋体" w:eastAsia="宋体"/>
      <w:kern w:val="0"/>
      <w:sz w:val="28"/>
      <w:szCs w:val="20"/>
    </w:rPr>
  </w:style>
  <w:style w:type="paragraph" w:styleId="12">
    <w:name w:val="Plain Text"/>
    <w:basedOn w:val="1"/>
    <w:autoRedefine/>
    <w:qFormat/>
    <w:uiPriority w:val="0"/>
    <w:pPr>
      <w:autoSpaceDE w:val="0"/>
      <w:autoSpaceDN w:val="0"/>
      <w:adjustRightInd w:val="0"/>
      <w:textAlignment w:val="baseline"/>
    </w:pPr>
    <w:rPr>
      <w:rFonts w:ascii="宋体"/>
    </w:rPr>
  </w:style>
  <w:style w:type="paragraph" w:styleId="13">
    <w:name w:val="Date"/>
    <w:basedOn w:val="1"/>
    <w:next w:val="1"/>
    <w:autoRedefine/>
    <w:qFormat/>
    <w:uiPriority w:val="0"/>
    <w:pPr>
      <w:ind w:left="2500" w:leftChars="2500"/>
    </w:pPr>
    <w:rPr>
      <w:sz w:val="32"/>
    </w:rPr>
  </w:style>
  <w:style w:type="paragraph" w:styleId="14">
    <w:name w:val="Body Text Indent 2"/>
    <w:basedOn w:val="1"/>
    <w:autoRedefine/>
    <w:qFormat/>
    <w:uiPriority w:val="0"/>
    <w:pPr>
      <w:ind w:firstLine="480"/>
    </w:pPr>
    <w:rPr>
      <w:sz w:val="24"/>
    </w:rPr>
  </w:style>
  <w:style w:type="paragraph" w:styleId="15">
    <w:name w:val="Balloon Text"/>
    <w:basedOn w:val="1"/>
    <w:link w:val="40"/>
    <w:autoRedefine/>
    <w:qFormat/>
    <w:uiPriority w:val="0"/>
    <w:pPr>
      <w:spacing w:line="240" w:lineRule="auto"/>
    </w:pPr>
    <w:rPr>
      <w:sz w:val="18"/>
      <w:szCs w:val="18"/>
    </w:rPr>
  </w:style>
  <w:style w:type="paragraph" w:styleId="16">
    <w:name w:val="footer"/>
    <w:basedOn w:val="1"/>
    <w:autoRedefine/>
    <w:qFormat/>
    <w:uiPriority w:val="0"/>
    <w:pPr>
      <w:tabs>
        <w:tab w:val="center" w:pos="4153"/>
        <w:tab w:val="right" w:pos="8306"/>
      </w:tabs>
      <w:snapToGrid w:val="0"/>
      <w:jc w:val="left"/>
    </w:pPr>
    <w:rPr>
      <w:sz w:val="18"/>
      <w:szCs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0"/>
    <w:pPr>
      <w:ind w:firstLine="0" w:firstLineChars="0"/>
    </w:pPr>
    <w:rPr>
      <w:rFonts w:ascii="Times New Roman" w:hAnsi="Times New Roman"/>
    </w:rPr>
  </w:style>
  <w:style w:type="paragraph" w:styleId="19">
    <w:name w:val="toc 4"/>
    <w:next w:val="1"/>
    <w:qFormat/>
    <w:uiPriority w:val="0"/>
    <w:pPr>
      <w:widowControl w:val="0"/>
      <w:ind w:left="1260"/>
      <w:jc w:val="both"/>
    </w:pPr>
    <w:rPr>
      <w:rFonts w:ascii="Calibri" w:hAnsi="Calibri" w:eastAsia="宋体" w:cs="Times New Roman"/>
      <w:kern w:val="2"/>
      <w:sz w:val="21"/>
      <w:szCs w:val="24"/>
      <w:lang w:val="en-US" w:eastAsia="zh-CN" w:bidi="ar-SA"/>
    </w:rPr>
  </w:style>
  <w:style w:type="paragraph" w:styleId="20">
    <w:name w:val="toc 2"/>
    <w:basedOn w:val="1"/>
    <w:next w:val="1"/>
    <w:autoRedefine/>
    <w:qFormat/>
    <w:uiPriority w:val="0"/>
    <w:pPr>
      <w:ind w:left="564" w:leftChars="200" w:firstLine="0" w:firstLineChars="0"/>
    </w:pPr>
    <w:rPr>
      <w:rFonts w:ascii="Times New Roman" w:hAnsi="Times New Roman"/>
    </w:rPr>
  </w:style>
  <w:style w:type="paragraph" w:styleId="21">
    <w:name w:val="Normal (Web)"/>
    <w:basedOn w:val="1"/>
    <w:autoRedefine/>
    <w:qFormat/>
    <w:uiPriority w:val="0"/>
    <w:rPr>
      <w:sz w:val="24"/>
    </w:rPr>
  </w:style>
  <w:style w:type="paragraph" w:styleId="22">
    <w:name w:val="Body Text First Indent 2"/>
    <w:next w:val="19"/>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autoRedefine/>
    <w:qFormat/>
    <w:uiPriority w:val="0"/>
    <w:rPr>
      <w:b/>
    </w:rPr>
  </w:style>
  <w:style w:type="character" w:styleId="27">
    <w:name w:val="page number"/>
    <w:autoRedefine/>
    <w:qFormat/>
    <w:uiPriority w:val="0"/>
  </w:style>
  <w:style w:type="character" w:styleId="28">
    <w:name w:val="Emphasis"/>
    <w:basedOn w:val="25"/>
    <w:autoRedefine/>
    <w:qFormat/>
    <w:uiPriority w:val="0"/>
    <w:rPr>
      <w:i/>
    </w:rPr>
  </w:style>
  <w:style w:type="character" w:styleId="29">
    <w:name w:val="Hyperlink"/>
    <w:basedOn w:val="25"/>
    <w:autoRedefine/>
    <w:qFormat/>
    <w:uiPriority w:val="0"/>
    <w:rPr>
      <w:color w:val="0000FF"/>
      <w:u w:val="single"/>
    </w:rPr>
  </w:style>
  <w:style w:type="character" w:customStyle="1" w:styleId="30">
    <w:name w:val="font21"/>
    <w:basedOn w:val="25"/>
    <w:autoRedefine/>
    <w:qFormat/>
    <w:uiPriority w:val="0"/>
    <w:rPr>
      <w:rFonts w:hint="eastAsia" w:ascii="宋体" w:hAnsi="宋体" w:eastAsia="宋体" w:cs="宋体"/>
      <w:color w:val="000000"/>
      <w:sz w:val="20"/>
      <w:szCs w:val="20"/>
      <w:u w:val="none"/>
    </w:rPr>
  </w:style>
  <w:style w:type="character" w:customStyle="1" w:styleId="31">
    <w:name w:val="font51"/>
    <w:basedOn w:val="25"/>
    <w:autoRedefine/>
    <w:qFormat/>
    <w:uiPriority w:val="0"/>
    <w:rPr>
      <w:rFonts w:hint="default" w:ascii="Times New Roman" w:hAnsi="Times New Roman" w:cs="Times New Roman"/>
      <w:color w:val="000000"/>
      <w:sz w:val="20"/>
      <w:szCs w:val="20"/>
      <w:u w:val="none"/>
    </w:rPr>
  </w:style>
  <w:style w:type="character" w:customStyle="1" w:styleId="32">
    <w:name w:val="font31"/>
    <w:basedOn w:val="25"/>
    <w:autoRedefine/>
    <w:qFormat/>
    <w:uiPriority w:val="0"/>
    <w:rPr>
      <w:rFonts w:hint="eastAsia" w:ascii="宋体" w:hAnsi="宋体" w:eastAsia="宋体" w:cs="宋体"/>
      <w:color w:val="000000"/>
      <w:sz w:val="20"/>
      <w:szCs w:val="20"/>
      <w:u w:val="none"/>
    </w:rPr>
  </w:style>
  <w:style w:type="character" w:customStyle="1" w:styleId="33">
    <w:name w:val="font41"/>
    <w:basedOn w:val="25"/>
    <w:autoRedefine/>
    <w:qFormat/>
    <w:uiPriority w:val="0"/>
    <w:rPr>
      <w:rFonts w:hint="default" w:ascii="Times New Roman" w:hAnsi="Times New Roman" w:cs="Times New Roman"/>
      <w:color w:val="00B050"/>
      <w:sz w:val="20"/>
      <w:szCs w:val="20"/>
      <w:u w:val="none"/>
    </w:rPr>
  </w:style>
  <w:style w:type="character" w:customStyle="1" w:styleId="34">
    <w:name w:val="font11"/>
    <w:basedOn w:val="25"/>
    <w:autoRedefine/>
    <w:qFormat/>
    <w:uiPriority w:val="0"/>
    <w:rPr>
      <w:rFonts w:hint="eastAsia" w:ascii="宋体" w:hAnsi="宋体" w:eastAsia="宋体" w:cs="宋体"/>
      <w:color w:val="00B050"/>
      <w:sz w:val="20"/>
      <w:szCs w:val="20"/>
      <w:u w:val="none"/>
    </w:rPr>
  </w:style>
  <w:style w:type="character" w:customStyle="1" w:styleId="35">
    <w:name w:val="font01"/>
    <w:basedOn w:val="25"/>
    <w:autoRedefine/>
    <w:qFormat/>
    <w:uiPriority w:val="0"/>
    <w:rPr>
      <w:rFonts w:hint="default" w:ascii="Times New Roman" w:hAnsi="Times New Roman" w:cs="Times New Roman"/>
      <w:color w:val="000000"/>
      <w:sz w:val="24"/>
      <w:szCs w:val="24"/>
      <w:u w:val="none"/>
    </w:rPr>
  </w:style>
  <w:style w:type="character" w:customStyle="1" w:styleId="36">
    <w:name w:val="font61"/>
    <w:basedOn w:val="25"/>
    <w:autoRedefine/>
    <w:qFormat/>
    <w:uiPriority w:val="0"/>
    <w:rPr>
      <w:rFonts w:hint="default" w:ascii="Times New Roman" w:hAnsi="Times New Roman" w:cs="Times New Roman"/>
      <w:color w:val="000000"/>
      <w:sz w:val="20"/>
      <w:szCs w:val="20"/>
      <w:u w:val="none"/>
    </w:rPr>
  </w:style>
  <w:style w:type="character" w:customStyle="1" w:styleId="37">
    <w:name w:val="font81"/>
    <w:basedOn w:val="25"/>
    <w:autoRedefine/>
    <w:qFormat/>
    <w:uiPriority w:val="0"/>
    <w:rPr>
      <w:rFonts w:hint="eastAsia" w:ascii="宋体" w:hAnsi="宋体" w:eastAsia="宋体" w:cs="宋体"/>
      <w:color w:val="000000"/>
      <w:sz w:val="20"/>
      <w:szCs w:val="20"/>
      <w:u w:val="none"/>
    </w:rPr>
  </w:style>
  <w:style w:type="paragraph" w:customStyle="1" w:styleId="38">
    <w:name w:val="Default"/>
    <w:autoRedefine/>
    <w:qFormat/>
    <w:uiPriority w:val="0"/>
    <w:pPr>
      <w:widowControl w:val="0"/>
      <w:autoSpaceDE w:val="0"/>
      <w:autoSpaceDN w:val="0"/>
      <w:adjustRightInd w:val="0"/>
    </w:pPr>
    <w:rPr>
      <w:rFonts w:ascii="华文细黑" w:eastAsia="华文细黑" w:cs="华文细黑" w:hAnsiTheme="minorHAnsi"/>
      <w:color w:val="000000"/>
      <w:sz w:val="24"/>
      <w:szCs w:val="24"/>
      <w:lang w:val="en-US" w:eastAsia="zh-CN" w:bidi="ar-SA"/>
    </w:rPr>
  </w:style>
  <w:style w:type="character" w:customStyle="1" w:styleId="39">
    <w:name w:val="文档结构图 Char"/>
    <w:basedOn w:val="25"/>
    <w:link w:val="7"/>
    <w:autoRedefine/>
    <w:qFormat/>
    <w:uiPriority w:val="0"/>
    <w:rPr>
      <w:rFonts w:ascii="宋体" w:hAnsiTheme="minorHAnsi" w:cstheme="minorBidi"/>
      <w:kern w:val="2"/>
      <w:sz w:val="18"/>
      <w:szCs w:val="18"/>
    </w:rPr>
  </w:style>
  <w:style w:type="character" w:customStyle="1" w:styleId="40">
    <w:name w:val="批注框文本 Char"/>
    <w:basedOn w:val="25"/>
    <w:link w:val="15"/>
    <w:autoRedefine/>
    <w:qFormat/>
    <w:uiPriority w:val="0"/>
    <w:rPr>
      <w:rFonts w:eastAsia="仿宋" w:asciiTheme="minorHAnsi" w:hAnsiTheme="minorHAnsi" w:cstheme="minorBidi"/>
      <w:kern w:val="2"/>
      <w:sz w:val="18"/>
      <w:szCs w:val="18"/>
    </w:rPr>
  </w:style>
  <w:style w:type="paragraph" w:customStyle="1" w:styleId="41">
    <w:name w:val="卧龙一级标题"/>
    <w:basedOn w:val="1"/>
    <w:autoRedefine/>
    <w:qFormat/>
    <w:uiPriority w:val="0"/>
    <w:pPr>
      <w:keepLines/>
      <w:spacing w:beforeLines="200" w:afterLines="100" w:line="400" w:lineRule="exact"/>
      <w:jc w:val="center"/>
      <w:outlineLvl w:val="0"/>
    </w:pPr>
    <w:rPr>
      <w:rFonts w:ascii="黑体" w:hAnsi="Times New Roman" w:eastAsia="黑体" w:cs="Times New Roman"/>
      <w:b/>
      <w:bCs/>
      <w:kern w:val="44"/>
      <w:sz w:val="36"/>
      <w:szCs w:val="36"/>
    </w:rPr>
  </w:style>
  <w:style w:type="paragraph" w:customStyle="1" w:styleId="42">
    <w:name w:val="卧龙二级"/>
    <w:basedOn w:val="1"/>
    <w:autoRedefine/>
    <w:qFormat/>
    <w:uiPriority w:val="0"/>
    <w:pPr>
      <w:keepLines/>
      <w:spacing w:beforeLines="100" w:afterLines="100" w:line="400" w:lineRule="exact"/>
      <w:outlineLvl w:val="1"/>
    </w:pPr>
    <w:rPr>
      <w:rFonts w:ascii="黑体" w:hAnsi="Times New Roman" w:eastAsia="黑体" w:cs="Times New Roman"/>
      <w:bCs/>
      <w:sz w:val="32"/>
      <w:szCs w:val="32"/>
    </w:rPr>
  </w:style>
  <w:style w:type="paragraph" w:customStyle="1" w:styleId="43">
    <w:name w:val="卧龙三级"/>
    <w:basedOn w:val="1"/>
    <w:autoRedefine/>
    <w:qFormat/>
    <w:uiPriority w:val="0"/>
    <w:pPr>
      <w:widowControl/>
      <w:spacing w:beforeLines="50" w:afterLines="50" w:line="560" w:lineRule="exact"/>
      <w:jc w:val="left"/>
    </w:pPr>
    <w:rPr>
      <w:rFonts w:ascii="黑体" w:hAnsi="Times New Roman" w:eastAsia="黑体" w:cs="Times New Roman"/>
      <w:kern w:val="0"/>
      <w:sz w:val="30"/>
      <w:szCs w:val="30"/>
    </w:rPr>
  </w:style>
  <w:style w:type="character" w:customStyle="1" w:styleId="44">
    <w:name w:val="font91"/>
    <w:basedOn w:val="25"/>
    <w:autoRedefine/>
    <w:qFormat/>
    <w:uiPriority w:val="0"/>
    <w:rPr>
      <w:rFonts w:hint="eastAsia" w:ascii="宋体" w:hAnsi="宋体" w:eastAsia="宋体" w:cs="宋体"/>
      <w:b/>
      <w:color w:val="000000"/>
      <w:sz w:val="18"/>
      <w:szCs w:val="18"/>
      <w:u w:val="none"/>
    </w:rPr>
  </w:style>
  <w:style w:type="character" w:customStyle="1" w:styleId="45">
    <w:name w:val="font71"/>
    <w:basedOn w:val="25"/>
    <w:autoRedefine/>
    <w:qFormat/>
    <w:uiPriority w:val="0"/>
    <w:rPr>
      <w:rFonts w:hint="eastAsia" w:ascii="宋体" w:hAnsi="宋体" w:eastAsia="宋体" w:cs="宋体"/>
      <w:b/>
      <w:color w:val="000000"/>
      <w:sz w:val="18"/>
      <w:szCs w:val="18"/>
      <w:u w:val="none"/>
    </w:rPr>
  </w:style>
  <w:style w:type="paragraph" w:customStyle="1" w:styleId="46">
    <w:name w:val="正文文本2"/>
    <w:basedOn w:val="1"/>
    <w:link w:val="51"/>
    <w:autoRedefine/>
    <w:qFormat/>
    <w:uiPriority w:val="0"/>
    <w:pPr>
      <w:shd w:val="clear" w:color="auto" w:fill="FFFFFF"/>
      <w:spacing w:before="1020" w:after="540" w:line="0" w:lineRule="atLeast"/>
    </w:pPr>
    <w:rPr>
      <w:rFonts w:ascii="Arial Unicode MS" w:hAnsi="Arial Unicode MS" w:eastAsia="Arial Unicode MS" w:cs="Arial Unicode MS"/>
      <w:spacing w:val="30"/>
      <w:sz w:val="37"/>
      <w:szCs w:val="37"/>
    </w:rPr>
  </w:style>
  <w:style w:type="paragraph" w:customStyle="1" w:styleId="47">
    <w:name w:val="正文文本 (18)"/>
    <w:basedOn w:val="1"/>
    <w:link w:val="49"/>
    <w:autoRedefine/>
    <w:qFormat/>
    <w:uiPriority w:val="0"/>
    <w:pPr>
      <w:shd w:val="clear" w:color="auto" w:fill="FFFFFF"/>
      <w:spacing w:after="540" w:line="0" w:lineRule="atLeast"/>
      <w:jc w:val="distribute"/>
    </w:pPr>
    <w:rPr>
      <w:rFonts w:ascii="Times New Roman" w:hAnsi="Times New Roman" w:eastAsia="Times New Roman" w:cs="Times New Roman"/>
      <w:b/>
      <w:bCs/>
      <w:sz w:val="39"/>
      <w:szCs w:val="39"/>
    </w:rPr>
  </w:style>
  <w:style w:type="character" w:customStyle="1" w:styleId="48">
    <w:name w:val="正文文本 (18) + Arial Unicode MS1"/>
    <w:basedOn w:val="49"/>
    <w:autoRedefine/>
    <w:qFormat/>
    <w:uiPriority w:val="0"/>
    <w:rPr>
      <w:rFonts w:ascii="Arial Unicode MS" w:hAnsi="Arial Unicode MS" w:eastAsia="Arial Unicode MS" w:cs="Arial Unicode MS"/>
      <w:color w:val="000000"/>
      <w:spacing w:val="30"/>
      <w:w w:val="100"/>
      <w:position w:val="0"/>
      <w:sz w:val="37"/>
      <w:szCs w:val="37"/>
      <w:lang w:val="zh-CN"/>
    </w:rPr>
  </w:style>
  <w:style w:type="character" w:customStyle="1" w:styleId="49">
    <w:name w:val="正文文本 (18)_"/>
    <w:basedOn w:val="25"/>
    <w:link w:val="47"/>
    <w:autoRedefine/>
    <w:qFormat/>
    <w:uiPriority w:val="0"/>
    <w:rPr>
      <w:rFonts w:ascii="Times New Roman" w:hAnsi="Times New Roman" w:eastAsia="Times New Roman" w:cs="Times New Roman"/>
      <w:b/>
      <w:bCs/>
      <w:sz w:val="39"/>
      <w:szCs w:val="39"/>
    </w:rPr>
  </w:style>
  <w:style w:type="character" w:customStyle="1" w:styleId="50">
    <w:name w:val="正文文本 + 14.5 pt8"/>
    <w:basedOn w:val="51"/>
    <w:autoRedefine/>
    <w:qFormat/>
    <w:uiPriority w:val="0"/>
    <w:rPr>
      <w:color w:val="000000"/>
      <w:spacing w:val="0"/>
      <w:w w:val="100"/>
      <w:position w:val="0"/>
      <w:sz w:val="29"/>
      <w:szCs w:val="29"/>
      <w:lang w:val="zh-CN"/>
    </w:rPr>
  </w:style>
  <w:style w:type="character" w:customStyle="1" w:styleId="51">
    <w:name w:val="正文文本_"/>
    <w:basedOn w:val="25"/>
    <w:link w:val="46"/>
    <w:autoRedefine/>
    <w:qFormat/>
    <w:uiPriority w:val="0"/>
    <w:rPr>
      <w:rFonts w:ascii="Arial Unicode MS" w:hAnsi="Arial Unicode MS" w:eastAsia="Arial Unicode MS" w:cs="Arial Unicode MS"/>
      <w:spacing w:val="30"/>
      <w:sz w:val="37"/>
      <w:szCs w:val="37"/>
    </w:rPr>
  </w:style>
  <w:style w:type="character" w:customStyle="1" w:styleId="52">
    <w:name w:val="正文文本 + 14.5 pt11"/>
    <w:basedOn w:val="51"/>
    <w:autoRedefine/>
    <w:qFormat/>
    <w:uiPriority w:val="0"/>
    <w:rPr>
      <w:color w:val="000000"/>
      <w:spacing w:val="0"/>
      <w:w w:val="100"/>
      <w:position w:val="0"/>
      <w:sz w:val="29"/>
      <w:szCs w:val="29"/>
      <w:lang w:val="zh-CN"/>
    </w:rPr>
  </w:style>
  <w:style w:type="paragraph" w:customStyle="1" w:styleId="53">
    <w:name w:val="正文文本 (7)3"/>
    <w:basedOn w:val="1"/>
    <w:link w:val="55"/>
    <w:autoRedefine/>
    <w:qFormat/>
    <w:uiPriority w:val="0"/>
    <w:pPr>
      <w:shd w:val="clear" w:color="auto" w:fill="FFFFFF"/>
      <w:spacing w:before="180" w:after="540" w:line="0" w:lineRule="atLeast"/>
    </w:pPr>
    <w:rPr>
      <w:rFonts w:ascii="Arial Unicode MS" w:hAnsi="Arial Unicode MS" w:eastAsia="Arial Unicode MS" w:cs="Arial Unicode MS"/>
      <w:sz w:val="29"/>
      <w:szCs w:val="29"/>
    </w:rPr>
  </w:style>
  <w:style w:type="character" w:customStyle="1" w:styleId="54">
    <w:name w:val="正文文本 (7) + 18.5 pt"/>
    <w:basedOn w:val="55"/>
    <w:autoRedefine/>
    <w:qFormat/>
    <w:uiPriority w:val="0"/>
    <w:rPr>
      <w:color w:val="000000"/>
      <w:spacing w:val="30"/>
      <w:w w:val="100"/>
      <w:position w:val="0"/>
      <w:sz w:val="37"/>
      <w:szCs w:val="37"/>
      <w:lang w:val="zh-CN"/>
    </w:rPr>
  </w:style>
  <w:style w:type="character" w:customStyle="1" w:styleId="55">
    <w:name w:val="正文文本 (7)_"/>
    <w:basedOn w:val="25"/>
    <w:link w:val="53"/>
    <w:autoRedefine/>
    <w:qFormat/>
    <w:uiPriority w:val="0"/>
    <w:rPr>
      <w:rFonts w:ascii="Arial Unicode MS" w:hAnsi="Arial Unicode MS" w:eastAsia="Arial Unicode MS" w:cs="Arial Unicode MS"/>
      <w:sz w:val="29"/>
      <w:szCs w:val="29"/>
    </w:rPr>
  </w:style>
  <w:style w:type="character" w:customStyle="1" w:styleId="56">
    <w:name w:val="正文文本 + 14.5 pt6"/>
    <w:basedOn w:val="51"/>
    <w:autoRedefine/>
    <w:qFormat/>
    <w:uiPriority w:val="0"/>
    <w:rPr>
      <w:color w:val="000000"/>
      <w:spacing w:val="-20"/>
      <w:w w:val="100"/>
      <w:position w:val="0"/>
      <w:sz w:val="29"/>
      <w:szCs w:val="29"/>
      <w:lang w:val="zh-CN"/>
    </w:rPr>
  </w:style>
  <w:style w:type="character" w:customStyle="1" w:styleId="57">
    <w:name w:val="正文文本 + 14.5 pt7"/>
    <w:basedOn w:val="51"/>
    <w:autoRedefine/>
    <w:qFormat/>
    <w:uiPriority w:val="0"/>
    <w:rPr>
      <w:color w:val="000000"/>
      <w:spacing w:val="0"/>
      <w:w w:val="100"/>
      <w:position w:val="0"/>
      <w:sz w:val="29"/>
      <w:szCs w:val="29"/>
      <w:lang w:val="zh-CN"/>
    </w:rPr>
  </w:style>
  <w:style w:type="paragraph" w:customStyle="1" w:styleId="58">
    <w:name w:val="_Style 2"/>
    <w:basedOn w:val="1"/>
    <w:autoRedefine/>
    <w:qFormat/>
    <w:uiPriority w:val="0"/>
    <w:pPr>
      <w:snapToGrid w:val="0"/>
      <w:spacing w:line="400" w:lineRule="exact"/>
      <w:ind w:firstLine="420" w:firstLineChars="200"/>
    </w:pPr>
    <w:rPr>
      <w:rFonts w:cs="Calibri"/>
      <w:sz w:val="24"/>
      <w:szCs w:val="21"/>
    </w:rPr>
  </w:style>
  <w:style w:type="paragraph" w:customStyle="1" w:styleId="59">
    <w:name w:val="样式1"/>
    <w:basedOn w:val="1"/>
    <w:next w:val="1"/>
    <w:qFormat/>
    <w:uiPriority w:val="0"/>
    <w:pPr>
      <w:keepLines/>
      <w:numPr>
        <w:ilvl w:val="0"/>
        <w:numId w:val="1"/>
      </w:numPr>
      <w:spacing w:after="50" w:afterLines="50"/>
      <w:ind w:firstLine="0" w:firstLineChars="0"/>
      <w:jc w:val="center"/>
      <w:outlineLvl w:val="0"/>
    </w:pPr>
    <w:rPr>
      <w:rFonts w:ascii="Times New Roman" w:hAnsi="Times New Roman" w:eastAsia="黑体" w:cs="Times New Roman"/>
      <w:bCs/>
      <w:color w:val="000000" w:themeColor="text1"/>
      <w:kern w:val="28"/>
      <w:sz w:val="44"/>
      <w:szCs w:val="52"/>
      <w14:textFill>
        <w14:solidFill>
          <w14:schemeClr w14:val="tx1"/>
        </w14:solidFill>
      </w14:textFill>
    </w:rPr>
  </w:style>
  <w:style w:type="paragraph" w:customStyle="1" w:styleId="60">
    <w:name w:val="样式2"/>
    <w:basedOn w:val="1"/>
    <w:qFormat/>
    <w:uiPriority w:val="0"/>
    <w:rPr>
      <w:rFonts w:eastAsia="宋体" w:asciiTheme="minorAscii" w:hAnsiTheme="minorAscii"/>
    </w:rPr>
  </w:style>
  <w:style w:type="character" w:customStyle="1" w:styleId="61">
    <w:name w:val="标题 3 Char"/>
    <w:link w:val="4"/>
    <w:qFormat/>
    <w:uiPriority w:val="0"/>
    <w:rPr>
      <w:rFonts w:ascii="仿宋_GB2312" w:hAnsi="仿宋_GB2312" w:eastAsia="黑体"/>
      <w:snapToGrid w:val="0"/>
      <w:sz w:val="30"/>
      <w:szCs w:val="30"/>
    </w:rPr>
  </w:style>
  <w:style w:type="character" w:customStyle="1" w:styleId="62">
    <w:name w:val="标题 4 Char"/>
    <w:link w:val="5"/>
    <w:qFormat/>
    <w:uiPriority w:val="0"/>
    <w:rPr>
      <w:rFonts w:ascii="Arial" w:hAnsi="Arial" w:eastAsia="黑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1563</Words>
  <Characters>1874</Characters>
  <Lines>628</Lines>
  <Paragraphs>176</Paragraphs>
  <TotalTime>0</TotalTime>
  <ScaleCrop>false</ScaleCrop>
  <LinksUpToDate>false</LinksUpToDate>
  <CharactersWithSpaces>2021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2018-04-10T08:49:00Z</dcterms:created>
  <dc:creator>Administrator</dc:creator>
  <cp:lastModifiedBy>好</cp:lastModifiedBy>
  <cp:lastPrinted>2020-06-15T09:23:00Z</cp:lastPrinted>
  <dcterms:modified xsi:type="dcterms:W3CDTF">2026-08-26T08:34:25Z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C45F28E6095E48468A5F618F260B995D_13</vt:lpwstr>
  </property>
  <property fmtid="{D5CDD505-2E9C-101B-9397-08002B2CF9AE}" pid="4" name="KSOTemplateDocerSaveRecord">
    <vt:lpwstr>eyJoZGlkIjoiMThlNGU0ZGIyOWYyNTk2YWM5ZTFiZTg1YjYzMmMxY2QiLCJ1c2VySWQiOiIxMjA0MDI5NTUzIn0=</vt:lpwstr>
  </property>
</Properties>
</file>