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right="0"/>
        <w:jc w:val="both"/>
        <w:rPr>
          <w:rFonts w:ascii="方正小标宋_GBK" w:eastAsia="方正小标宋_GBK"/>
          <w:b w:val="0"/>
          <w:bCs w:val="0"/>
          <w:i w:val="0"/>
          <w:iCs w:val="0"/>
          <w:caps w:val="0"/>
          <w:smallCaps w:val="0"/>
          <w:vanish w:val="0"/>
          <w:color w:val="000000"/>
          <w:spacing w:val="0"/>
          <w:sz w:val="36"/>
          <w:szCs w:val="36"/>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right="0"/>
        <w:jc w:val="both"/>
        <w:rPr>
          <w:rFonts w:ascii="方正小标宋_GBK" w:eastAsia="方正小标宋_GBK"/>
          <w:b w:val="0"/>
          <w:bCs w:val="0"/>
          <w:i w:val="0"/>
          <w:iCs w:val="0"/>
          <w:caps w:val="0"/>
          <w:smallCaps w:val="0"/>
          <w:vanish w:val="0"/>
          <w:color w:val="000000"/>
          <w:spacing w:val="0"/>
          <w:sz w:val="36"/>
          <w:szCs w:val="36"/>
        </w:rPr>
      </w:pPr>
      <w:bookmarkStart w:id="0" w:name="_GoBack"/>
      <w:r>
        <w:rPr>
          <w:rFonts w:ascii="方正小标宋_GBK" w:eastAsia="方正小标宋_GBK" w:hint="eastAsia"/>
          <w:b w:val="0"/>
          <w:bCs w:val="0"/>
          <w:i w:val="0"/>
          <w:iCs w:val="0"/>
          <w:caps w:val="0"/>
          <w:smallCaps w:val="0"/>
          <w:vanish w:val="0"/>
          <w:color w:val="000000"/>
          <w:spacing w:val="0"/>
          <w:sz w:val="36"/>
          <w:szCs w:val="36"/>
        </w:rPr>
        <w:t>若尔盖县索格藏寺寺庙管理委员会2024年部门预算</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right="0"/>
        <w:jc w:val="center"/>
        <w:rPr>
          <w:rFonts w:ascii="方正小标宋_GBK" w:eastAsia="方正小标宋_GBK" w:hint="eastAsia"/>
          <w:b w:val="0"/>
          <w:bCs w:val="0"/>
          <w:i w:val="0"/>
          <w:iCs w:val="0"/>
          <w:caps w:val="0"/>
          <w:smallCaps w:val="0"/>
          <w:vanish w:val="0"/>
          <w:color w:val="000000"/>
          <w:spacing w:val="0"/>
          <w:sz w:val="36"/>
          <w:szCs w:val="36"/>
        </w:rPr>
      </w:pPr>
      <w:r>
        <w:rPr>
          <w:rFonts w:ascii="方正小标宋_GBK" w:eastAsia="方正小标宋_GBK" w:hint="eastAsia"/>
          <w:b w:val="0"/>
          <w:bCs w:val="0"/>
          <w:i w:val="0"/>
          <w:iCs w:val="0"/>
          <w:caps w:val="0"/>
          <w:smallCaps w:val="0"/>
          <w:vanish w:val="0"/>
          <w:color w:val="000000"/>
          <w:spacing w:val="0"/>
          <w:sz w:val="36"/>
          <w:szCs w:val="36"/>
        </w:rPr>
        <w:t>（本级）</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bookmarkEnd w:id="0"/>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jc w:val="center"/>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2024年1 月 25日</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jc w:val="center"/>
        <w:rPr>
          <w:rFonts w:ascii="仿宋_GB2312" w:eastAsia="仿宋_GB2312" w:hint="eastAsia"/>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b w:val="0"/>
          <w:bCs w:val="0"/>
          <w:i w:val="0"/>
          <w:iCs w:val="0"/>
          <w:caps w:val="0"/>
          <w:smallCaps w:val="0"/>
          <w:vanish w:val="0"/>
          <w:color w:val="000000"/>
          <w:spacing w:val="0"/>
          <w:sz w:val="32"/>
          <w:szCs w:val="32"/>
        </w:rPr>
      </w:pPr>
    </w:p>
    <w:p>
      <w:pPr>
        <w:pStyle w:val="95"/>
        <w:shd w:val="clear" w:color="auto" w:fill="FFFFFF"/>
        <w:spacing w:before="120" w:beforeAutospacing="0" w:after="120" w:afterAutospacing="0" w:line="560" w:lineRule="exact"/>
        <w:ind w:lef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目录</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一、基本职能及主要工作</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（一）部门职能简介</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（二）2024年重点工作</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二、部门预算单位构成</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三、收支预算情况说明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（一）收入预算情况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（二）支出预算情况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四、财政拨款收支预算情况说明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五、一般公共预算当年拨款情况说明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（一）一般公共预算当年拨款规模变化情况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（二）一般公共预算当年拨款结构情况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（三）一般公共预算当年拨款具体使用情况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六、一般公共预算基本支出情况说明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七、“三公”经费财政拨款预算安排情况说明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八、政府性基金预算支出情况说明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九、其他重要事项的情况说明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十、名称解释</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tbl>
      <w:tblPr>
        <w:jc w:val="left"/>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shd w:val="clear" w:color="auto" w:fill="FFFFFF"/>
        <w:tblCellMar>
          <w:top w:w="30" w:type="dxa"/>
          <w:left w:w="30" w:type="dxa"/>
          <w:bottom w:w="30" w:type="dxa"/>
          <w:right w:w="30" w:type="dxa"/>
        </w:tblCellMar>
      </w:tblPr>
      <w:tblGrid>
        <w:gridCol w:w="8328"/>
      </w:tblGrid>
      <w:tr>
        <w:tc>
          <w:tcPr>
            <w:shd w:val="clear" w:color="auto" w:fill="FFFFFF"/>
          </w:tcPr>
          <w:p>
            <w:pPr>
              <w:spacing w:line="560" w:lineRule="exact"/>
              <w:ind w:left="0" w:right="0" w:firstLineChars="200" w:firstLine="640"/>
              <w:rPr>
                <w:rFonts w:ascii="仿宋_GB2312" w:eastAsia="仿宋_GB2312" w:hint="eastAsia"/>
                <w:caps w:val="0"/>
                <w:smallCaps w:val="0"/>
                <w:vanish w:val="0"/>
                <w:spacing w:val="0"/>
                <w:sz w:val="32"/>
                <w:szCs w:val="32"/>
              </w:rPr>
            </w:pPr>
          </w:p>
        </w:tc>
      </w:tr>
    </w:tbl>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一、基本职能及主要工作</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（一）索格藏寺寺庙管理委员会职能简介</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是政府的职能部门。索格藏寺管理委员会在县委、县政府的坚强领导和县委统战部、县民宗局的具体业务指导下，全面贯彻落实党的统一战线和民族宗教政策，认真贯彻落实习近平总书记来川视察重要指示精神，紧紧围绕省委“总牵引、总抓手、总思路”战略部署、按照省委、州委和县委关于加强和创新寺庙管理一系列决策部署，以解决寺庙突出问题为抓手，以维护寺庙和谐稳定为目标，切实推进依法、主动、综合三个治理，认真履行管理、教育、服务三项职责，全面落实管僧人、财务、场所、活动、教务五项任务，寺庙管理各项工作取得了实效，维护了寺庙领域的持续稳定。</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（二）索格藏寺寺庙管理委员会2024年重点工作</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维护寺庙稳定，促进索格藏寺健康发展。坚持反分裂斗争各项工作不松劲。全力深化寺庙依法管理创新工作。抓好寺庙新一届民管会班子建设、寺庙高层、重要教职人员的培养培训工作。努力完成县委、县政府交办的其他临时性工作任务。</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二、部门预算单位构成</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若尔盖县索格藏寺寺庙管理委员会属一级预算单位，下属二级预算单位0个，其中：行政单位1个；参照公务员法管理的事业单位0个；其他事业单位0个。</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三、收支预算情况说明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按照综合预算的原则，若尔盖县索格藏寺寺庙管理委员会属一级预算单位，下属二级预算单位0个，其中：行政单位1个；参照公务员法管理的事业单位0个；其他事业单位0个。所有收入和支出均纳入部门预算管理。收入包括：一般公共预算拨款收入275.43万元，事业收入0万元，其他收入0万元，上年结转0万元；支出包括：一般公共服务支出204.58万元，教育支出0万元，文化体育与传媒支出0万元，社会保障和就业支出34.06万元，医疗卫生与计划生育支出14.99万元，住房保障支出21.8万元。若尔盖县索格藏寺寺庙管理委员会2024年收支总预算275.43万元,比2023年收支预算总数减少24.86万元，主要原因:职工工资变动,人员增加。</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（一）收入预算情况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若尔盖县索格藏寺寺庙管理委员会2024年收入预算275.43万元，其中：上年结转0万元，占0%；一般公共预算拨款收入275.43万元，占100%；事业收入0万元，占0%；其他收入0万元，占0%。</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（二）支出预算情况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 xml:space="preserve">  若尔盖县索格藏寺寺庙管理委员会2024年支出预算275.43万元，其中：基本支出275.43万元，占100%。</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四、财政拨款收支预算情况说明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财政拨款收支总预算275.43万元,比2023年财政拨款收支总预算减少24.86万元，主要原因:职工工资变动，人员增加。收入包括：本年一般公共预算拨款收入275.43万元，上年结转财政拨款资金0万元；</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支出包括：一般公共服务支出204.58万元，教育支出0万元，文化体育与传媒支出0万元，社会保障和就业支出34.06万元，医疗卫生与计划生育支出14.99万元，住房保障支出21.8万元。</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五、一般公共预算当年拨款情况说明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（一）一般公共预算当年拨款规模变化情况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若尔盖县索格藏寺寺庙管理委员会2024年一般公共预算当年拨款275.43万元，比2023年预算数减少22.86万元，主要是基本支出减少22.86万元，主要原因:职工工资变动，人员增加。</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（二）一般公共预算当年拨款结构情况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一般公共服务支出204.58万元，占73.7%；教育支出0万元，占0%；文化体育与传媒支出0万元，占0%；社会保障和就业支出34.06万元，占12.2%；医疗卫生与计划生育支出14.99万元，占5.4%；住房保障支出21.8万元，占7.8%；</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(三）一般公共预算当年拨款具体使用情况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一般公共服务（类）宣传事务（款）行政运行（项目）2024年预算数为275.43万元，主要用于:人员经费。</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六、一般公共预算基本支出情况说明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一般公共预算基本支出275.43万元，其中：人员经费241.61万元，主要包括：基本工资、津贴补贴、奖金、其他社会保障缴费、绩效工资、机关事业单位基本养老保险缴费、职业年金缴费、其他工资福利支出、离休费、奖励金、住房公积金、其他对个人和家庭的补助支出。公用经费33.81万元，主要包括：办公费、印刷费、手续费、水费、电费、邮电费、差旅费、维修（护）费、租赁费、会议费、培训费、劳务费、工会经费、福利费、其他交通工具运行维护费、其他商品和服务支出。</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七、“三公”经费财政拨款预算安排情况说明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若尔盖县索格藏寺寺庙管理委员会2024年“三公”经费财政拨款预算数10.35万元，其中：因公出国（境）经费0万元，公务接待费0.35万元，公务用车购置及运行维护费10万元。</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（一）2024年因公出国（境）经费0万元。较2022年预算经费0万元增长0%，主要原因是：无</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（二）2024年公务接待费0.35万元。较2023年预算经费0.05万元增长12.5%，主要原因是：调整公用经费标准。</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（三）2024年公务用车购置及运行维护费10万元。较2023年预算经费10万元增长0%，主要原因：与2023年持平。</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八、政府性基金预算支出情况说明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若尔盖县索格藏寺寺庙管理委员会2024年政府性基金预算拨款安排的支出0万元。较2023年预算经费0万元增长0%，主要原因是：无</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九、其他重要事项的情况说明</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（一）机关运行经费</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若尔盖县索格藏寺寺庙管理委员会2024年机关运行经费财政拨款预算为33.81万元，比2023年预算增加13.57万元，增长40.13%主要原因是:调整公用经费标准以及人员变动。</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（二）政府采购情况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2024年若尔盖县索格藏寺寺庙管理委员会安排政府采购预算0万元，主要用于：无</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（三）国有资产占有使用情况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无</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（四）绩效目标设置情况</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val="0"/>
          <w:bCs w:val="0"/>
          <w:i w:val="0"/>
          <w:iCs w:val="0"/>
          <w:caps w:val="0"/>
          <w:smallCaps w:val="0"/>
          <w:vanish w:val="0"/>
          <w:color w:val="000000"/>
          <w:spacing w:val="0"/>
          <w:sz w:val="32"/>
          <w:szCs w:val="32"/>
        </w:rPr>
        <w:t>2024年若尔盖县索格藏寺寺庙管理委员会通用项目和专用项目均按要求实行绩效目标管理，涉及一般公共预算当年拨款275.43万元。</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bCs/>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十、名词解释</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（一）财政拨款收入：</w:t>
      </w:r>
      <w:r>
        <w:rPr>
          <w:rFonts w:ascii="仿宋_GB2312" w:eastAsia="仿宋_GB2312" w:hint="eastAsia"/>
          <w:b w:val="0"/>
          <w:bCs w:val="0"/>
          <w:i w:val="0"/>
          <w:iCs w:val="0"/>
          <w:caps w:val="0"/>
          <w:smallCaps w:val="0"/>
          <w:vanish w:val="0"/>
          <w:color w:val="000000"/>
          <w:spacing w:val="0"/>
          <w:sz w:val="32"/>
          <w:szCs w:val="32"/>
        </w:rPr>
        <w:t>指由财政拨款形成的部门收入。按现行管理制度，部门预算中反映的财政拨款仅包括一般公共预算拨款和政府性基金预算拨款。</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（二）事业收入：</w:t>
      </w:r>
      <w:r>
        <w:rPr>
          <w:rFonts w:ascii="仿宋_GB2312" w:eastAsia="仿宋_GB2312" w:hint="eastAsia"/>
          <w:b w:val="0"/>
          <w:bCs w:val="0"/>
          <w:i w:val="0"/>
          <w:iCs w:val="0"/>
          <w:caps w:val="0"/>
          <w:smallCaps w:val="0"/>
          <w:vanish w:val="0"/>
          <w:color w:val="000000"/>
          <w:spacing w:val="0"/>
          <w:sz w:val="32"/>
          <w:szCs w:val="32"/>
        </w:rPr>
        <w:t>指所属事业单位开展专业业务活动及辅助活动所取得的收入。</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（三）事业单位经营收入：</w:t>
      </w:r>
      <w:r>
        <w:rPr>
          <w:rFonts w:ascii="仿宋_GB2312" w:eastAsia="仿宋_GB2312" w:hint="eastAsia"/>
          <w:b w:val="0"/>
          <w:bCs w:val="0"/>
          <w:i w:val="0"/>
          <w:iCs w:val="0"/>
          <w:caps w:val="0"/>
          <w:smallCaps w:val="0"/>
          <w:vanish w:val="0"/>
          <w:color w:val="000000"/>
          <w:spacing w:val="0"/>
          <w:sz w:val="32"/>
          <w:szCs w:val="32"/>
        </w:rPr>
        <w:t>指所属事业单位在专业业务活动及其辅助活动之外开展非独立核算经营活动取得的收入。</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（四）其他收入：</w:t>
      </w:r>
      <w:r>
        <w:rPr>
          <w:rFonts w:ascii="仿宋_GB2312" w:eastAsia="仿宋_GB2312" w:hint="eastAsia"/>
          <w:b w:val="0"/>
          <w:bCs w:val="0"/>
          <w:i w:val="0"/>
          <w:iCs w:val="0"/>
          <w:caps w:val="0"/>
          <w:smallCaps w:val="0"/>
          <w:vanish w:val="0"/>
          <w:color w:val="000000"/>
          <w:spacing w:val="0"/>
          <w:sz w:val="32"/>
          <w:szCs w:val="32"/>
        </w:rPr>
        <w:t>指除上述“财政拨款收入”、“事业收入”、“事业单位经营收入”等以外的收入，主要是所属行政事业单位按规定动用的售房收入、存款利息收入等。</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（五）用事业基金弥补收支差额：</w:t>
      </w:r>
      <w:r>
        <w:rPr>
          <w:rFonts w:ascii="仿宋_GB2312" w:eastAsia="仿宋_GB2312" w:hint="eastAsia"/>
          <w:b w:val="0"/>
          <w:bCs w:val="0"/>
          <w:i w:val="0"/>
          <w:iCs w:val="0"/>
          <w:caps w:val="0"/>
          <w:smallCaps w:val="0"/>
          <w:vanish w:val="0"/>
          <w:color w:val="000000"/>
          <w:spacing w:val="0"/>
          <w:sz w:val="32"/>
          <w:szCs w:val="32"/>
        </w:rPr>
        <w:t>指所属事业单位在预计用当年的“财政拨款收入”、“事业收入”、“事业单位经营收入”、“其他收入”不足以安排当年支出的情况下，使用以前年度积累的事业基金弥补本年度收支缺口的资金。</w:t>
      </w:r>
    </w:p>
    <w:p>
      <w:pPr>
        <w:pStyle w:val="95"/>
        <w:pBdr>
          <w:top w:val="none" w:sz="0" w:space="0" w:color="auto"/>
          <w:left w:val="none" w:sz="0" w:space="0" w:color="auto"/>
          <w:bottom w:val="none" w:sz="0" w:space="0" w:color="auto"/>
          <w:right w:val="none" w:sz="0" w:space="0" w:color="auto"/>
        </w:pBdr>
        <w:shd w:val="clear" w:color="auto" w:fill="FFFFFF"/>
        <w:spacing w:before="120" w:beforeAutospacing="0" w:after="120" w:afterAutospacing="0" w:line="560" w:lineRule="exact"/>
        <w:ind w:left="0" w:right="0" w:firstLineChars="200" w:firstLine="640"/>
        <w:rPr>
          <w:rFonts w:ascii="仿宋_GB2312" w:eastAsia="仿宋_GB2312" w:hint="eastAsia"/>
          <w:b w:val="0"/>
          <w:bCs w:val="0"/>
          <w:i w:val="0"/>
          <w:iCs w:val="0"/>
          <w:caps w:val="0"/>
          <w:smallCaps w:val="0"/>
          <w:vanish w:val="0"/>
          <w:color w:val="000000"/>
          <w:spacing w:val="0"/>
          <w:sz w:val="32"/>
          <w:szCs w:val="32"/>
        </w:rPr>
      </w:pPr>
      <w:r>
        <w:rPr>
          <w:rFonts w:ascii="仿宋_GB2312" w:eastAsia="仿宋_GB2312" w:hint="eastAsia"/>
          <w:b/>
          <w:bCs/>
          <w:i w:val="0"/>
          <w:iCs w:val="0"/>
          <w:caps w:val="0"/>
          <w:smallCaps w:val="0"/>
          <w:vanish w:val="0"/>
          <w:color w:val="000000"/>
          <w:spacing w:val="0"/>
          <w:sz w:val="32"/>
          <w:szCs w:val="32"/>
        </w:rPr>
        <w:t>（六）上年结转：</w:t>
      </w:r>
      <w:r>
        <w:rPr>
          <w:rFonts w:ascii="仿宋_GB2312" w:eastAsia="仿宋_GB2312" w:hint="eastAsia"/>
          <w:b w:val="0"/>
          <w:bCs w:val="0"/>
          <w:i w:val="0"/>
          <w:iCs w:val="0"/>
          <w:caps w:val="0"/>
          <w:smallCaps w:val="0"/>
          <w:vanish w:val="0"/>
          <w:color w:val="000000"/>
          <w:spacing w:val="0"/>
          <w:sz w:val="32"/>
          <w:szCs w:val="32"/>
        </w:rPr>
        <w:t>指所属行政事业单位以前年度尚未完成、结转至本年按原规定用途继续使用的资金和以前年度已完成项目剩余资金经批准用于新用途使用的资金。</w:t>
      </w:r>
    </w:p>
    <w:p>
      <w:pPr>
        <w:spacing w:line="560" w:lineRule="exact"/>
        <w:ind w:firstLineChars="200" w:firstLine="640"/>
        <w:rPr>
          <w:rFonts w:ascii="仿宋_GB2312" w:eastAsia="仿宋_GB2312" w:cs="Times New Roman" w:hint="eastAsia"/>
          <w:sz w:val="32"/>
          <w:szCs w:val="32"/>
        </w:rPr>
      </w:pPr>
      <w:r>
        <w:rPr>
          <w:rFonts w:ascii="仿宋_GB2312" w:eastAsia="仿宋_GB2312" w:hint="eastAsia"/>
          <w:b w:val="0"/>
          <w:bCs w:val="0"/>
          <w:i w:val="0"/>
          <w:iCs w:val="0"/>
          <w:caps w:val="0"/>
          <w:smallCaps w:val="0"/>
          <w:vanish w:val="0"/>
          <w:color w:val="000000"/>
          <w:spacing w:val="0"/>
          <w:sz w:val="32"/>
          <w:szCs w:val="32"/>
        </w:rPr>
        <w:t xml:space="preserve"> </w:t>
      </w:r>
    </w:p>
    <w:sectPr>
      <w:pgSz w:w="11906" w:h="16838"/>
      <w:pgMar w:top="1440" w:right="1800" w:bottom="1440" w:left="1800" w:header="851" w:footer="992" w:gutter="0"/>
      <w:docGrid w:type="lines" w:linePitch="312" w:charSpace="-4915"/>
    </w:sectPr>
  </w:body>
</w:document>
</file>

<file path=word/fontTable.xml><?xml version="1.0" encoding="utf-8"?>
<w:fonts xmlns:w="http://schemas.openxmlformats.org/wordprocessingml/2006/main" xmlns:r="http://schemas.openxmlformats.org/officeDocument/2006/relationships">
  <w:font w:name="方正小标宋_GBK">
    <w:panose1 w:val="03000502000000000000"/>
    <w:charset w:val="86"/>
    <w:family w:val="script"/>
    <w:pitch w:val="variable"/>
    <w:sig w:usb0="00000001" w:usb1="080E0000" w:usb2="00000000" w:usb3="00000000" w:csb0="00040000" w:csb1="00000000"/>
  </w:font>
  <w:font w:name="仿宋_GB2312">
    <w:altName w:val="仿宋"/>
    <w:panose1 w:val="02010609030101010101"/>
    <w:charset w:val="86"/>
    <w:family w:val="modern"/>
    <w:pitch w:val="variable"/>
    <w:sig w:usb0="00000000" w:usb1="00000000" w:usb2="00000000" w:usb3="00000000" w:csb0="00040000" w:csb1="00000000"/>
  </w:font>
  <w:font w:name="Times New Roman">
    <w:panose1 w:val="02020603050405020304"/>
    <w:charset w:val="86"/>
    <w:family w:val="auto"/>
    <w:pitch w:val="variable"/>
    <w:sig w:usb0="E0002EFF" w:usb1="C000785B" w:usb2="00000009" w:usb3="00000000" w:csb0="400001FF" w:csb1="FFFF0000"/>
  </w:font>
  <w:font w:name="宋体">
    <w:panose1 w:val="02010600030101010101"/>
    <w:charset w:val="50"/>
    <w:family w:val="auto"/>
    <w:pitch w:val="variable"/>
    <w:sig w:usb0="000002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compatSetting w:name="compatibilityMode" w:uri="http://schemas.microsoft.com/office/word" w:val="14"/>
  </w:compat>
  <w:docVars>
    <w:docVar w:name="commondata" w:val="eyJoZGlkIjoiYTYyNWQ2ZTRhMWY2OGVjOTkwNDNjMzgxZjUxYWY2Y2E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left"/>
    </w:pPr>
    <w:rPr>
      <w:rFonts w:ascii="宋体" w:eastAsia="宋体"/>
      <w:kern w:val="2"/>
      <w:sz w:val="24"/>
      <w:szCs w:val="21"/>
      <w:lang w:val="en-US" w:eastAsia="zh-CN"/>
    </w:rPr>
  </w:style>
  <w:style w:type="paragraph" w:styleId="1">
    <w:name w:val="heading 1"/>
    <w:basedOn w:val="0"/>
    <w:next w:val="0"/>
    <w:pPr>
      <w:keepNext/>
      <w:keepLines/>
      <w:widowControl w:val="0"/>
      <w:spacing w:before="340" w:after="330" w:line="578" w:lineRule="auto"/>
      <w:outlineLvl w:val="0"/>
    </w:pPr>
    <w:rPr>
      <w:b/>
      <w:bCs/>
      <w:kern w:val="44"/>
      <w:sz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Body Text"/>
    <w:basedOn w:val="0"/>
    <w:pPr>
      <w:spacing w:after="120"/>
    </w:pPr>
    <w:rPr>
      <w:rFonts w:eastAsia="宋体"/>
      <w:sz w:val="21"/>
    </w:r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character" w:styleId="18">
    <w:name w:val="Emphasis"/>
    <w:basedOn w:val="10"/>
  </w:style>
  <w:style w:type="paragraph" w:customStyle="1" w:styleId="19">
    <w:name w:val="正文文本1"/>
    <w:basedOn w:val="0"/>
    <w:pPr>
      <w:spacing w:before="93"/>
    </w:pPr>
    <w:rPr>
      <w:rFonts w:ascii="仿宋_GB2312" w:eastAsia="仿宋_GB2312" w:cs="仿宋_GB2312"/>
      <w:kern w:val="0"/>
      <w:sz w:val="30"/>
      <w:szCs w:val="30"/>
    </w:rPr>
  </w:style>
  <w:style w:type="character" w:customStyle="1" w:styleId="20">
    <w:name w:val="默认段落字体1"/>
    <w:rPr>
      <w:sz w:val="22"/>
      <w:szCs w:val="22"/>
    </w:rPr>
  </w:style>
  <w:style w:type="paragraph" w:styleId="21">
    <w:name w:val="List Paragraph"/>
    <w:basedOn w:val="0"/>
    <w:pPr>
      <w:ind w:firstLineChars="200" w:firstLine="200"/>
    </w:pPr>
  </w:style>
  <w:style w:type="paragraph" w:styleId="95">
    <w:name w:val="Normal (Web)"/>
    <w:basedOn w:val="0"/>
    <w:next w:val="15"/>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宋体" w:eastAsia="宋体"/>
      <w:b w:val="0"/>
      <w:i w:val="0"/>
      <w:caps w:val="0"/>
      <w:smallCaps w:val="0"/>
      <w:strike w:val="0"/>
      <w:dstrike w:val="0"/>
      <w:snapToGrid/>
      <w:vanish w:val="0"/>
      <w:color w:val="auto"/>
      <w:spacing w:val="0"/>
      <w:w w:val="100"/>
      <w:kern w:val="0"/>
      <w:position w:val="0"/>
      <w:sz w:val="24"/>
      <w:szCs w:val="21"/>
      <w:u w:val="none" w:color="auto"/>
      <w:vertAlign w:val="baseline"/>
      <w:em w:val="none"/>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23</TotalTime>
  <Application>Yozo_Office27021597764231179</Application>
  <Pages>1</Pages>
  <Words>25</Words>
  <Characters>28</Characters>
  <Lines>2</Lines>
  <Paragraphs>2</Paragraphs>
  <CharactersWithSpaces>28</CharactersWithSpaces>
  <Company>MS</Company>
</Properties>
</file>

<file path=docProps/core.xml><?xml version="1.0" encoding="utf-8"?>
<cp:coreProperties xmlns:cp="http://schemas.openxmlformats.org/package/2006/metadata/core-properties" xmlns:dc="http://purl.org/dc/elements/1.1/" xmlns:dcterms="http://purl.org/dc/terms/" xmlns:xsi="http://www.w3.org/2001/XMLSchema-instance">
  <dc:creator>薛永萍</dc:creator>
  <cp:lastModifiedBy>user</cp:lastModifiedBy>
  <cp:revision>8</cp:revision>
  <cp:lastPrinted>2024-01-30T09:04:00Z</cp:lastPrinted>
  <dcterms:created xsi:type="dcterms:W3CDTF">2020-03-05T02:15:00Z</dcterms:created>
  <dcterms:modified xsi:type="dcterms:W3CDTF">2024-01-30T09:36:26Z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2052-11.1.0.11744</vt:lpwstr>
  </property>
  <property fmtid="{D5CDD505-2E9C-101B-9397-08002B2CF9AE}" pid="3" name="ICV">
    <vt:lpwstr>13A553CE2C7A44EBAEA1D5821D4E3F77_13</vt:lpwstr>
  </property>
</Properties>
</file>