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58188D">
      <w:pPr>
        <w:keepNext w:val="0"/>
        <w:keepLines w:val="0"/>
        <w:pageBreakBefore w:val="0"/>
        <w:kinsoku/>
        <w:wordWrap/>
        <w:overflowPunct/>
        <w:topLinePunct w:val="0"/>
        <w:autoSpaceDE/>
        <w:autoSpaceDN/>
        <w:bidi w:val="0"/>
        <w:adjustRightInd/>
        <w:snapToGrid/>
        <w:spacing w:line="560" w:lineRule="atLeast"/>
        <w:ind w:left="0" w:leftChars="0" w:firstLine="420" w:firstLineChars="200"/>
        <w:textAlignment w:val="auto"/>
        <w:rPr>
          <w:rFonts w:cs="Times New Roman"/>
        </w:rPr>
      </w:pPr>
    </w:p>
    <w:p w14:paraId="5A850654">
      <w:pPr>
        <w:keepNext w:val="0"/>
        <w:keepLines w:val="0"/>
        <w:pageBreakBefore w:val="0"/>
        <w:kinsoku/>
        <w:wordWrap/>
        <w:overflowPunct/>
        <w:topLinePunct w:val="0"/>
        <w:autoSpaceDE/>
        <w:autoSpaceDN/>
        <w:bidi w:val="0"/>
        <w:adjustRightInd/>
        <w:snapToGrid/>
        <w:spacing w:line="560" w:lineRule="atLeast"/>
        <w:ind w:left="0" w:leftChars="0" w:firstLine="420" w:firstLineChars="200"/>
        <w:textAlignment w:val="auto"/>
        <w:rPr>
          <w:rFonts w:cs="Times New Roman"/>
        </w:rPr>
      </w:pPr>
    </w:p>
    <w:p w14:paraId="14D9E998">
      <w:pPr>
        <w:keepNext w:val="0"/>
        <w:keepLines w:val="0"/>
        <w:pageBreakBefore w:val="0"/>
        <w:kinsoku/>
        <w:wordWrap/>
        <w:overflowPunct/>
        <w:topLinePunct w:val="0"/>
        <w:autoSpaceDE/>
        <w:autoSpaceDN/>
        <w:bidi w:val="0"/>
        <w:adjustRightInd/>
        <w:snapToGrid/>
        <w:spacing w:line="560" w:lineRule="atLeast"/>
        <w:ind w:left="0" w:leftChars="0" w:firstLine="420" w:firstLineChars="200"/>
        <w:textAlignment w:val="auto"/>
        <w:rPr>
          <w:rFonts w:cs="Times New Roman"/>
        </w:rPr>
      </w:pPr>
    </w:p>
    <w:p w14:paraId="700313EB">
      <w:pPr>
        <w:keepNext w:val="0"/>
        <w:keepLines w:val="0"/>
        <w:pageBreakBefore w:val="0"/>
        <w:kinsoku/>
        <w:wordWrap/>
        <w:overflowPunct/>
        <w:topLinePunct w:val="0"/>
        <w:autoSpaceDE/>
        <w:autoSpaceDN/>
        <w:bidi w:val="0"/>
        <w:adjustRightInd/>
        <w:snapToGrid/>
        <w:spacing w:line="560" w:lineRule="atLeast"/>
        <w:ind w:left="0" w:leftChars="0" w:firstLine="420" w:firstLineChars="200"/>
        <w:textAlignment w:val="auto"/>
        <w:rPr>
          <w:rFonts w:cs="Times New Roman"/>
        </w:rPr>
      </w:pPr>
    </w:p>
    <w:p w14:paraId="77393264">
      <w:pPr>
        <w:keepNext w:val="0"/>
        <w:keepLines w:val="0"/>
        <w:pageBreakBefore w:val="0"/>
        <w:kinsoku/>
        <w:wordWrap/>
        <w:overflowPunct/>
        <w:topLinePunct w:val="0"/>
        <w:autoSpaceDE/>
        <w:autoSpaceDN/>
        <w:bidi w:val="0"/>
        <w:adjustRightInd/>
        <w:snapToGrid/>
        <w:spacing w:line="560" w:lineRule="atLeast"/>
        <w:ind w:left="0" w:leftChars="0" w:firstLine="880" w:firstLineChars="200"/>
        <w:textAlignment w:val="auto"/>
        <w:rPr>
          <w:rFonts w:ascii="黑体" w:hAnsi="黑体" w:eastAsia="黑体" w:cs="Times New Roman"/>
          <w:sz w:val="44"/>
          <w:szCs w:val="44"/>
        </w:rPr>
      </w:pPr>
    </w:p>
    <w:p w14:paraId="07B94279">
      <w:pPr>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黑体" w:hAnsi="黑体" w:eastAsia="黑体"/>
          <w:sz w:val="44"/>
          <w:szCs w:val="44"/>
        </w:rPr>
      </w:pPr>
      <w:r>
        <w:rPr>
          <w:rFonts w:hint="eastAsia" w:ascii="黑体" w:hAnsi="黑体" w:eastAsia="黑体"/>
          <w:sz w:val="44"/>
          <w:szCs w:val="44"/>
        </w:rPr>
        <w:t>红星镇人民政府2026年部门预算</w:t>
      </w:r>
    </w:p>
    <w:p w14:paraId="039D8E8C">
      <w:pPr>
        <w:keepNext w:val="0"/>
        <w:keepLines w:val="0"/>
        <w:pageBreakBefore w:val="0"/>
        <w:kinsoku/>
        <w:wordWrap/>
        <w:overflowPunct/>
        <w:topLinePunct w:val="0"/>
        <w:autoSpaceDE/>
        <w:autoSpaceDN/>
        <w:bidi w:val="0"/>
        <w:adjustRightInd/>
        <w:snapToGrid/>
        <w:spacing w:line="560" w:lineRule="atLeast"/>
        <w:jc w:val="center"/>
        <w:textAlignment w:val="auto"/>
        <w:rPr>
          <w:rFonts w:ascii="黑体" w:hAnsi="黑体" w:eastAsia="黑体"/>
          <w:sz w:val="44"/>
          <w:szCs w:val="44"/>
        </w:rPr>
      </w:pPr>
      <w:r>
        <w:rPr>
          <w:rFonts w:hint="eastAsia" w:ascii="黑体" w:hAnsi="黑体" w:eastAsia="黑体"/>
          <w:sz w:val="44"/>
          <w:szCs w:val="44"/>
        </w:rPr>
        <w:t>（事业)</w:t>
      </w:r>
    </w:p>
    <w:p w14:paraId="05EDCA4D">
      <w:pPr>
        <w:keepNext w:val="0"/>
        <w:keepLines w:val="0"/>
        <w:pageBreakBefore w:val="0"/>
        <w:kinsoku/>
        <w:wordWrap/>
        <w:overflowPunct/>
        <w:topLinePunct w:val="0"/>
        <w:autoSpaceDE/>
        <w:autoSpaceDN/>
        <w:bidi w:val="0"/>
        <w:adjustRightInd/>
        <w:snapToGrid/>
        <w:spacing w:line="560" w:lineRule="atLeast"/>
        <w:ind w:left="0" w:leftChars="0" w:firstLine="880" w:firstLineChars="200"/>
        <w:jc w:val="center"/>
        <w:textAlignment w:val="auto"/>
        <w:rPr>
          <w:rFonts w:ascii="黑体" w:hAnsi="黑体" w:eastAsia="黑体" w:cs="Times New Roman"/>
          <w:sz w:val="44"/>
          <w:szCs w:val="44"/>
        </w:rPr>
      </w:pPr>
    </w:p>
    <w:p w14:paraId="7A37D49D">
      <w:pPr>
        <w:keepNext w:val="0"/>
        <w:keepLines w:val="0"/>
        <w:pageBreakBefore w:val="0"/>
        <w:kinsoku/>
        <w:wordWrap/>
        <w:overflowPunct/>
        <w:topLinePunct w:val="0"/>
        <w:autoSpaceDE/>
        <w:autoSpaceDN/>
        <w:bidi w:val="0"/>
        <w:adjustRightInd/>
        <w:snapToGrid/>
        <w:spacing w:line="560" w:lineRule="atLeast"/>
        <w:ind w:left="0" w:leftChars="0" w:firstLine="880" w:firstLineChars="200"/>
        <w:jc w:val="center"/>
        <w:textAlignment w:val="auto"/>
        <w:rPr>
          <w:rFonts w:ascii="黑体" w:hAnsi="黑体" w:eastAsia="黑体" w:cs="Times New Roman"/>
          <w:sz w:val="44"/>
          <w:szCs w:val="44"/>
        </w:rPr>
      </w:pPr>
    </w:p>
    <w:p w14:paraId="640ADBD4">
      <w:pPr>
        <w:keepNext w:val="0"/>
        <w:keepLines w:val="0"/>
        <w:pageBreakBefore w:val="0"/>
        <w:kinsoku/>
        <w:wordWrap/>
        <w:overflowPunct/>
        <w:topLinePunct w:val="0"/>
        <w:autoSpaceDE/>
        <w:autoSpaceDN/>
        <w:bidi w:val="0"/>
        <w:adjustRightInd/>
        <w:snapToGrid/>
        <w:spacing w:line="560" w:lineRule="atLeast"/>
        <w:ind w:left="0" w:leftChars="0" w:firstLine="880" w:firstLineChars="200"/>
        <w:jc w:val="center"/>
        <w:textAlignment w:val="auto"/>
        <w:rPr>
          <w:rFonts w:ascii="黑体" w:hAnsi="黑体" w:eastAsia="黑体" w:cs="Times New Roman"/>
          <w:sz w:val="44"/>
          <w:szCs w:val="44"/>
        </w:rPr>
      </w:pPr>
    </w:p>
    <w:p w14:paraId="7C527F39">
      <w:pPr>
        <w:keepNext w:val="0"/>
        <w:keepLines w:val="0"/>
        <w:pageBreakBefore w:val="0"/>
        <w:kinsoku/>
        <w:wordWrap/>
        <w:overflowPunct/>
        <w:topLinePunct w:val="0"/>
        <w:autoSpaceDE/>
        <w:autoSpaceDN/>
        <w:bidi w:val="0"/>
        <w:adjustRightInd/>
        <w:snapToGrid/>
        <w:spacing w:line="560" w:lineRule="atLeast"/>
        <w:ind w:left="0" w:leftChars="0" w:firstLine="880" w:firstLineChars="200"/>
        <w:jc w:val="center"/>
        <w:textAlignment w:val="auto"/>
        <w:rPr>
          <w:rFonts w:ascii="黑体" w:hAnsi="黑体" w:eastAsia="黑体" w:cs="Times New Roman"/>
          <w:sz w:val="44"/>
          <w:szCs w:val="44"/>
        </w:rPr>
      </w:pPr>
    </w:p>
    <w:p w14:paraId="66C973F1">
      <w:pPr>
        <w:keepNext w:val="0"/>
        <w:keepLines w:val="0"/>
        <w:pageBreakBefore w:val="0"/>
        <w:kinsoku/>
        <w:wordWrap/>
        <w:overflowPunct/>
        <w:topLinePunct w:val="0"/>
        <w:autoSpaceDE/>
        <w:autoSpaceDN/>
        <w:bidi w:val="0"/>
        <w:adjustRightInd/>
        <w:snapToGrid/>
        <w:spacing w:line="560" w:lineRule="atLeast"/>
        <w:ind w:left="0" w:leftChars="0" w:firstLine="880" w:firstLineChars="200"/>
        <w:jc w:val="center"/>
        <w:textAlignment w:val="auto"/>
        <w:rPr>
          <w:rFonts w:ascii="黑体" w:hAnsi="黑体" w:eastAsia="黑体" w:cs="Times New Roman"/>
          <w:sz w:val="44"/>
          <w:szCs w:val="44"/>
        </w:rPr>
      </w:pPr>
    </w:p>
    <w:p w14:paraId="6D43FA8F">
      <w:pPr>
        <w:keepNext w:val="0"/>
        <w:keepLines w:val="0"/>
        <w:pageBreakBefore w:val="0"/>
        <w:kinsoku/>
        <w:wordWrap/>
        <w:overflowPunct/>
        <w:topLinePunct w:val="0"/>
        <w:autoSpaceDE/>
        <w:autoSpaceDN/>
        <w:bidi w:val="0"/>
        <w:adjustRightInd/>
        <w:snapToGrid/>
        <w:spacing w:line="560" w:lineRule="atLeast"/>
        <w:ind w:left="0" w:leftChars="0" w:firstLine="880" w:firstLineChars="200"/>
        <w:jc w:val="center"/>
        <w:textAlignment w:val="auto"/>
        <w:rPr>
          <w:rFonts w:ascii="黑体" w:hAnsi="黑体" w:eastAsia="黑体" w:cs="Times New Roman"/>
          <w:sz w:val="44"/>
          <w:szCs w:val="44"/>
        </w:rPr>
      </w:pPr>
    </w:p>
    <w:p w14:paraId="43F9E6E7">
      <w:pPr>
        <w:keepNext w:val="0"/>
        <w:keepLines w:val="0"/>
        <w:pageBreakBefore w:val="0"/>
        <w:kinsoku/>
        <w:wordWrap/>
        <w:overflowPunct/>
        <w:topLinePunct w:val="0"/>
        <w:autoSpaceDE/>
        <w:autoSpaceDN/>
        <w:bidi w:val="0"/>
        <w:adjustRightInd/>
        <w:snapToGrid/>
        <w:spacing w:line="560" w:lineRule="atLeast"/>
        <w:ind w:left="0" w:leftChars="0" w:firstLine="880" w:firstLineChars="200"/>
        <w:jc w:val="center"/>
        <w:textAlignment w:val="auto"/>
        <w:rPr>
          <w:rFonts w:ascii="黑体" w:hAnsi="黑体" w:eastAsia="黑体" w:cs="Times New Roman"/>
          <w:sz w:val="44"/>
          <w:szCs w:val="44"/>
        </w:rPr>
      </w:pPr>
    </w:p>
    <w:p w14:paraId="4C0816FC">
      <w:pPr>
        <w:keepNext w:val="0"/>
        <w:keepLines w:val="0"/>
        <w:pageBreakBefore w:val="0"/>
        <w:kinsoku/>
        <w:wordWrap/>
        <w:overflowPunct/>
        <w:topLinePunct w:val="0"/>
        <w:autoSpaceDE/>
        <w:autoSpaceDN/>
        <w:bidi w:val="0"/>
        <w:adjustRightInd/>
        <w:snapToGrid/>
        <w:spacing w:line="560" w:lineRule="atLeast"/>
        <w:ind w:left="0" w:leftChars="0" w:firstLine="880" w:firstLineChars="200"/>
        <w:jc w:val="center"/>
        <w:textAlignment w:val="auto"/>
        <w:rPr>
          <w:rFonts w:ascii="黑体" w:hAnsi="黑体" w:eastAsia="黑体" w:cs="Times New Roman"/>
          <w:sz w:val="44"/>
          <w:szCs w:val="44"/>
        </w:rPr>
      </w:pPr>
    </w:p>
    <w:p w14:paraId="2D30A7D6">
      <w:pPr>
        <w:keepNext w:val="0"/>
        <w:keepLines w:val="0"/>
        <w:pageBreakBefore w:val="0"/>
        <w:kinsoku/>
        <w:wordWrap/>
        <w:overflowPunct/>
        <w:topLinePunct w:val="0"/>
        <w:autoSpaceDE/>
        <w:autoSpaceDN/>
        <w:bidi w:val="0"/>
        <w:adjustRightInd/>
        <w:snapToGrid/>
        <w:spacing w:line="560" w:lineRule="atLeast"/>
        <w:jc w:val="center"/>
        <w:textAlignment w:val="auto"/>
        <w:rPr>
          <w:rFonts w:ascii="黑体" w:hAnsi="黑体" w:eastAsia="黑体" w:cs="Times New Roman"/>
          <w:sz w:val="32"/>
          <w:szCs w:val="32"/>
        </w:rPr>
      </w:pPr>
      <w:r>
        <w:rPr>
          <w:rFonts w:hint="eastAsia" w:ascii="黑体" w:hAnsi="黑体" w:eastAsia="黑体" w:cs="黑体"/>
          <w:sz w:val="32"/>
          <w:szCs w:val="32"/>
        </w:rPr>
        <w:t>2026年</w:t>
      </w:r>
      <w:r>
        <w:rPr>
          <w:rFonts w:ascii="黑体" w:hAnsi="黑体" w:eastAsia="黑体" w:cs="黑体"/>
          <w:sz w:val="32"/>
          <w:szCs w:val="32"/>
        </w:rPr>
        <w:t xml:space="preserve"> </w:t>
      </w:r>
      <w:r>
        <w:rPr>
          <w:rFonts w:hint="eastAsia" w:ascii="黑体" w:hAnsi="黑体" w:eastAsia="黑体" w:cs="黑体"/>
          <w:sz w:val="32"/>
          <w:szCs w:val="32"/>
        </w:rPr>
        <w:t>1</w:t>
      </w:r>
      <w:r>
        <w:rPr>
          <w:rFonts w:ascii="黑体" w:hAnsi="黑体" w:eastAsia="黑体" w:cs="黑体"/>
          <w:sz w:val="32"/>
          <w:szCs w:val="32"/>
        </w:rPr>
        <w:t xml:space="preserve"> </w:t>
      </w:r>
      <w:r>
        <w:rPr>
          <w:rFonts w:hint="eastAsia" w:ascii="黑体" w:hAnsi="黑体" w:eastAsia="黑体" w:cs="黑体"/>
          <w:sz w:val="32"/>
          <w:szCs w:val="32"/>
        </w:rPr>
        <w:t>月</w:t>
      </w:r>
      <w:r>
        <w:rPr>
          <w:rFonts w:ascii="黑体" w:hAnsi="黑体" w:eastAsia="黑体" w:cs="黑体"/>
          <w:sz w:val="32"/>
          <w:szCs w:val="32"/>
        </w:rPr>
        <w:t xml:space="preserve"> </w:t>
      </w:r>
      <w:r>
        <w:rPr>
          <w:rFonts w:hint="eastAsia" w:ascii="黑体" w:hAnsi="黑体" w:eastAsia="黑体" w:cs="黑体"/>
          <w:sz w:val="32"/>
          <w:szCs w:val="32"/>
        </w:rPr>
        <w:t>28日</w:t>
      </w:r>
    </w:p>
    <w:p w14:paraId="4DFA2CE4">
      <w:pPr>
        <w:keepNext w:val="0"/>
        <w:keepLines w:val="0"/>
        <w:pageBreakBefore w:val="0"/>
        <w:kinsoku/>
        <w:wordWrap/>
        <w:overflowPunct/>
        <w:topLinePunct w:val="0"/>
        <w:autoSpaceDE/>
        <w:autoSpaceDN/>
        <w:bidi w:val="0"/>
        <w:adjustRightInd/>
        <w:snapToGrid/>
        <w:spacing w:line="560" w:lineRule="atLeast"/>
        <w:ind w:left="0" w:leftChars="0" w:firstLine="880" w:firstLineChars="200"/>
        <w:textAlignment w:val="auto"/>
        <w:rPr>
          <w:rFonts w:ascii="黑体" w:hAnsi="黑体" w:eastAsia="黑体" w:cs="Times New Roman"/>
          <w:sz w:val="44"/>
          <w:szCs w:val="44"/>
        </w:rPr>
      </w:pPr>
    </w:p>
    <w:p w14:paraId="646088A3">
      <w:pPr>
        <w:keepNext w:val="0"/>
        <w:keepLines w:val="0"/>
        <w:pageBreakBefore w:val="0"/>
        <w:kinsoku/>
        <w:wordWrap/>
        <w:overflowPunct/>
        <w:topLinePunct w:val="0"/>
        <w:autoSpaceDE/>
        <w:autoSpaceDN/>
        <w:bidi w:val="0"/>
        <w:adjustRightInd/>
        <w:snapToGrid/>
        <w:spacing w:line="560" w:lineRule="atLeast"/>
        <w:ind w:left="0" w:leftChars="0" w:firstLine="880" w:firstLineChars="200"/>
        <w:textAlignment w:val="auto"/>
        <w:rPr>
          <w:rFonts w:ascii="黑体" w:hAnsi="黑体" w:eastAsia="黑体" w:cs="Times New Roman"/>
          <w:sz w:val="44"/>
          <w:szCs w:val="44"/>
        </w:rPr>
      </w:pPr>
    </w:p>
    <w:p w14:paraId="53D11EF7">
      <w:pPr>
        <w:keepNext w:val="0"/>
        <w:keepLines w:val="0"/>
        <w:pageBreakBefore w:val="0"/>
        <w:kinsoku/>
        <w:wordWrap/>
        <w:overflowPunct/>
        <w:topLinePunct w:val="0"/>
        <w:autoSpaceDE/>
        <w:autoSpaceDN/>
        <w:bidi w:val="0"/>
        <w:adjustRightInd/>
        <w:snapToGrid/>
        <w:spacing w:line="560" w:lineRule="atLeast"/>
        <w:ind w:left="0" w:leftChars="0" w:firstLine="880" w:firstLineChars="200"/>
        <w:textAlignment w:val="auto"/>
        <w:rPr>
          <w:rFonts w:ascii="黑体" w:hAnsi="黑体" w:eastAsia="黑体" w:cs="Times New Roman"/>
          <w:sz w:val="44"/>
          <w:szCs w:val="44"/>
        </w:rPr>
      </w:pPr>
    </w:p>
    <w:p w14:paraId="02FE506E">
      <w:pPr>
        <w:keepNext w:val="0"/>
        <w:keepLines w:val="0"/>
        <w:pageBreakBefore w:val="0"/>
        <w:kinsoku/>
        <w:wordWrap/>
        <w:overflowPunct/>
        <w:topLinePunct w:val="0"/>
        <w:autoSpaceDE/>
        <w:autoSpaceDN/>
        <w:bidi w:val="0"/>
        <w:adjustRightInd/>
        <w:snapToGrid/>
        <w:spacing w:line="560" w:lineRule="atLeast"/>
        <w:ind w:left="0" w:leftChars="0" w:firstLine="880" w:firstLineChars="200"/>
        <w:textAlignment w:val="auto"/>
        <w:rPr>
          <w:rFonts w:ascii="黑体" w:hAnsi="黑体" w:eastAsia="黑体" w:cs="Times New Roman"/>
          <w:sz w:val="44"/>
          <w:szCs w:val="44"/>
        </w:rPr>
      </w:pPr>
    </w:p>
    <w:p w14:paraId="04D874A2">
      <w:pPr>
        <w:keepNext w:val="0"/>
        <w:keepLines w:val="0"/>
        <w:pageBreakBefore w:val="0"/>
        <w:kinsoku/>
        <w:wordWrap/>
        <w:overflowPunct/>
        <w:topLinePunct w:val="0"/>
        <w:autoSpaceDE/>
        <w:autoSpaceDN/>
        <w:bidi w:val="0"/>
        <w:adjustRightInd/>
        <w:snapToGrid/>
        <w:spacing w:line="560" w:lineRule="atLeast"/>
        <w:jc w:val="center"/>
        <w:textAlignment w:val="auto"/>
        <w:rPr>
          <w:rFonts w:ascii="黑体" w:hAnsi="黑体" w:eastAsia="黑体" w:cs="Times New Roman"/>
          <w:sz w:val="52"/>
          <w:szCs w:val="52"/>
        </w:rPr>
      </w:pPr>
      <w:r>
        <w:rPr>
          <w:rFonts w:hint="eastAsia" w:ascii="黑体" w:hAnsi="黑体" w:eastAsia="黑体" w:cs="黑体"/>
          <w:sz w:val="52"/>
          <w:szCs w:val="52"/>
        </w:rPr>
        <w:t>目</w:t>
      </w:r>
      <w:r>
        <w:rPr>
          <w:rFonts w:ascii="黑体" w:hAnsi="黑体" w:eastAsia="黑体" w:cs="黑体"/>
          <w:sz w:val="52"/>
          <w:szCs w:val="52"/>
        </w:rPr>
        <w:t xml:space="preserve"> </w:t>
      </w:r>
      <w:r>
        <w:rPr>
          <w:rFonts w:hint="eastAsia" w:ascii="黑体" w:hAnsi="黑体" w:eastAsia="黑体" w:cs="黑体"/>
          <w:sz w:val="52"/>
          <w:szCs w:val="52"/>
        </w:rPr>
        <w:t>录</w:t>
      </w:r>
    </w:p>
    <w:p w14:paraId="3D3EDE3C">
      <w:pPr>
        <w:keepNext w:val="0"/>
        <w:keepLines w:val="0"/>
        <w:pageBreakBefore w:val="0"/>
        <w:kinsoku/>
        <w:wordWrap/>
        <w:overflowPunct/>
        <w:topLinePunct w:val="0"/>
        <w:autoSpaceDE/>
        <w:autoSpaceDN/>
        <w:bidi w:val="0"/>
        <w:adjustRightInd/>
        <w:snapToGrid/>
        <w:spacing w:line="560" w:lineRule="atLeast"/>
        <w:ind w:left="0" w:leftChars="0" w:firstLine="880" w:firstLineChars="200"/>
        <w:textAlignment w:val="auto"/>
        <w:rPr>
          <w:rFonts w:ascii="黑体" w:hAnsi="黑体" w:eastAsia="黑体" w:cs="Times New Roman"/>
          <w:sz w:val="44"/>
          <w:szCs w:val="44"/>
        </w:rPr>
      </w:pPr>
    </w:p>
    <w:p w14:paraId="2274C978">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line="560" w:lineRule="atLeast"/>
        <w:jc w:val="left"/>
        <w:textAlignment w:val="auto"/>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一、基本职能及主要工作</w:t>
      </w:r>
    </w:p>
    <w:p w14:paraId="447E0E29">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line="560" w:lineRule="atLeast"/>
        <w:ind w:left="0" w:leftChars="0" w:firstLine="640"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（一）部门职能简介</w:t>
      </w:r>
    </w:p>
    <w:p w14:paraId="557C178F">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line="560" w:lineRule="atLeast"/>
        <w:ind w:left="0" w:leftChars="0" w:firstLine="640"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（二）2026年重点工作</w:t>
      </w:r>
    </w:p>
    <w:p w14:paraId="604F48FE">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line="560" w:lineRule="atLeast"/>
        <w:jc w:val="left"/>
        <w:textAlignment w:val="auto"/>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二、部门预算单位构成</w:t>
      </w:r>
    </w:p>
    <w:p w14:paraId="3D069A6A">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line="560" w:lineRule="atLeast"/>
        <w:jc w:val="left"/>
        <w:textAlignment w:val="auto"/>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三、收支预算情况说明</w:t>
      </w:r>
    </w:p>
    <w:p w14:paraId="614A7931">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line="560" w:lineRule="atLeast"/>
        <w:ind w:left="0" w:leftChars="0" w:firstLine="640"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（一）收入预算情况</w:t>
      </w:r>
    </w:p>
    <w:p w14:paraId="276E6BED">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line="560" w:lineRule="atLeast"/>
        <w:ind w:left="0" w:leftChars="0" w:firstLine="640"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（二）支出预算情况</w:t>
      </w:r>
    </w:p>
    <w:p w14:paraId="5C4ABA0F">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line="560" w:lineRule="atLeast"/>
        <w:jc w:val="left"/>
        <w:textAlignment w:val="auto"/>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四、财政拨款收支预算情况说明</w:t>
      </w:r>
    </w:p>
    <w:p w14:paraId="63BBDCF1">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line="560" w:lineRule="atLeast"/>
        <w:jc w:val="left"/>
        <w:textAlignment w:val="auto"/>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五、一般公共预算当年拨款情况说明</w:t>
      </w:r>
    </w:p>
    <w:p w14:paraId="4277606D">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line="560" w:lineRule="atLeast"/>
        <w:ind w:left="638" w:leftChars="304" w:firstLine="0" w:firstLineChars="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（一）一般公共预算当年拨款规模变化情况</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（二）一般公共预算当年拨款结构情况</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（三）一般公共预算当年拨款具体使用情况</w:t>
      </w:r>
    </w:p>
    <w:p w14:paraId="0DF69086">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line="560" w:lineRule="atLeast"/>
        <w:jc w:val="left"/>
        <w:textAlignment w:val="auto"/>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六、一般公共预算基本支出情况说明</w:t>
      </w:r>
      <w:r>
        <w:rPr>
          <w:rFonts w:hint="eastAsia" w:ascii="仿宋_GB2312" w:hAnsi="仿宋_GB2312" w:eastAsia="仿宋_GB2312" w:cs="仿宋_GB2312"/>
          <w:b/>
          <w:bCs/>
          <w:sz w:val="32"/>
          <w:szCs w:val="32"/>
        </w:rPr>
        <w:br w:type="textWrapping"/>
      </w:r>
      <w:r>
        <w:rPr>
          <w:rFonts w:hint="eastAsia" w:ascii="仿宋_GB2312" w:hAnsi="仿宋_GB2312" w:eastAsia="仿宋_GB2312" w:cs="仿宋_GB2312"/>
          <w:b/>
          <w:bCs/>
          <w:sz w:val="32"/>
          <w:szCs w:val="32"/>
        </w:rPr>
        <w:t>七、“三公”经费财政拨款预算安排情况说明</w:t>
      </w:r>
      <w:r>
        <w:rPr>
          <w:rFonts w:hint="eastAsia" w:ascii="仿宋_GB2312" w:hAnsi="仿宋_GB2312" w:eastAsia="仿宋_GB2312" w:cs="仿宋_GB2312"/>
          <w:b/>
          <w:bCs/>
          <w:sz w:val="32"/>
          <w:szCs w:val="32"/>
        </w:rPr>
        <w:br w:type="textWrapping"/>
      </w:r>
      <w:r>
        <w:rPr>
          <w:rFonts w:hint="eastAsia" w:ascii="仿宋_GB2312" w:hAnsi="仿宋_GB2312" w:eastAsia="仿宋_GB2312" w:cs="仿宋_GB2312"/>
          <w:b/>
          <w:bCs/>
          <w:sz w:val="32"/>
          <w:szCs w:val="32"/>
        </w:rPr>
        <w:t>八、政府性基金预算支出情况说明</w:t>
      </w:r>
      <w:r>
        <w:rPr>
          <w:rFonts w:hint="eastAsia" w:ascii="仿宋_GB2312" w:hAnsi="仿宋_GB2312" w:eastAsia="仿宋_GB2312" w:cs="仿宋_GB2312"/>
          <w:b/>
          <w:bCs/>
          <w:sz w:val="32"/>
          <w:szCs w:val="32"/>
        </w:rPr>
        <w:br w:type="textWrapping"/>
      </w:r>
      <w:r>
        <w:rPr>
          <w:rFonts w:hint="eastAsia" w:ascii="仿宋_GB2312" w:hAnsi="仿宋_GB2312" w:eastAsia="仿宋_GB2312" w:cs="仿宋_GB2312"/>
          <w:b/>
          <w:bCs/>
          <w:sz w:val="32"/>
          <w:szCs w:val="32"/>
        </w:rPr>
        <w:t>九、国有资本经营预算支出情况说明</w:t>
      </w:r>
    </w:p>
    <w:p w14:paraId="30E17FB0">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line="560" w:lineRule="atLeast"/>
        <w:jc w:val="left"/>
        <w:textAlignment w:val="auto"/>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十、其他重要事项的情况说明</w:t>
      </w:r>
    </w:p>
    <w:p w14:paraId="0E3EDE6D">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line="560" w:lineRule="atLeast"/>
        <w:jc w:val="left"/>
        <w:textAlignment w:val="auto"/>
        <w:rPr>
          <w:rFonts w:ascii="仿宋_GB2312" w:hAnsi="仿宋_GB2312" w:eastAsia="仿宋_GB2312" w:cs="仿宋_GB2312"/>
          <w:b/>
          <w:bCs/>
          <w:kern w:val="0"/>
          <w:sz w:val="32"/>
          <w:szCs w:val="32"/>
        </w:rPr>
      </w:pPr>
      <w:r>
        <w:rPr>
          <w:rFonts w:hint="eastAsia" w:ascii="仿宋_GB2312" w:hAnsi="仿宋_GB2312" w:eastAsia="仿宋_GB2312" w:cs="仿宋_GB2312"/>
          <w:b/>
          <w:bCs/>
          <w:sz w:val="32"/>
          <w:szCs w:val="32"/>
        </w:rPr>
        <w:t>十一、名称解释</w:t>
      </w:r>
    </w:p>
    <w:p w14:paraId="784EE461">
      <w:pPr>
        <w:pStyle w:val="11"/>
        <w:keepNext w:val="0"/>
        <w:keepLines w:val="0"/>
        <w:pageBreakBefore w:val="0"/>
        <w:kinsoku/>
        <w:wordWrap/>
        <w:overflowPunct/>
        <w:topLinePunct w:val="0"/>
        <w:autoSpaceDE/>
        <w:autoSpaceDN/>
        <w:bidi w:val="0"/>
        <w:adjustRightInd/>
        <w:snapToGrid/>
        <w:spacing w:before="0" w:line="560" w:lineRule="atLeast"/>
        <w:ind w:firstLine="643" w:firstLineChars="200"/>
        <w:textAlignment w:val="auto"/>
        <w:outlineLvl w:val="0"/>
        <w:rPr>
          <w:rFonts w:hint="eastAsia"/>
          <w:b/>
          <w:bCs/>
          <w:sz w:val="32"/>
          <w:szCs w:val="32"/>
        </w:rPr>
      </w:pPr>
      <w:r>
        <w:rPr>
          <w:rFonts w:hint="eastAsia"/>
          <w:b/>
          <w:bCs/>
          <w:sz w:val="32"/>
          <w:szCs w:val="32"/>
        </w:rPr>
        <w:t>一、基本职能及主要工作</w:t>
      </w:r>
    </w:p>
    <w:p w14:paraId="6AEF9AD6">
      <w:pPr>
        <w:pStyle w:val="11"/>
        <w:keepNext w:val="0"/>
        <w:keepLines w:val="0"/>
        <w:pageBreakBefore w:val="0"/>
        <w:kinsoku/>
        <w:wordWrap/>
        <w:overflowPunct/>
        <w:topLinePunct w:val="0"/>
        <w:autoSpaceDE/>
        <w:autoSpaceDN/>
        <w:bidi w:val="0"/>
        <w:adjustRightInd/>
        <w:snapToGrid/>
        <w:spacing w:before="0" w:line="560" w:lineRule="atLeast"/>
        <w:ind w:firstLine="640" w:firstLineChars="200"/>
        <w:textAlignment w:val="auto"/>
        <w:outlineLvl w:val="0"/>
        <w:rPr>
          <w:sz w:val="32"/>
          <w:szCs w:val="32"/>
        </w:rPr>
      </w:pPr>
      <w:r>
        <w:rPr>
          <w:rFonts w:hint="eastAsia"/>
          <w:sz w:val="32"/>
          <w:szCs w:val="32"/>
        </w:rPr>
        <w:t>（一）红星镇人民政府职能简介</w:t>
      </w:r>
    </w:p>
    <w:p w14:paraId="4BC8F16E">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outlineLvl w:val="0"/>
        <w:rPr>
          <w:rFonts w:hint="eastAsia"/>
          <w:sz w:val="32"/>
          <w:szCs w:val="32"/>
        </w:rPr>
      </w:pPr>
      <w:r>
        <w:rPr>
          <w:rFonts w:hint="eastAsia"/>
          <w:sz w:val="32"/>
          <w:szCs w:val="32"/>
        </w:rPr>
        <w:t>红星镇人民政府是若尔盖县人民政府组成部门。根据州委、州政府关于全州工作的总体部署，主要工作是:在县委、县政府领导和部署下，乡党委政府将进一步加强各项工作力度，按照“和谐兴乡、稳定安乡、党建强乡、生态绿乡”奋斗目标，结合全乡实际情况，进一步改进工作作风，创新服务方式，密切联系群众，增强服务能力，切实让群众享受到改革发展的红利，推动全乡党建、民生、稳定三项事业共同发展。</w:t>
      </w:r>
    </w:p>
    <w:p w14:paraId="2007E2DE">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outlineLvl w:val="0"/>
        <w:rPr>
          <w:sz w:val="32"/>
          <w:szCs w:val="32"/>
        </w:rPr>
      </w:pPr>
      <w:r>
        <w:rPr>
          <w:rFonts w:hint="eastAsia"/>
          <w:sz w:val="32"/>
          <w:szCs w:val="32"/>
        </w:rPr>
        <w:t>（二）红星镇人民政府2026年重点工作</w:t>
      </w:r>
    </w:p>
    <w:p w14:paraId="618E0EDA">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outlineLvl w:val="0"/>
        <w:rPr>
          <w:rFonts w:hint="eastAsia"/>
          <w:sz w:val="32"/>
          <w:szCs w:val="32"/>
        </w:rPr>
      </w:pPr>
      <w:r>
        <w:rPr>
          <w:rFonts w:hint="eastAsia"/>
          <w:sz w:val="32"/>
          <w:szCs w:val="32"/>
        </w:rPr>
        <w:t>坚决落实过紧日子要求，构建厉行节约长效机制；加大各类资金使用力度，提高红星镇人民政府运行能力；切实加强资金管理，增强预算安排的精准度；规范乡政府预算管理，提升依法理财水平；扎实抓好预决算信息公开，提高预算透明度。</w:t>
      </w:r>
    </w:p>
    <w:p w14:paraId="49C3A17A">
      <w:pPr>
        <w:pStyle w:val="11"/>
        <w:keepNext w:val="0"/>
        <w:keepLines w:val="0"/>
        <w:pageBreakBefore w:val="0"/>
        <w:kinsoku/>
        <w:wordWrap/>
        <w:overflowPunct/>
        <w:topLinePunct w:val="0"/>
        <w:autoSpaceDE/>
        <w:autoSpaceDN/>
        <w:bidi w:val="0"/>
        <w:adjustRightInd/>
        <w:snapToGrid/>
        <w:spacing w:before="0" w:line="560" w:lineRule="atLeast"/>
        <w:ind w:left="0" w:leftChars="0" w:firstLine="643" w:firstLineChars="200"/>
        <w:textAlignment w:val="auto"/>
        <w:outlineLvl w:val="0"/>
        <w:rPr>
          <w:rFonts w:hint="eastAsia"/>
          <w:b/>
          <w:bCs/>
          <w:sz w:val="32"/>
          <w:szCs w:val="32"/>
        </w:rPr>
      </w:pPr>
      <w:r>
        <w:rPr>
          <w:rFonts w:hint="eastAsia"/>
          <w:b/>
          <w:bCs/>
          <w:sz w:val="32"/>
          <w:szCs w:val="32"/>
        </w:rPr>
        <w:t>二、部门预算单位构成</w:t>
      </w:r>
    </w:p>
    <w:p w14:paraId="08E4CA76">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outlineLvl w:val="0"/>
        <w:rPr>
          <w:rFonts w:hint="eastAsia" w:eastAsia="仿宋_GB2312"/>
          <w:sz w:val="32"/>
          <w:szCs w:val="32"/>
          <w:lang w:eastAsia="zh-CN"/>
        </w:rPr>
      </w:pPr>
      <w:r>
        <w:rPr>
          <w:rFonts w:hint="eastAsia"/>
          <w:sz w:val="32"/>
          <w:szCs w:val="32"/>
        </w:rPr>
        <w:t>红星镇人民政府单位二级预算单位，其中：参照公务员法管理的事业单位0个；其他事业单位1个。分别是：事业单位14名</w:t>
      </w:r>
      <w:r>
        <w:rPr>
          <w:rFonts w:hint="eastAsia"/>
          <w:sz w:val="32"/>
          <w:szCs w:val="32"/>
          <w:lang w:eastAsia="zh-CN"/>
        </w:rPr>
        <w:t>。</w:t>
      </w:r>
    </w:p>
    <w:p w14:paraId="10D94122">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atLeast"/>
        <w:ind w:left="0" w:leftChars="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三、收支预算情况说明</w:t>
      </w:r>
    </w:p>
    <w:p w14:paraId="6563C3BE">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atLeast"/>
        <w:ind w:left="0" w:leftChars="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按照综合预算的原则，红星镇人民政府所有收入和支出均纳入部门预算管理。收入包括：一般公共预算拨款收入350.86万元，事业收入0万元，其他收入0万元，上年结转0万元；支出包括：一般公共服务支出255.61万元，教育支出0万元，文化体育与传媒支出0万元，社会保障和就业支出45.96万元，卫生健康支出20.28万元，住房保障支出29.01万元。 红星镇人民政府2026年收支总预算350.86万元,比2025年收支预算总数增加37.69万元，</w:t>
      </w:r>
      <w:r>
        <w:rPr>
          <w:rFonts w:hint="eastAsia" w:ascii="仿宋_GB2312" w:hAnsi="仿宋_GB2312" w:eastAsia="仿宋_GB2312" w:cs="仿宋_GB2312"/>
          <w:b/>
          <w:bCs/>
          <w:sz w:val="32"/>
          <w:szCs w:val="32"/>
          <w:lang w:bidi="bo-CN"/>
        </w:rPr>
        <w:t>主要原因</w:t>
      </w:r>
      <w:r>
        <w:rPr>
          <w:rFonts w:hint="eastAsia" w:ascii="仿宋_GB2312" w:hAnsi="仿宋_GB2312" w:eastAsia="仿宋_GB2312" w:cs="仿宋_GB2312"/>
          <w:sz w:val="32"/>
          <w:szCs w:val="32"/>
          <w:lang w:bidi="bo-CN"/>
        </w:rPr>
        <w:t>:本年度有人员新增，基本工资有所上调，保险基数增加，故工资保险类增加，本年度预算增加了，人均公用经费也有所增加。</w:t>
      </w:r>
    </w:p>
    <w:p w14:paraId="044E3AF4">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（一）收入预算情况</w:t>
      </w:r>
    </w:p>
    <w:p w14:paraId="7359572A">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红星镇人民政府2026年收入预算350.86万元，其中：上年结转0万元，占0%；一般公共预算拨款收入350.86万元，占100%；事业收入0万元，占0%；其他收入0万元，占0%。</w:t>
      </w:r>
    </w:p>
    <w:p w14:paraId="5E3C622B">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（二）支出预算情况</w:t>
      </w:r>
    </w:p>
    <w:p w14:paraId="46511E20">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红星镇人民政府2026年支出预算350.86万元，其中：基本支出350.86万元，占100%；项目支出0万元，占0%。</w:t>
      </w:r>
    </w:p>
    <w:p w14:paraId="10C772B5">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atLeast"/>
        <w:ind w:left="0" w:leftChars="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四、财政拨款收支预算情况说明</w:t>
      </w:r>
    </w:p>
    <w:p w14:paraId="6100CBDA">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红星镇人民政府2026年财政拨款收支总预算350.86万元,比2025年财政拨款收支总预算增加37.69万元，</w:t>
      </w:r>
      <w:r>
        <w:rPr>
          <w:rFonts w:hint="eastAsia" w:ascii="仿宋_GB2312" w:hAnsi="仿宋_GB2312" w:eastAsia="仿宋_GB2312" w:cs="仿宋_GB2312"/>
          <w:b/>
          <w:bCs/>
          <w:sz w:val="32"/>
          <w:szCs w:val="32"/>
          <w:lang w:bidi="bo-CN"/>
        </w:rPr>
        <w:t>主要原因</w:t>
      </w:r>
      <w:r>
        <w:rPr>
          <w:rFonts w:hint="eastAsia" w:ascii="仿宋_GB2312" w:hAnsi="仿宋_GB2312" w:eastAsia="仿宋_GB2312" w:cs="仿宋_GB2312"/>
          <w:sz w:val="32"/>
          <w:szCs w:val="32"/>
          <w:lang w:bidi="bo-CN"/>
        </w:rPr>
        <w:t>:本年度有人员新增，基本工资有所上调，保险基数增加，故工资保险类增加，人均公用经费也有所增加。</w:t>
      </w:r>
      <w:r>
        <w:rPr>
          <w:rFonts w:hint="eastAsia" w:ascii="仿宋_GB2312" w:hAnsi="仿宋_GB2312" w:eastAsia="仿宋_GB2312" w:cs="仿宋_GB2312"/>
          <w:sz w:val="32"/>
          <w:szCs w:val="32"/>
        </w:rPr>
        <w:t>收入包括：本年一般公共预算拨款收入350.86万元，上年结转财政拨款资金0万元；</w:t>
      </w:r>
    </w:p>
    <w:p w14:paraId="77C3DACE">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atLeast"/>
        <w:ind w:left="0" w:leftChars="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支出包括：一般公共服务支出255.61万元，教育支出0万元，文化体育与传媒支出0万元，社会保障和就业支出45.96万元，卫生健康支出20.28万元，住房保障支出29.01万元。</w:t>
      </w:r>
    </w:p>
    <w:p w14:paraId="71C9D843">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atLeast"/>
        <w:ind w:left="0" w:leftChars="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五、一般公共预算当年拨款情况说明</w:t>
      </w:r>
    </w:p>
    <w:p w14:paraId="4F2F27BA">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（一）一般公共预算当年拨款规模变化情况</w:t>
      </w:r>
    </w:p>
    <w:p w14:paraId="1B0AE531">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atLeast"/>
        <w:ind w:left="0" w:leftChars="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红星镇人民政府2026年一般公共预算当年拨款350.86万元，比2025年预算数增加37.69万元，主要是基本支出增加37.69万元，</w:t>
      </w:r>
      <w:r>
        <w:rPr>
          <w:rFonts w:hint="eastAsia" w:ascii="仿宋_GB2312" w:hAnsi="仿宋_GB2312" w:eastAsia="仿宋_GB2312" w:cs="仿宋_GB2312"/>
          <w:b/>
          <w:bCs/>
          <w:sz w:val="32"/>
          <w:szCs w:val="32"/>
          <w:lang w:bidi="bo-CN"/>
        </w:rPr>
        <w:t>主要原因</w:t>
      </w:r>
      <w:r>
        <w:rPr>
          <w:rFonts w:hint="eastAsia" w:ascii="仿宋_GB2312" w:hAnsi="仿宋_GB2312" w:eastAsia="仿宋_GB2312" w:cs="仿宋_GB2312"/>
          <w:sz w:val="32"/>
          <w:szCs w:val="32"/>
          <w:lang w:bidi="bo-CN"/>
        </w:rPr>
        <w:t>:本年度有人员新增，基本工资有所上调，保险基数增加，故工资保险类增加，人均公用经费也有所增加。</w:t>
      </w:r>
    </w:p>
    <w:p w14:paraId="6E6214A9">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（二）一般公共预算当年拨款结构情况</w:t>
      </w:r>
    </w:p>
    <w:p w14:paraId="629E8055">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一般公共服务支出255.61万元，占72.85%；社会保障和就业支出45.96万元，占13.1%，卫生健康支出20.28万元，占5.78%；住房保障支出29.01万元，占8.27%。</w:t>
      </w:r>
    </w:p>
    <w:p w14:paraId="4D85C7B0">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（三）一般公共预算当年拨款具体使用情况</w:t>
      </w:r>
    </w:p>
    <w:p w14:paraId="6A338891">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一般公共服务（类）201政府办公厅（室）及相关机构事务（款）03事业运行（项）50：2026年预算数为255.61万元，主要用于红星镇事业工资福利支出，商品和服务支出办公费，印刷费，电费，委托业务费，以及对个人和家庭的补助支出中生活补助，医疗费等。</w:t>
      </w:r>
    </w:p>
    <w:p w14:paraId="2D4B4974">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atLeast"/>
        <w:ind w:left="0" w:leftChars="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社会保障和就业支出（类）208行政事业单位养老支出（款）05机关事业单位基本养老保险缴费支出（项）05：2026年预算数为30.64万元.主要用于红星镇干部职工单位部分缴纳养老保险金。</w:t>
      </w:r>
    </w:p>
    <w:p w14:paraId="778BD092">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atLeast"/>
        <w:ind w:left="0" w:leftChars="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社会保障和就业支出（类）208行政事业单位养老支出（款）05机关事业单位职业年金缴费支出（项）06：2026年预算数为15.32万元，主要用于红星镇干部职工单位部分缴纳职业年金保险金。</w:t>
      </w:r>
    </w:p>
    <w:p w14:paraId="351D6BEF">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卫生健康支出（类）210其他行政事业单位医疗(款)公务员医疗补助99（项）：2026年预算数为3.36万元，主要用于红星镇干部职工单位部分公务员医疗补助。</w:t>
      </w:r>
    </w:p>
    <w:p w14:paraId="312F817E">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atLeast"/>
        <w:ind w:left="0" w:leftChars="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卫生健康支出（类）210行政事业单位医疗(款)事业单位医疗（项）02：2026年预算数为16.92万元，主要用于红星镇干部职工单位部分医疗保险。</w:t>
      </w:r>
    </w:p>
    <w:p w14:paraId="08A87B1D">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atLeast"/>
        <w:ind w:left="0" w:leftChars="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住房保障支出（类）221住房改革支出（款）02住房公积金（项）01：2026年预算数为29.01万元，主要用于红星镇干部职工单位部分住房公积金缴费支出。</w:t>
      </w:r>
    </w:p>
    <w:p w14:paraId="11EA5638">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atLeast"/>
        <w:ind w:left="0" w:leftChars="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六、一般公共预算基本支出情况说明</w:t>
      </w:r>
    </w:p>
    <w:p w14:paraId="4530E8BF">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atLeast"/>
        <w:ind w:left="0" w:leftChars="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红星镇人民政府2026年一般公共预算基本支出350.86万元，其中：事业人员经费316.33万元，主要包括：基本工资53.47万元、津贴补贴65.51万元、绩效工资95.56万元、其他社会保障缴费1.93万元、机关事业单位基本养老保险缴费30.64万元、职业年金缴费15.32万元、职工基本医疗保险缴费16.92万元、公务员医疗补助缴费3.36万元、住房公积金29.01万元、医疗费2.15万元、其他商品和服务支出2.44万元。</w:t>
      </w:r>
    </w:p>
    <w:p w14:paraId="3840CA57">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atLeas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事业公用经费34.54万元，主要包括：办公费11.56万元、印刷费2万元、电费5万元、邮电费2万元、差旅费5万元、工会经费3.24万元、其他商品和服务支出5.75万元。</w:t>
      </w:r>
    </w:p>
    <w:p w14:paraId="398CBAA2">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atLeast"/>
        <w:ind w:left="0" w:leftChars="0"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七、“三公”经费财政拨款预算安排情况说明</w:t>
      </w:r>
    </w:p>
    <w:p w14:paraId="2BEC0B47">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atLeast"/>
        <w:ind w:left="0" w:leftChars="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红星镇人民政府2026年“三公”经费财政拨款预算数0万元，其中：因公出国（境）经费0万元，公务接待费0万元，公务用车购置及运行维护费0万元。</w:t>
      </w:r>
    </w:p>
    <w:p w14:paraId="3FF42738">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outlineLvl w:val="0"/>
        <w:rPr>
          <w:sz w:val="32"/>
          <w:szCs w:val="32"/>
          <w:lang w:bidi="bo-CN"/>
        </w:rPr>
      </w:pPr>
      <w:r>
        <w:rPr>
          <w:rFonts w:hint="eastAsia"/>
          <w:sz w:val="32"/>
          <w:szCs w:val="32"/>
          <w:lang w:bidi="bo-CN"/>
        </w:rPr>
        <w:t>（一）2026年因公出国（境）经费0万元。较2025年预算经费0万元增长0%，主要原因是2026年我单位无因公出国（境）业务。</w:t>
      </w:r>
    </w:p>
    <w:p w14:paraId="1885258A">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outlineLvl w:val="1"/>
        <w:rPr>
          <w:sz w:val="32"/>
          <w:szCs w:val="32"/>
          <w:lang w:bidi="bo-CN"/>
        </w:rPr>
      </w:pPr>
      <w:r>
        <w:rPr>
          <w:rFonts w:hint="eastAsia"/>
          <w:sz w:val="32"/>
          <w:szCs w:val="32"/>
          <w:lang w:bidi="bo-CN"/>
        </w:rPr>
        <w:t>（二）2026年公务接待费0万元。较2025年预算经费0万元增长0%，主要原因是：2026年我单位无公务接待费。</w:t>
      </w:r>
    </w:p>
    <w:p w14:paraId="2440FE83">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outlineLvl w:val="0"/>
        <w:rPr>
          <w:sz w:val="32"/>
          <w:szCs w:val="32"/>
          <w:lang w:bidi="bo-CN"/>
        </w:rPr>
      </w:pPr>
      <w:r>
        <w:rPr>
          <w:rFonts w:hint="eastAsia"/>
          <w:sz w:val="32"/>
          <w:szCs w:val="32"/>
          <w:lang w:bidi="bo-CN"/>
        </w:rPr>
        <w:t>（三）2026年公务用车购置及运行维护费0万元。较2025年预算经费0万元增长0%，主要原因是2026年我单位无</w:t>
      </w:r>
      <w:r>
        <w:rPr>
          <w:rFonts w:hint="eastAsia"/>
          <w:sz w:val="32"/>
          <w:szCs w:val="32"/>
        </w:rPr>
        <w:t>公务用车购置及运行维护费</w:t>
      </w:r>
      <w:r>
        <w:rPr>
          <w:rFonts w:hint="eastAsia"/>
          <w:sz w:val="32"/>
          <w:szCs w:val="32"/>
          <w:lang w:bidi="bo-CN"/>
        </w:rPr>
        <w:t>。</w:t>
      </w:r>
    </w:p>
    <w:p w14:paraId="3C4917A9">
      <w:pPr>
        <w:pStyle w:val="11"/>
        <w:keepNext w:val="0"/>
        <w:keepLines w:val="0"/>
        <w:pageBreakBefore w:val="0"/>
        <w:kinsoku/>
        <w:wordWrap/>
        <w:overflowPunct/>
        <w:topLinePunct w:val="0"/>
        <w:autoSpaceDE/>
        <w:autoSpaceDN/>
        <w:bidi w:val="0"/>
        <w:adjustRightInd/>
        <w:snapToGrid/>
        <w:spacing w:before="0" w:line="560" w:lineRule="atLeast"/>
        <w:ind w:left="0" w:leftChars="0" w:firstLine="643" w:firstLineChars="200"/>
        <w:textAlignment w:val="auto"/>
        <w:outlineLvl w:val="1"/>
        <w:rPr>
          <w:rFonts w:hint="eastAsia"/>
          <w:b/>
          <w:bCs/>
          <w:sz w:val="32"/>
          <w:szCs w:val="32"/>
        </w:rPr>
      </w:pPr>
      <w:r>
        <w:rPr>
          <w:rFonts w:hint="eastAsia"/>
          <w:b/>
          <w:bCs/>
          <w:sz w:val="32"/>
          <w:szCs w:val="32"/>
        </w:rPr>
        <w:t>八、政府性基金预算支出情况说明</w:t>
      </w:r>
    </w:p>
    <w:p w14:paraId="171DF11C">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outlineLvl w:val="1"/>
        <w:rPr>
          <w:rFonts w:ascii="??" w:hAnsi="??" w:eastAsia="宋体" w:cs="宋体"/>
          <w:sz w:val="32"/>
          <w:szCs w:val="32"/>
        </w:rPr>
      </w:pPr>
      <w:r>
        <w:rPr>
          <w:rFonts w:hint="eastAsia"/>
          <w:sz w:val="32"/>
          <w:szCs w:val="32"/>
        </w:rPr>
        <w:t>红星镇人民政府2026年政府性基金预算拨款安排的支出0万元。较2025年预算经费0万元增长0%，</w:t>
      </w:r>
      <w:r>
        <w:rPr>
          <w:rFonts w:hint="eastAsia"/>
          <w:sz w:val="32"/>
          <w:szCs w:val="32"/>
          <w:lang w:bidi="bo-CN"/>
        </w:rPr>
        <w:t>主要原因是：我单位无</w:t>
      </w:r>
      <w:r>
        <w:rPr>
          <w:rFonts w:hint="eastAsia"/>
          <w:sz w:val="32"/>
          <w:szCs w:val="32"/>
        </w:rPr>
        <w:t>政府性基金预算拨款安排。</w:t>
      </w:r>
    </w:p>
    <w:p w14:paraId="66BCE463">
      <w:pPr>
        <w:pStyle w:val="11"/>
        <w:keepNext w:val="0"/>
        <w:keepLines w:val="0"/>
        <w:pageBreakBefore w:val="0"/>
        <w:numPr>
          <w:ilvl w:val="0"/>
          <w:numId w:val="1"/>
        </w:numPr>
        <w:kinsoku/>
        <w:wordWrap/>
        <w:overflowPunct/>
        <w:topLinePunct w:val="0"/>
        <w:autoSpaceDE/>
        <w:autoSpaceDN/>
        <w:bidi w:val="0"/>
        <w:adjustRightInd/>
        <w:snapToGrid/>
        <w:spacing w:before="0" w:line="560" w:lineRule="atLeast"/>
        <w:ind w:left="0" w:leftChars="0" w:firstLine="643" w:firstLineChars="200"/>
        <w:textAlignment w:val="auto"/>
        <w:outlineLvl w:val="0"/>
        <w:rPr>
          <w:b/>
          <w:bCs/>
          <w:sz w:val="32"/>
          <w:szCs w:val="32"/>
        </w:rPr>
      </w:pPr>
      <w:r>
        <w:rPr>
          <w:rFonts w:hint="eastAsia"/>
          <w:b/>
          <w:bCs/>
          <w:sz w:val="32"/>
          <w:szCs w:val="32"/>
        </w:rPr>
        <w:t>国有资本经营预算支出情况说明</w:t>
      </w:r>
    </w:p>
    <w:p w14:paraId="669F09A4">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outlineLvl w:val="1"/>
        <w:rPr>
          <w:rFonts w:ascii="??" w:hAnsi="??" w:eastAsia="宋体" w:cs="宋体"/>
          <w:sz w:val="32"/>
          <w:szCs w:val="32"/>
        </w:rPr>
      </w:pPr>
      <w:r>
        <w:rPr>
          <w:rFonts w:hint="eastAsia"/>
          <w:sz w:val="32"/>
          <w:szCs w:val="32"/>
        </w:rPr>
        <w:t>红星镇人民政府2026年国有资本经营预算安排的支出0万元。较2025年预算经费0万元增长0%，</w:t>
      </w:r>
      <w:r>
        <w:rPr>
          <w:rFonts w:hint="eastAsia"/>
          <w:sz w:val="32"/>
          <w:szCs w:val="32"/>
          <w:lang w:bidi="bo-CN"/>
        </w:rPr>
        <w:t>主要原因是：我单位无</w:t>
      </w:r>
      <w:r>
        <w:rPr>
          <w:rFonts w:hint="eastAsia"/>
          <w:sz w:val="32"/>
          <w:szCs w:val="32"/>
        </w:rPr>
        <w:t>国有资本经营预算安排。</w:t>
      </w:r>
    </w:p>
    <w:p w14:paraId="0AED06C2">
      <w:pPr>
        <w:pStyle w:val="11"/>
        <w:keepNext w:val="0"/>
        <w:keepLines w:val="0"/>
        <w:pageBreakBefore w:val="0"/>
        <w:kinsoku/>
        <w:wordWrap/>
        <w:overflowPunct/>
        <w:topLinePunct w:val="0"/>
        <w:autoSpaceDE/>
        <w:autoSpaceDN/>
        <w:bidi w:val="0"/>
        <w:adjustRightInd/>
        <w:snapToGrid/>
        <w:spacing w:before="0" w:line="560" w:lineRule="atLeast"/>
        <w:ind w:left="0" w:leftChars="0" w:firstLine="643" w:firstLineChars="200"/>
        <w:textAlignment w:val="auto"/>
        <w:rPr>
          <w:rFonts w:hint="eastAsia"/>
          <w:b/>
          <w:bCs/>
          <w:sz w:val="32"/>
          <w:szCs w:val="32"/>
        </w:rPr>
      </w:pPr>
      <w:r>
        <w:rPr>
          <w:rFonts w:hint="eastAsia"/>
          <w:b/>
          <w:bCs/>
          <w:sz w:val="32"/>
          <w:szCs w:val="32"/>
        </w:rPr>
        <w:t>十、其他重要事项的情况说明</w:t>
      </w:r>
    </w:p>
    <w:p w14:paraId="33DB63EA">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rFonts w:hint="eastAsia"/>
          <w:sz w:val="32"/>
          <w:szCs w:val="32"/>
        </w:rPr>
      </w:pPr>
      <w:r>
        <w:rPr>
          <w:rFonts w:hint="eastAsia"/>
          <w:sz w:val="32"/>
          <w:szCs w:val="32"/>
        </w:rPr>
        <w:t>（一）机关运行经费</w:t>
      </w:r>
    </w:p>
    <w:p w14:paraId="28BD3978">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rFonts w:hint="eastAsia"/>
          <w:sz w:val="32"/>
          <w:szCs w:val="32"/>
        </w:rPr>
      </w:pPr>
      <w:r>
        <w:rPr>
          <w:rFonts w:hint="eastAsia"/>
          <w:sz w:val="32"/>
          <w:szCs w:val="32"/>
        </w:rPr>
        <w:t>红星镇人民政府2026年机关运行经费财政拨款预算为34.54万元，比2025年预算增加2.73万元，增长5.58%。</w:t>
      </w:r>
    </w:p>
    <w:p w14:paraId="1A26D313">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sz w:val="32"/>
          <w:szCs w:val="32"/>
        </w:rPr>
      </w:pPr>
      <w:r>
        <w:rPr>
          <w:rFonts w:hint="eastAsia"/>
          <w:sz w:val="32"/>
          <w:szCs w:val="32"/>
        </w:rPr>
        <w:t>（二）政府采购情况</w:t>
      </w:r>
    </w:p>
    <w:p w14:paraId="7CDC7C91">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sz w:val="32"/>
          <w:szCs w:val="32"/>
          <w:lang w:bidi="bo-CN"/>
        </w:rPr>
      </w:pPr>
      <w:r>
        <w:rPr>
          <w:rFonts w:hint="eastAsia"/>
          <w:sz w:val="32"/>
          <w:szCs w:val="32"/>
        </w:rPr>
        <w:t>2026年红星镇人民政府单位安排政府采购预算0万元，较2025年预算经费0万元增长0%，主要原因是2026年我单位无政府采购</w:t>
      </w:r>
      <w:r>
        <w:rPr>
          <w:rFonts w:hint="eastAsia"/>
          <w:sz w:val="32"/>
          <w:szCs w:val="32"/>
          <w:lang w:bidi="bo-CN"/>
        </w:rPr>
        <w:t>。</w:t>
      </w:r>
    </w:p>
    <w:p w14:paraId="4C29687D">
      <w:pPr>
        <w:pStyle w:val="11"/>
        <w:keepNext w:val="0"/>
        <w:keepLines w:val="0"/>
        <w:pageBreakBefore w:val="0"/>
        <w:numPr>
          <w:ilvl w:val="0"/>
          <w:numId w:val="2"/>
        </w:numPr>
        <w:kinsoku/>
        <w:wordWrap/>
        <w:overflowPunct/>
        <w:topLinePunct w:val="0"/>
        <w:autoSpaceDE/>
        <w:autoSpaceDN/>
        <w:bidi w:val="0"/>
        <w:adjustRightInd/>
        <w:snapToGrid/>
        <w:spacing w:before="0" w:line="560" w:lineRule="atLeast"/>
        <w:ind w:left="0" w:leftChars="0" w:firstLine="640" w:firstLineChars="200"/>
        <w:textAlignment w:val="auto"/>
        <w:rPr>
          <w:sz w:val="32"/>
          <w:szCs w:val="32"/>
        </w:rPr>
      </w:pPr>
      <w:r>
        <w:rPr>
          <w:rFonts w:hint="eastAsia"/>
          <w:sz w:val="32"/>
          <w:szCs w:val="32"/>
        </w:rPr>
        <w:t>国有资产占有使用情况</w:t>
      </w:r>
    </w:p>
    <w:p w14:paraId="09D57F35">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sz w:val="32"/>
          <w:szCs w:val="32"/>
        </w:rPr>
      </w:pPr>
      <w:r>
        <w:rPr>
          <w:rFonts w:hint="eastAsia"/>
          <w:sz w:val="32"/>
          <w:szCs w:val="32"/>
        </w:rPr>
        <w:t>2026年红星镇人民政府国有资产占有使用情况0万元，较2025年预算经</w:t>
      </w:r>
      <w:bookmarkStart w:id="0" w:name="_GoBack"/>
      <w:bookmarkEnd w:id="0"/>
      <w:r>
        <w:rPr>
          <w:rFonts w:hint="eastAsia"/>
          <w:sz w:val="32"/>
          <w:szCs w:val="32"/>
        </w:rPr>
        <w:t>费0万元增长0%，</w:t>
      </w:r>
      <w:r>
        <w:rPr>
          <w:rFonts w:hint="eastAsia"/>
          <w:sz w:val="32"/>
          <w:szCs w:val="32"/>
          <w:lang w:bidi="bo-CN"/>
        </w:rPr>
        <w:t>主要原因是我单位无国有资产。</w:t>
      </w:r>
    </w:p>
    <w:p w14:paraId="7149E58F">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sz w:val="32"/>
          <w:szCs w:val="32"/>
        </w:rPr>
      </w:pPr>
      <w:r>
        <w:rPr>
          <w:rFonts w:hint="eastAsia"/>
          <w:sz w:val="32"/>
          <w:szCs w:val="32"/>
        </w:rPr>
        <w:t>（四）绩效目标设置情况</w:t>
      </w:r>
    </w:p>
    <w:p w14:paraId="3029D979">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sz w:val="32"/>
          <w:szCs w:val="32"/>
        </w:rPr>
      </w:pPr>
      <w:r>
        <w:rPr>
          <w:rFonts w:hint="eastAsia"/>
          <w:sz w:val="32"/>
          <w:szCs w:val="32"/>
        </w:rPr>
        <w:t>2026年红星镇人民政府涉及一般公共预算当年拨款350.86万元，能够促进我</w:t>
      </w:r>
      <w:r>
        <w:rPr>
          <w:rFonts w:hint="eastAsia"/>
          <w:sz w:val="32"/>
          <w:szCs w:val="32"/>
          <w:lang w:val="en-US" w:eastAsia="zh-CN"/>
        </w:rPr>
        <w:t>单位</w:t>
      </w:r>
      <w:r>
        <w:rPr>
          <w:rFonts w:hint="eastAsia"/>
          <w:sz w:val="32"/>
          <w:szCs w:val="32"/>
        </w:rPr>
        <w:t>经济发展，促进社会进步，进一步提高人民生活水平。</w:t>
      </w:r>
    </w:p>
    <w:p w14:paraId="6A18FE9E">
      <w:pPr>
        <w:pStyle w:val="11"/>
        <w:keepNext w:val="0"/>
        <w:keepLines w:val="0"/>
        <w:pageBreakBefore w:val="0"/>
        <w:kinsoku/>
        <w:wordWrap/>
        <w:overflowPunct/>
        <w:topLinePunct w:val="0"/>
        <w:autoSpaceDE/>
        <w:autoSpaceDN/>
        <w:bidi w:val="0"/>
        <w:adjustRightInd/>
        <w:snapToGrid/>
        <w:spacing w:before="0" w:line="560" w:lineRule="atLeast"/>
        <w:ind w:left="0" w:leftChars="0" w:firstLine="643" w:firstLineChars="200"/>
        <w:textAlignment w:val="auto"/>
        <w:rPr>
          <w:rFonts w:hint="eastAsia"/>
          <w:b/>
          <w:bCs/>
          <w:sz w:val="32"/>
          <w:szCs w:val="32"/>
        </w:rPr>
      </w:pPr>
      <w:r>
        <w:rPr>
          <w:rFonts w:hint="eastAsia"/>
          <w:b/>
          <w:bCs/>
          <w:sz w:val="32"/>
          <w:szCs w:val="32"/>
        </w:rPr>
        <w:t>十一、名词解释</w:t>
      </w:r>
    </w:p>
    <w:p w14:paraId="32607110">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rFonts w:hint="eastAsia"/>
          <w:sz w:val="32"/>
          <w:szCs w:val="32"/>
        </w:rPr>
      </w:pPr>
      <w:r>
        <w:rPr>
          <w:rFonts w:hint="eastAsia"/>
          <w:sz w:val="32"/>
          <w:szCs w:val="32"/>
        </w:rPr>
        <w:t>（一）财政拨款收入：指由财政拨款形成的部门收入。按现行管理制度，部门预算中反映的财政拨款仅包括一般公共预算拨款和政府性基金预算拨款。</w:t>
      </w:r>
    </w:p>
    <w:p w14:paraId="19A79033">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rFonts w:hint="eastAsia"/>
          <w:sz w:val="32"/>
          <w:szCs w:val="32"/>
        </w:rPr>
      </w:pPr>
      <w:r>
        <w:rPr>
          <w:rFonts w:hint="eastAsia"/>
          <w:sz w:val="32"/>
          <w:szCs w:val="32"/>
        </w:rPr>
        <w:t>（二）事业收入：指所属事业单位开展专业业务活动及辅助活动所取得的收入。</w:t>
      </w:r>
    </w:p>
    <w:p w14:paraId="20A1F6AA">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rFonts w:hint="eastAsia"/>
          <w:sz w:val="32"/>
          <w:szCs w:val="32"/>
        </w:rPr>
      </w:pPr>
      <w:r>
        <w:rPr>
          <w:rFonts w:hint="eastAsia"/>
          <w:sz w:val="32"/>
          <w:szCs w:val="32"/>
        </w:rPr>
        <w:t>（三）事业单位经营收入：指所属事业单位在专业业务活动及其辅助活动之外开展非独立核算经营活动取得的收入。</w:t>
      </w:r>
    </w:p>
    <w:p w14:paraId="4021B5FD">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rFonts w:hint="eastAsia"/>
          <w:sz w:val="32"/>
          <w:szCs w:val="32"/>
        </w:rPr>
      </w:pPr>
      <w:r>
        <w:rPr>
          <w:rFonts w:hint="eastAsia"/>
          <w:sz w:val="32"/>
          <w:szCs w:val="32"/>
        </w:rPr>
        <w:t>（四）其他收入：指除上述“财政拨款收入”、“事业收入”、“事业单位经营收入”等以外的收入，主要是所属行政事业单位按规定动用的售房收入、存款利息收入等。</w:t>
      </w:r>
    </w:p>
    <w:p w14:paraId="72A8A6A4">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rFonts w:hint="eastAsia"/>
          <w:sz w:val="32"/>
          <w:szCs w:val="32"/>
        </w:rPr>
      </w:pPr>
      <w:r>
        <w:rPr>
          <w:rFonts w:hint="eastAsia"/>
          <w:sz w:val="32"/>
          <w:szCs w:val="32"/>
        </w:rPr>
        <w:t>（五）用事业基金弥补收支差额：指所属事业单位在预计用当年的“财政拨款收入”、“事业收入”、“事业单位经营收入”、“其他收入”不足以安排当年支出的情况下，使用以前年度积累的事业基金弥补本年度收支缺口的资金。</w:t>
      </w:r>
    </w:p>
    <w:p w14:paraId="37907CE6">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sz w:val="32"/>
          <w:szCs w:val="32"/>
        </w:rPr>
      </w:pPr>
      <w:r>
        <w:rPr>
          <w:rFonts w:hint="eastAsia"/>
          <w:sz w:val="32"/>
          <w:szCs w:val="32"/>
        </w:rPr>
        <w:t>（六）上年结转：指所属行政事业单位以前年度尚未完成、结转至本年按原规定用途继续使用的资金和以前年度已完成项目剩余资金经批准用于新用途使用的资金。</w:t>
      </w:r>
    </w:p>
    <w:sectPr>
      <w:footerReference r:id="rId3" w:type="default"/>
      <w:pgSz w:w="11906" w:h="16838"/>
      <w:pgMar w:top="2098" w:right="1474" w:bottom="1984" w:left="158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1D5EAB94">
    <w:panose1 w:val="020B0802040204020203"/>
    <w:charset w:val="00"/>
    <w:family w:val="auto"/>
    <w:pitch w:val="default"/>
    <w:sig w:usb0="00000001" w:usb1="00000000" w:usb2="00000000" w:usb3="00000000" w:csb0="00000001" w:csb1="00000000"/>
  </w:font>
  <w:font w:name="KSOF29153A75">
    <w:panose1 w:val="020B0502040204020203"/>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7A7EC">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798B111B">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9</w:t>
                          </w:r>
                          <w:r>
                            <w:rPr>
                              <w:rFonts w:hint="eastAsia" w:asciiTheme="minorEastAsia" w:hAnsiTheme="minorEastAsia" w:eastAsiaTheme="minorEastAsia" w:cstheme="minorEastAsia"/>
                              <w:sz w:val="28"/>
                              <w:szCs w:val="28"/>
                            </w:rPr>
                            <w:fldChar w:fldCharType="end"/>
                          </w:r>
                        </w:p>
                      </w:txbxContent>
                    </wps:txbx>
                    <wps:bodyPr vert="horz" wrap="none" lIns="0" tIns="0" rIns="0" bIns="0" anchor="t" anchorCtr="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LNJWO7QAAAABQEAAA8A&#10;AAAAAAAAAQAgAAAAIgAAAGRycy9kb3ducmV2LnhtbFBLAQIUABQAAAAIAIdO4kDQUPlE5gEAAMcD&#10;AAAOAAAAAAAAAAEAIAAAAB8BAABkcnMvZTJvRG9jLnhtbFBLBQYAAAAABgAGAFkBAAB3BQAAAAA=&#10;">
              <v:fill on="f" focussize="0,0"/>
              <v:stroke on="f" weight="0.5pt"/>
              <v:imagedata o:title=""/>
              <o:lock v:ext="edit" aspectratio="f"/>
              <v:textbox inset="0mm,0mm,0mm,0mm" style="mso-fit-shape-to-text:t;">
                <w:txbxContent>
                  <w:p w14:paraId="798B111B">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9</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D928F7"/>
    <w:multiLevelType w:val="singleLevel"/>
    <w:tmpl w:val="C6D928F7"/>
    <w:lvl w:ilvl="0" w:tentative="0">
      <w:start w:val="3"/>
      <w:numFmt w:val="chineseCounting"/>
      <w:suff w:val="nothing"/>
      <w:lvlText w:val="（%1）"/>
      <w:lvlJc w:val="left"/>
      <w:rPr>
        <w:rFonts w:hint="eastAsia"/>
      </w:rPr>
    </w:lvl>
  </w:abstractNum>
  <w:abstractNum w:abstractNumId="1">
    <w:nsid w:val="48AB7CF8"/>
    <w:multiLevelType w:val="singleLevel"/>
    <w:tmpl w:val="48AB7CF8"/>
    <w:lvl w:ilvl="0" w:tentative="0">
      <w:start w:val="9"/>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NotTrackMoves/>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854"/>
    <w:rsid w:val="00025B29"/>
    <w:rsid w:val="000329A3"/>
    <w:rsid w:val="00085137"/>
    <w:rsid w:val="00260082"/>
    <w:rsid w:val="00261039"/>
    <w:rsid w:val="0027447E"/>
    <w:rsid w:val="00291AF0"/>
    <w:rsid w:val="00315416"/>
    <w:rsid w:val="0035163E"/>
    <w:rsid w:val="00352854"/>
    <w:rsid w:val="003762A5"/>
    <w:rsid w:val="00397759"/>
    <w:rsid w:val="00412E78"/>
    <w:rsid w:val="00424F18"/>
    <w:rsid w:val="00491A9E"/>
    <w:rsid w:val="004C5E33"/>
    <w:rsid w:val="00524245"/>
    <w:rsid w:val="0053029E"/>
    <w:rsid w:val="005C47BE"/>
    <w:rsid w:val="005E0A8B"/>
    <w:rsid w:val="0068558D"/>
    <w:rsid w:val="007710D3"/>
    <w:rsid w:val="007A531C"/>
    <w:rsid w:val="007B3677"/>
    <w:rsid w:val="00887A60"/>
    <w:rsid w:val="008F63EB"/>
    <w:rsid w:val="00946F5B"/>
    <w:rsid w:val="009648A7"/>
    <w:rsid w:val="00985771"/>
    <w:rsid w:val="00987B5A"/>
    <w:rsid w:val="00A60456"/>
    <w:rsid w:val="00A718C1"/>
    <w:rsid w:val="00A809F6"/>
    <w:rsid w:val="00A817DB"/>
    <w:rsid w:val="00C01031"/>
    <w:rsid w:val="00C0348B"/>
    <w:rsid w:val="00C451EA"/>
    <w:rsid w:val="00C8183B"/>
    <w:rsid w:val="00D06D76"/>
    <w:rsid w:val="00D22494"/>
    <w:rsid w:val="00D31706"/>
    <w:rsid w:val="00D97F20"/>
    <w:rsid w:val="00DB6419"/>
    <w:rsid w:val="00DD750A"/>
    <w:rsid w:val="00E16BE3"/>
    <w:rsid w:val="00E23304"/>
    <w:rsid w:val="00E918C1"/>
    <w:rsid w:val="00E92D84"/>
    <w:rsid w:val="00F14BDD"/>
    <w:rsid w:val="00F267C7"/>
    <w:rsid w:val="00F40C09"/>
    <w:rsid w:val="00F743F0"/>
    <w:rsid w:val="00F80C32"/>
    <w:rsid w:val="00F85776"/>
    <w:rsid w:val="00F96BE5"/>
    <w:rsid w:val="00FD2672"/>
    <w:rsid w:val="00FF11B9"/>
    <w:rsid w:val="06AD62E4"/>
    <w:rsid w:val="0A982BD7"/>
    <w:rsid w:val="11C06A55"/>
    <w:rsid w:val="125E3C22"/>
    <w:rsid w:val="17567F20"/>
    <w:rsid w:val="18705862"/>
    <w:rsid w:val="1902126D"/>
    <w:rsid w:val="1954059A"/>
    <w:rsid w:val="1A903AFB"/>
    <w:rsid w:val="1AED21BC"/>
    <w:rsid w:val="1BCA6325"/>
    <w:rsid w:val="1DDC2BB3"/>
    <w:rsid w:val="1FDB5818"/>
    <w:rsid w:val="2221328A"/>
    <w:rsid w:val="2BF465EE"/>
    <w:rsid w:val="2DE75962"/>
    <w:rsid w:val="2E81758A"/>
    <w:rsid w:val="30901D07"/>
    <w:rsid w:val="35E623C9"/>
    <w:rsid w:val="36A17CD0"/>
    <w:rsid w:val="490270C2"/>
    <w:rsid w:val="4AFE2A6F"/>
    <w:rsid w:val="4CC3507C"/>
    <w:rsid w:val="519B00B4"/>
    <w:rsid w:val="51EE5180"/>
    <w:rsid w:val="53346A12"/>
    <w:rsid w:val="63AB173F"/>
    <w:rsid w:val="672A7AB8"/>
    <w:rsid w:val="67F307F2"/>
    <w:rsid w:val="6B19231D"/>
    <w:rsid w:val="6CDF6944"/>
    <w:rsid w:val="6EDC1FE0"/>
    <w:rsid w:val="6F347726"/>
    <w:rsid w:val="70D402EB"/>
    <w:rsid w:val="71FE401B"/>
    <w:rsid w:val="733C446D"/>
    <w:rsid w:val="75635F19"/>
    <w:rsid w:val="757F5473"/>
    <w:rsid w:val="772C456C"/>
    <w:rsid w:val="77ED0DBA"/>
    <w:rsid w:val="79AD6A52"/>
    <w:rsid w:val="7A9E580F"/>
  </w:rsids>
  <m:mathPr>
    <m:mathFont m:val="Cambria Math"/>
    <m:brkBin m:val="before"/>
    <m:brkBinSub m:val="--"/>
    <m:smallFrac m:val="1"/>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99"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qFormat/>
    <w:uiPriority w:val="99"/>
    <w:pPr>
      <w:tabs>
        <w:tab w:val="center" w:pos="4153"/>
        <w:tab w:val="right" w:pos="8306"/>
      </w:tabs>
      <w:snapToGrid w:val="0"/>
      <w:jc w:val="left"/>
    </w:pPr>
    <w:rPr>
      <w:sz w:val="18"/>
      <w:szCs w:val="18"/>
    </w:rPr>
  </w:style>
  <w:style w:type="paragraph" w:styleId="3">
    <w:name w:val="header"/>
    <w:basedOn w:val="1"/>
    <w:link w:val="9"/>
    <w:qFormat/>
    <w:uiPriority w:val="99"/>
    <w:pPr>
      <w:pBdr>
        <w:bottom w:val="single" w:color="auto" w:sz="6" w:space="1"/>
      </w:pBdr>
      <w:tabs>
        <w:tab w:val="center" w:pos="4153"/>
        <w:tab w:val="right" w:pos="8306"/>
      </w:tabs>
      <w:snapToGrid w:val="0"/>
      <w:jc w:val="center"/>
    </w:pPr>
    <w:rPr>
      <w:sz w:val="18"/>
      <w:szCs w:val="18"/>
    </w:rPr>
  </w:style>
  <w:style w:type="paragraph" w:styleId="4">
    <w:name w:val="toc 1"/>
    <w:basedOn w:val="1"/>
    <w:next w:val="1"/>
    <w:qFormat/>
    <w:locked/>
    <w:uiPriority w:val="0"/>
    <w:pPr>
      <w:tabs>
        <w:tab w:val="right" w:leader="dot" w:pos="8296"/>
      </w:tabs>
      <w:spacing w:before="93"/>
      <w:jc w:val="center"/>
    </w:pPr>
    <w:rPr>
      <w:rFonts w:ascii="仿宋" w:eastAsia="仿宋"/>
      <w:sz w:val="28"/>
      <w:szCs w:val="28"/>
    </w:rPr>
  </w:style>
  <w:style w:type="paragraph" w:styleId="5">
    <w:name w:val="Normal (Web)"/>
    <w:basedOn w:val="1"/>
    <w:qFormat/>
    <w:uiPriority w:val="99"/>
    <w:pPr>
      <w:spacing w:beforeAutospacing="1" w:afterAutospacing="1"/>
      <w:jc w:val="left"/>
    </w:pPr>
    <w:rPr>
      <w:kern w:val="0"/>
      <w:sz w:val="24"/>
      <w:szCs w:val="24"/>
    </w:rPr>
  </w:style>
  <w:style w:type="character" w:styleId="8">
    <w:name w:val="Emphasis"/>
    <w:basedOn w:val="7"/>
    <w:qFormat/>
    <w:uiPriority w:val="99"/>
  </w:style>
  <w:style w:type="character" w:customStyle="1" w:styleId="9">
    <w:name w:val="页眉 Char"/>
    <w:basedOn w:val="7"/>
    <w:link w:val="3"/>
    <w:qFormat/>
    <w:locked/>
    <w:uiPriority w:val="99"/>
    <w:rPr>
      <w:sz w:val="18"/>
      <w:szCs w:val="18"/>
    </w:rPr>
  </w:style>
  <w:style w:type="character" w:customStyle="1" w:styleId="10">
    <w:name w:val="页脚 Char"/>
    <w:basedOn w:val="7"/>
    <w:link w:val="2"/>
    <w:qFormat/>
    <w:locked/>
    <w:uiPriority w:val="99"/>
    <w:rPr>
      <w:sz w:val="18"/>
      <w:szCs w:val="18"/>
    </w:rPr>
  </w:style>
  <w:style w:type="paragraph" w:customStyle="1" w:styleId="11">
    <w:name w:val="正文文本1"/>
    <w:basedOn w:val="1"/>
    <w:qFormat/>
    <w:uiPriority w:val="99"/>
    <w:pPr>
      <w:spacing w:before="93"/>
    </w:pPr>
    <w:rPr>
      <w:rFonts w:ascii="仿宋_GB2312" w:hAnsi="仿宋_GB2312" w:eastAsia="仿宋_GB2312" w:cs="仿宋_GB2312"/>
      <w:kern w:val="0"/>
      <w:sz w:val="30"/>
      <w:szCs w:val="30"/>
    </w:rPr>
  </w:style>
  <w:style w:type="character" w:customStyle="1" w:styleId="12">
    <w:name w:val="默认段落字体1"/>
    <w:qFormat/>
    <w:uiPriority w:val="99"/>
    <w:rPr>
      <w:sz w:val="22"/>
      <w:szCs w:val="22"/>
    </w:rPr>
  </w:style>
  <w:style w:type="paragraph" w:styleId="13">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10</Pages>
  <Words>3260</Words>
  <Characters>3663</Characters>
  <Lines>4</Lines>
  <Paragraphs>7</Paragraphs>
  <TotalTime>1</TotalTime>
  <ScaleCrop>false</ScaleCrop>
  <LinksUpToDate>false</LinksUpToDate>
  <CharactersWithSpaces>3668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2020-03-05T02:15:00Z</dcterms:created>
  <dc:creator>薛永萍</dc:creator>
  <cp:lastModifiedBy>小腹黑~</cp:lastModifiedBy>
  <dcterms:modified xsi:type="dcterms:W3CDTF">2026-02-02T07:13:10Z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eyJoZGlkIjoiNTU0OWFiYjY0YjRlYzZmZDU5Yjk5NjBiMzMxNDRjNDUiLCJ1c2VySWQiOiIxMTM5NjE0MTY3In0=</vt:lpwstr>
  </property>
  <property fmtid="{D5CDD505-2E9C-101B-9397-08002B2CF9AE}" pid="3" name="KSOProductBuildVer">
    <vt:lpwstr>2052-12.1.0.24657</vt:lpwstr>
  </property>
  <property fmtid="{D5CDD505-2E9C-101B-9397-08002B2CF9AE}" pid="4" name="ICV">
    <vt:lpwstr>25A1654291F343028E3CC64DA633EA43_13</vt:lpwstr>
  </property>
</Properties>
</file>