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黑体" w:hAnsi="黑体" w:eastAsia="黑体" w:cs="黑体"/>
          <w:color w:val="auto"/>
          <w:kern w:val="2"/>
          <w:sz w:val="32"/>
          <w:szCs w:val="32"/>
          <w:highlight w:val="none"/>
          <w:lang w:val="en-US" w:eastAsia="zh-CN" w:bidi="ar-SA"/>
        </w:rPr>
      </w:pPr>
      <w:bookmarkStart w:id="0" w:name="_Toc15396597"/>
      <w:bookmarkStart w:id="1" w:name="_Toc15377193"/>
      <w:bookmarkStart w:id="2" w:name="_Toc15396475"/>
      <w:bookmarkStart w:id="3" w:name="_Toc15306267"/>
      <w:bookmarkStart w:id="4" w:name="_Toc15377425"/>
      <w:bookmarkStart w:id="5" w:name="_Toc15378441"/>
      <w:bookmarkStart w:id="61" w:name="_GoBack"/>
      <w:r>
        <w:rPr>
          <w:rFonts w:hint="eastAsia" w:ascii="黑体" w:hAnsi="黑体" w:eastAsia="黑体" w:cs="黑体"/>
          <w:color w:val="auto"/>
          <w:kern w:val="2"/>
          <w:sz w:val="32"/>
          <w:szCs w:val="32"/>
          <w:highlight w:val="none"/>
          <w:lang w:val="en-US" w:eastAsia="zh-CN" w:bidi="ar-SA"/>
        </w:rPr>
        <w:t>附件4</w:t>
      </w: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rPr>
        <w:t>四川若尔盖湿地国家级自然保护区管理局</w:t>
      </w:r>
      <w:bookmarkEnd w:id="0"/>
      <w:bookmarkEnd w:id="1"/>
      <w:bookmarkEnd w:id="2"/>
      <w:bookmarkEnd w:id="3"/>
      <w:bookmarkEnd w:id="4"/>
      <w:bookmarkEnd w:id="5"/>
      <w:r>
        <w:rPr>
          <w:rFonts w:hint="eastAsia" w:ascii="方正小标宋简体" w:hAnsi="方正小标宋简体" w:eastAsia="方正小标宋简体" w:cs="方正小标宋简体"/>
          <w:sz w:val="72"/>
          <w:szCs w:val="72"/>
          <w:lang w:eastAsia="zh-CN"/>
        </w:rPr>
        <w:t>部门决算</w:t>
      </w:r>
      <w:r>
        <w:rPr>
          <w:rFonts w:hint="eastAsia" w:ascii="方正小标宋简体" w:hAnsi="方正小标宋简体" w:eastAsia="方正小标宋简体" w:cs="方正小标宋简体"/>
          <w:sz w:val="72"/>
          <w:szCs w:val="72"/>
          <w:lang w:val="en-US" w:eastAsia="zh-CN"/>
        </w:rPr>
        <w:t xml:space="preserve">  </w:t>
      </w:r>
    </w:p>
    <w:p>
      <w:pPr>
        <w:pStyle w:val="13"/>
        <w:rPr>
          <w:rFonts w:hint="eastAsia" w:ascii="方正小标宋简体" w:hAnsi="方正小标宋简体" w:eastAsia="方正小标宋简体" w:cs="方正小标宋简体"/>
          <w:sz w:val="72"/>
          <w:szCs w:val="72"/>
          <w:lang w:val="en-US" w:eastAsia="zh-CN"/>
        </w:rPr>
      </w:pPr>
    </w:p>
    <w:p>
      <w:pPr>
        <w:pStyle w:val="2"/>
        <w:rPr>
          <w:rFonts w:hint="eastAsia" w:ascii="方正小标宋简体" w:hAnsi="方正小标宋简体" w:eastAsia="方正小标宋简体" w:cs="方正小标宋简体"/>
          <w:sz w:val="72"/>
          <w:szCs w:val="72"/>
          <w:lang w:val="en-US" w:eastAsia="zh-CN"/>
        </w:rPr>
      </w:pPr>
    </w:p>
    <w:p>
      <w:pPr>
        <w:rPr>
          <w:rFonts w:hint="eastAsia" w:ascii="方正小标宋简体" w:hAnsi="方正小标宋简体" w:eastAsia="方正小标宋简体" w:cs="方正小标宋简体"/>
          <w:sz w:val="72"/>
          <w:szCs w:val="72"/>
          <w:lang w:val="en-US" w:eastAsia="zh-CN"/>
        </w:rPr>
      </w:pPr>
    </w:p>
    <w:p>
      <w:pPr>
        <w:pStyle w:val="13"/>
        <w:rPr>
          <w:rFonts w:hint="eastAsia" w:ascii="方正小标宋简体" w:hAnsi="方正小标宋简体" w:eastAsia="方正小标宋简体" w:cs="方正小标宋简体"/>
          <w:sz w:val="72"/>
          <w:szCs w:val="72"/>
          <w:lang w:val="en-US" w:eastAsia="zh-CN"/>
        </w:rPr>
      </w:pPr>
    </w:p>
    <w:p>
      <w:pPr>
        <w:jc w:val="center"/>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已经保密审查、内容审定，同意对外公开</w:t>
      </w:r>
    </w:p>
    <w:p>
      <w:pPr>
        <w:pStyle w:val="2"/>
        <w:rPr>
          <w:rFonts w:hint="default"/>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 xml:space="preserve">..........................................................................3      </w:t>
      </w: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..........................................................................3</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.............................................14</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......................................................15</w:t>
      </w:r>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..............................................................17</w:t>
      </w:r>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........18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................18</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4"/>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numPr>
          <w:ilvl w:val="0"/>
          <w:numId w:val="0"/>
        </w:numPr>
        <w:ind w:firstLine="640" w:firstLineChars="200"/>
        <w:rPr>
          <w:rFonts w:hint="eastAsia" w:eastAsia="仿宋"/>
          <w:lang w:eastAsia="zh-CN"/>
        </w:rPr>
      </w:pPr>
      <w:r>
        <w:rPr>
          <w:rFonts w:hint="eastAsia" w:ascii="仿宋" w:hAnsi="仿宋" w:eastAsia="仿宋"/>
          <w:kern w:val="2"/>
          <w:sz w:val="32"/>
          <w:szCs w:val="32"/>
        </w:rPr>
        <w:t>1、宣传贯彻执行国家</w:t>
      </w:r>
      <w:r>
        <w:rPr>
          <w:rFonts w:hint="eastAsia" w:ascii="仿宋" w:hAnsi="仿宋" w:eastAsia="仿宋"/>
          <w:kern w:val="2"/>
          <w:sz w:val="32"/>
          <w:szCs w:val="32"/>
          <w:lang w:eastAsia="zh-CN"/>
        </w:rPr>
        <w:t>级</w:t>
      </w:r>
      <w:r>
        <w:rPr>
          <w:rFonts w:hint="eastAsia" w:ascii="仿宋" w:hAnsi="仿宋" w:eastAsia="仿宋"/>
          <w:kern w:val="2"/>
          <w:sz w:val="32"/>
          <w:szCs w:val="32"/>
        </w:rPr>
        <w:t>自然保护区、生态功能保护方面的法律、法规和方针政策。2、制定湿地保护、生态保护的各项管理制度，组织实施保护区的规划建设保护和管理。3、调查自然资源并建立档案，组织环境监测，定期报告保护区环境质量状况。4、保护高原湿地生态系统，珍稀野生动物及其栖息地、扩大珍稀物种种群，保持资源和生物多样性。5、负责生态监测，加强生态保护区内自然资源开发活动的监督管理，开展生态环境保护科学研究与科普教育，保护高原湿地水源涵养功能、黑颈鹤生态环境科学研究与科普教育，保护高原湿地水源涵养功能、黑颈鹤生态环境和高原草场、恢复退化湿地、实现草原生态系统良性循环。6、在保护自然资源的基础上，因地制宜开展多种经营、生态旅游，促进保护区的可持续发展。7、负责保护区界标的设置和管理。8、承办上级交办的其他事项</w:t>
      </w:r>
      <w:r>
        <w:rPr>
          <w:rFonts w:hint="eastAsia" w:ascii="仿宋" w:hAnsi="仿宋" w:eastAsia="仿宋"/>
          <w:kern w:val="2"/>
          <w:sz w:val="32"/>
          <w:szCs w:val="32"/>
          <w:lang w:eastAsia="zh-CN"/>
        </w:rPr>
        <w:t>。</w:t>
      </w:r>
    </w:p>
    <w:p>
      <w:pPr>
        <w:pStyle w:val="5"/>
        <w:rPr>
          <w:rStyle w:val="30"/>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pPr>
        <w:pStyle w:val="15"/>
        <w:spacing w:before="0" w:beforeAutospacing="0"/>
        <w:ind w:firstLine="640" w:firstLineChars="200"/>
        <w:rPr>
          <w:rFonts w:hint="eastAsia" w:ascii="仿宋" w:hAnsi="仿宋" w:eastAsia="仿宋"/>
          <w:kern w:val="2"/>
          <w:sz w:val="32"/>
          <w:szCs w:val="32"/>
        </w:rPr>
      </w:pPr>
      <w:r>
        <w:rPr>
          <w:rFonts w:hint="eastAsia" w:ascii="仿宋" w:hAnsi="仿宋" w:eastAsia="仿宋"/>
          <w:kern w:val="2"/>
          <w:sz w:val="32"/>
          <w:szCs w:val="32"/>
        </w:rPr>
        <w:t>四川若尔盖湿地国家级自然保护区管理局为独立核算全额拨款事业单位 一级预算单位，无下属二级预算单位,截</w:t>
      </w:r>
      <w:r>
        <w:rPr>
          <w:rFonts w:hint="eastAsia" w:ascii="仿宋" w:hAnsi="仿宋" w:eastAsia="仿宋"/>
          <w:kern w:val="2"/>
          <w:sz w:val="32"/>
          <w:szCs w:val="32"/>
          <w:lang w:eastAsia="zh-CN"/>
        </w:rPr>
        <w:t>至</w:t>
      </w:r>
      <w:r>
        <w:rPr>
          <w:rFonts w:hint="eastAsia" w:ascii="仿宋" w:hAnsi="仿宋" w:eastAsia="仿宋"/>
          <w:kern w:val="2"/>
          <w:sz w:val="32"/>
          <w:szCs w:val="32"/>
        </w:rPr>
        <w:t>202</w:t>
      </w:r>
      <w:r>
        <w:rPr>
          <w:rFonts w:hint="eastAsia" w:ascii="仿宋" w:hAnsi="仿宋" w:eastAsia="仿宋"/>
          <w:kern w:val="2"/>
          <w:sz w:val="32"/>
          <w:szCs w:val="32"/>
          <w:lang w:val="en-US" w:eastAsia="zh-CN"/>
        </w:rPr>
        <w:t>5</w:t>
      </w:r>
      <w:r>
        <w:rPr>
          <w:rFonts w:hint="eastAsia" w:ascii="仿宋" w:hAnsi="仿宋" w:eastAsia="仿宋"/>
          <w:kern w:val="2"/>
          <w:sz w:val="32"/>
          <w:szCs w:val="32"/>
        </w:rPr>
        <w:t>年底我单位共有编制31个事业编制，在职</w:t>
      </w:r>
      <w:r>
        <w:rPr>
          <w:rFonts w:hint="eastAsia" w:ascii="仿宋" w:hAnsi="仿宋" w:eastAsia="仿宋"/>
          <w:kern w:val="2"/>
          <w:sz w:val="32"/>
          <w:szCs w:val="32"/>
          <w:lang w:val="en-US" w:eastAsia="zh-CN"/>
        </w:rPr>
        <w:t>29</w:t>
      </w:r>
      <w:r>
        <w:rPr>
          <w:rFonts w:hint="eastAsia" w:ascii="仿宋" w:hAnsi="仿宋" w:eastAsia="仿宋"/>
          <w:kern w:val="2"/>
          <w:sz w:val="32"/>
          <w:szCs w:val="32"/>
        </w:rPr>
        <w:t>人，退休</w:t>
      </w:r>
      <w:r>
        <w:rPr>
          <w:rFonts w:hint="eastAsia" w:ascii="仿宋" w:hAnsi="仿宋" w:eastAsia="仿宋"/>
          <w:kern w:val="2"/>
          <w:sz w:val="32"/>
          <w:szCs w:val="32"/>
          <w:lang w:val="en-US" w:eastAsia="zh-CN"/>
        </w:rPr>
        <w:t>8</w:t>
      </w:r>
      <w:r>
        <w:rPr>
          <w:rFonts w:hint="eastAsia" w:ascii="仿宋" w:hAnsi="仿宋" w:eastAsia="仿宋"/>
          <w:kern w:val="2"/>
          <w:sz w:val="32"/>
          <w:szCs w:val="32"/>
        </w:rPr>
        <w:t>人。  </w:t>
      </w:r>
    </w:p>
    <w:p>
      <w:pPr>
        <w:pStyle w:val="15"/>
        <w:spacing w:before="0" w:beforeAutospacing="0"/>
        <w:ind w:firstLine="640" w:firstLineChars="200"/>
        <w:rPr>
          <w:rFonts w:hint="eastAsia" w:ascii="仿宋" w:hAnsi="仿宋" w:eastAsia="仿宋"/>
          <w:kern w:val="2"/>
          <w:sz w:val="32"/>
          <w:szCs w:val="32"/>
        </w:rPr>
      </w:pPr>
    </w:p>
    <w:p>
      <w:pPr>
        <w:pStyle w:val="4"/>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2696.97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58.44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本年度项目</w:t>
      </w:r>
      <w:r>
        <w:rPr>
          <w:rFonts w:hint="eastAsia" w:ascii="仿宋" w:hAnsi="仿宋" w:eastAsia="仿宋"/>
          <w:sz w:val="32"/>
          <w:szCs w:val="32"/>
          <w:lang w:eastAsia="zh-CN"/>
        </w:rPr>
        <w:t>收入、</w:t>
      </w:r>
      <w:r>
        <w:rPr>
          <w:rFonts w:hint="eastAsia" w:ascii="仿宋" w:hAnsi="仿宋" w:eastAsia="仿宋"/>
          <w:sz w:val="32"/>
          <w:szCs w:val="32"/>
        </w:rPr>
        <w:t>支出较上年度减少</w:t>
      </w:r>
      <w:r>
        <w:rPr>
          <w:rFonts w:hint="eastAsia" w:ascii="仿宋" w:hAnsi="仿宋" w:eastAsia="仿宋"/>
          <w:sz w:val="32"/>
          <w:szCs w:val="32"/>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r>
        <w:rPr>
          <w:rFonts w:hint="eastAsia" w:ascii="仿宋" w:hAnsi="仿宋" w:eastAsia="仿宋"/>
          <w:sz w:val="32"/>
          <w:szCs w:val="32"/>
          <w:lang w:eastAsia="zh-CN"/>
        </w:rPr>
        <w:drawing>
          <wp:anchor distT="0" distB="0" distL="114300" distR="114300" simplePos="0" relativeHeight="251659264" behindDoc="0" locked="0" layoutInCell="1" allowOverlap="1">
            <wp:simplePos x="0" y="0"/>
            <wp:positionH relativeFrom="column">
              <wp:posOffset>410845</wp:posOffset>
            </wp:positionH>
            <wp:positionV relativeFrom="paragraph">
              <wp:posOffset>-3195955</wp:posOffset>
            </wp:positionV>
            <wp:extent cx="4775835" cy="3477260"/>
            <wp:effectExtent l="4445" t="4445" r="20320" b="2349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1602.93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1602.93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172720</wp:posOffset>
            </wp:positionH>
            <wp:positionV relativeFrom="paragraph">
              <wp:posOffset>118745</wp:posOffset>
            </wp:positionV>
            <wp:extent cx="5089525" cy="3086100"/>
            <wp:effectExtent l="4445" t="4445" r="11430" b="1460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764.36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20.15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3027.24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79.84</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344805</wp:posOffset>
            </wp:positionH>
            <wp:positionV relativeFrom="paragraph">
              <wp:posOffset>1670685</wp:posOffset>
            </wp:positionV>
            <wp:extent cx="4251325" cy="3076575"/>
            <wp:effectExtent l="5080" t="4445" r="10795" b="508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2696.97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58.44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本年度项目</w:t>
      </w:r>
      <w:r>
        <w:rPr>
          <w:rFonts w:hint="eastAsia" w:ascii="仿宋" w:hAnsi="仿宋" w:eastAsia="仿宋"/>
          <w:sz w:val="32"/>
          <w:szCs w:val="32"/>
          <w:lang w:eastAsia="zh-CN"/>
        </w:rPr>
        <w:t>收入、</w:t>
      </w:r>
      <w:r>
        <w:rPr>
          <w:rFonts w:hint="eastAsia" w:ascii="仿宋" w:hAnsi="仿宋" w:eastAsia="仿宋"/>
          <w:sz w:val="32"/>
          <w:szCs w:val="32"/>
        </w:rPr>
        <w:t>支出较上年度减少</w:t>
      </w:r>
      <w:r>
        <w:rPr>
          <w:rFonts w:hint="eastAsia" w:ascii="仿宋" w:hAnsi="仿宋" w:eastAsia="仿宋"/>
          <w:sz w:val="32"/>
          <w:szCs w:val="32"/>
          <w:lang w:eastAsia="zh-CN"/>
        </w:rPr>
        <w:t>。</w:t>
      </w: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2336" behindDoc="0" locked="0" layoutInCell="1" allowOverlap="1">
            <wp:simplePos x="0" y="0"/>
            <wp:positionH relativeFrom="column">
              <wp:posOffset>280670</wp:posOffset>
            </wp:positionH>
            <wp:positionV relativeFrom="paragraph">
              <wp:posOffset>114300</wp:posOffset>
            </wp:positionV>
            <wp:extent cx="4775835" cy="3477260"/>
            <wp:effectExtent l="4445" t="4445" r="20320" b="2349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2696.97</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下降</w:t>
      </w:r>
      <w:r>
        <w:rPr>
          <w:rFonts w:hint="eastAsia" w:eastAsia="仿宋_GB2312" w:cs="仿宋_GB2312"/>
          <w:color w:val="auto"/>
          <w:sz w:val="32"/>
          <w:szCs w:val="32"/>
          <w:highlight w:val="none"/>
          <w:lang w:val="en-US" w:eastAsia="zh-CN"/>
        </w:rPr>
        <w:t>58.44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本年度项目</w:t>
      </w:r>
      <w:r>
        <w:rPr>
          <w:rFonts w:hint="eastAsia" w:ascii="仿宋" w:hAnsi="仿宋" w:eastAsia="仿宋"/>
          <w:sz w:val="32"/>
          <w:szCs w:val="32"/>
          <w:lang w:eastAsia="zh-CN"/>
        </w:rPr>
        <w:t>收入、</w:t>
      </w:r>
      <w:r>
        <w:rPr>
          <w:rFonts w:hint="eastAsia" w:ascii="仿宋" w:hAnsi="仿宋" w:eastAsia="仿宋"/>
          <w:sz w:val="32"/>
          <w:szCs w:val="32"/>
        </w:rPr>
        <w:t>支出较上年度减少</w:t>
      </w:r>
      <w:r>
        <w:rPr>
          <w:rFonts w:hint="eastAsia" w:ascii="仿宋" w:hAnsi="仿宋" w:eastAsia="仿宋"/>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4384" behindDoc="0" locked="0" layoutInCell="1" allowOverlap="1">
            <wp:simplePos x="0" y="0"/>
            <wp:positionH relativeFrom="column">
              <wp:posOffset>-43180</wp:posOffset>
            </wp:positionH>
            <wp:positionV relativeFrom="paragraph">
              <wp:posOffset>4445</wp:posOffset>
            </wp:positionV>
            <wp:extent cx="4794885" cy="3496945"/>
            <wp:effectExtent l="4445" t="4445" r="20320" b="2286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3"/>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仿宋" w:hAnsi="仿宋" w:eastAsia="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101.74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56.09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节能环保支出889万元，占23.45%；</w:t>
      </w:r>
      <w:r>
        <w:rPr>
          <w:rFonts w:hint="eastAsia" w:ascii="仿宋" w:hAnsi="仿宋" w:eastAsia="仿宋"/>
          <w:sz w:val="32"/>
          <w:szCs w:val="32"/>
        </w:rPr>
        <w:t>农林水支出</w:t>
      </w:r>
      <w:r>
        <w:rPr>
          <w:rFonts w:hint="eastAsia" w:ascii="仿宋" w:hAnsi="仿宋" w:eastAsia="仿宋"/>
          <w:sz w:val="32"/>
          <w:szCs w:val="32"/>
          <w:lang w:val="en-US" w:eastAsia="zh-CN"/>
        </w:rPr>
        <w:t>2692.47</w:t>
      </w:r>
      <w:r>
        <w:rPr>
          <w:rFonts w:hint="eastAsia" w:ascii="仿宋" w:hAnsi="仿宋" w:eastAsia="仿宋"/>
          <w:sz w:val="32"/>
          <w:szCs w:val="32"/>
        </w:rPr>
        <w:t>万元，占</w:t>
      </w:r>
      <w:r>
        <w:rPr>
          <w:rFonts w:hint="eastAsia" w:ascii="仿宋" w:hAnsi="仿宋" w:eastAsia="仿宋"/>
          <w:sz w:val="32"/>
          <w:szCs w:val="32"/>
          <w:lang w:val="en-US" w:eastAsia="zh-CN"/>
        </w:rPr>
        <w:t>71.01</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rPr>
        <w:t>自然资源海</w:t>
      </w: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395605</wp:posOffset>
            </wp:positionH>
            <wp:positionV relativeFrom="paragraph">
              <wp:posOffset>2099945</wp:posOffset>
            </wp:positionV>
            <wp:extent cx="4251325" cy="3076575"/>
            <wp:effectExtent l="5080" t="4445" r="10795" b="508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sz w:val="32"/>
          <w:szCs w:val="32"/>
        </w:rPr>
        <w:t>洋气象等支出</w:t>
      </w:r>
      <w:r>
        <w:rPr>
          <w:rFonts w:hint="eastAsia" w:ascii="仿宋" w:hAnsi="仿宋" w:eastAsia="仿宋"/>
          <w:sz w:val="32"/>
          <w:szCs w:val="32"/>
          <w:lang w:val="en-US" w:eastAsia="zh-CN"/>
        </w:rPr>
        <w:t>13.88</w:t>
      </w:r>
      <w:r>
        <w:rPr>
          <w:rFonts w:hint="eastAsia" w:ascii="仿宋" w:hAnsi="仿宋" w:eastAsia="仿宋"/>
          <w:sz w:val="32"/>
          <w:szCs w:val="32"/>
        </w:rPr>
        <w:t>万元，占</w:t>
      </w:r>
      <w:r>
        <w:rPr>
          <w:rFonts w:hint="eastAsia" w:ascii="仿宋" w:hAnsi="仿宋" w:eastAsia="仿宋"/>
          <w:sz w:val="32"/>
          <w:szCs w:val="32"/>
          <w:lang w:val="en-US" w:eastAsia="zh-CN"/>
        </w:rPr>
        <w:t>0.37</w:t>
      </w:r>
      <w:r>
        <w:rPr>
          <w:rFonts w:hint="eastAsia" w:ascii="仿宋" w:hAnsi="仿宋" w:eastAsia="仿宋"/>
          <w:sz w:val="32"/>
          <w:szCs w:val="32"/>
        </w:rPr>
        <w:t>%。</w:t>
      </w:r>
    </w:p>
    <w:p>
      <w:pPr>
        <w:rPr>
          <w:rFonts w:hint="eastAsia" w:ascii="仿宋" w:hAnsi="仿宋" w:eastAsia="仿宋"/>
          <w:sz w:val="32"/>
          <w:szCs w:val="32"/>
        </w:rPr>
      </w:pPr>
    </w:p>
    <w:p>
      <w:pPr>
        <w:rPr>
          <w:rFonts w:hint="eastAsia"/>
        </w:rPr>
      </w:pPr>
    </w:p>
    <w:p>
      <w:pPr>
        <w:pStyle w:val="13"/>
        <w:rPr>
          <w:rFonts w:hint="eastAsia"/>
        </w:rPr>
      </w:pPr>
    </w:p>
    <w:p>
      <w:pPr>
        <w:pStyle w:val="2"/>
        <w:rPr>
          <w:rFonts w:hint="eastAsia"/>
        </w:rPr>
      </w:pPr>
    </w:p>
    <w:p>
      <w:pPr>
        <w:pStyle w:val="13"/>
        <w:rPr>
          <w:rFonts w:hint="eastAsia" w:ascii="仿宋" w:hAnsi="仿宋" w:eastAsia="仿宋"/>
          <w:sz w:val="32"/>
          <w:szCs w:val="32"/>
        </w:rPr>
      </w:pPr>
    </w:p>
    <w:p/>
    <w:p>
      <w:pPr>
        <w:spacing w:line="600" w:lineRule="exact"/>
        <w:ind w:firstLine="640"/>
        <w:rPr>
          <w:rFonts w:hint="eastAsia"/>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3791.6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rPr>
          <w:rStyle w:val="18"/>
          <w:rFonts w:ascii="仿宋" w:hAnsi="仿宋" w:eastAsia="仿宋"/>
          <w:b w:val="0"/>
          <w:bCs/>
          <w:sz w:val="32"/>
          <w:szCs w:val="32"/>
        </w:rPr>
      </w:pPr>
      <w:r>
        <w:rPr>
          <w:rStyle w:val="18"/>
          <w:rFonts w:ascii="仿宋" w:hAnsi="仿宋" w:eastAsia="仿宋"/>
          <w:bCs/>
          <w:sz w:val="32"/>
          <w:szCs w:val="32"/>
        </w:rPr>
        <w:t xml:space="preserve">2.教育: </w:t>
      </w:r>
      <w:r>
        <w:rPr>
          <w:rStyle w:val="18"/>
          <w:rFonts w:ascii="仿宋" w:hAnsi="仿宋" w:eastAsia="仿宋"/>
          <w:b w:val="0"/>
          <w:bCs/>
          <w:sz w:val="32"/>
          <w:szCs w:val="32"/>
        </w:rPr>
        <w:t>支出决算为</w:t>
      </w:r>
      <w:r>
        <w:rPr>
          <w:rStyle w:val="18"/>
          <w:rFonts w:hint="eastAsia" w:ascii="仿宋" w:hAnsi="仿宋" w:eastAsia="仿宋"/>
          <w:b w:val="0"/>
          <w:bCs/>
          <w:sz w:val="32"/>
          <w:szCs w:val="32"/>
        </w:rPr>
        <w:t>0</w:t>
      </w:r>
      <w:r>
        <w:rPr>
          <w:rStyle w:val="18"/>
          <w:rFonts w:ascii="仿宋" w:hAnsi="仿宋" w:eastAsia="仿宋"/>
          <w:b w:val="0"/>
          <w:bCs/>
          <w:sz w:val="32"/>
          <w:szCs w:val="32"/>
        </w:rPr>
        <w:t>万元，完成预算</w:t>
      </w:r>
      <w:r>
        <w:rPr>
          <w:rStyle w:val="18"/>
          <w:rFonts w:hint="eastAsia" w:ascii="仿宋" w:hAnsi="仿宋" w:eastAsia="仿宋"/>
          <w:b w:val="0"/>
          <w:bCs/>
          <w:sz w:val="32"/>
          <w:szCs w:val="32"/>
        </w:rPr>
        <w:t>0</w:t>
      </w:r>
      <w:r>
        <w:rPr>
          <w:rStyle w:val="18"/>
          <w:rFonts w:ascii="仿宋" w:hAnsi="仿宋" w:eastAsia="仿宋"/>
          <w:b w:val="0"/>
          <w:bCs/>
          <w:sz w:val="32"/>
          <w:szCs w:val="32"/>
        </w:rPr>
        <w:t>%，决算数</w:t>
      </w:r>
      <w:r>
        <w:rPr>
          <w:rStyle w:val="18"/>
          <w:rFonts w:hint="eastAsia" w:ascii="仿宋" w:hAnsi="仿宋" w:eastAsia="仿宋"/>
          <w:b w:val="0"/>
          <w:bCs/>
          <w:sz w:val="32"/>
          <w:szCs w:val="32"/>
        </w:rPr>
        <w:t>等于预算数</w:t>
      </w:r>
      <w:r>
        <w:rPr>
          <w:rStyle w:val="18"/>
          <w:rFonts w:ascii="仿宋" w:hAnsi="仿宋" w:eastAsia="仿宋"/>
          <w:b w:val="0"/>
          <w:bCs/>
          <w:sz w:val="32"/>
          <w:szCs w:val="32"/>
        </w:rPr>
        <w:t>。</w:t>
      </w:r>
    </w:p>
    <w:p>
      <w:pPr>
        <w:spacing w:line="600" w:lineRule="exact"/>
        <w:ind w:firstLine="642" w:firstLineChars="200"/>
        <w:rPr>
          <w:rStyle w:val="18"/>
          <w:rFonts w:ascii="仿宋" w:hAnsi="仿宋" w:eastAsia="仿宋"/>
          <w:b w:val="0"/>
          <w:bCs/>
          <w:sz w:val="32"/>
          <w:szCs w:val="32"/>
        </w:rPr>
      </w:pPr>
      <w:r>
        <w:rPr>
          <w:rStyle w:val="18"/>
          <w:rFonts w:ascii="仿宋" w:hAnsi="仿宋" w:eastAsia="仿宋"/>
          <w:bCs/>
          <w:sz w:val="32"/>
          <w:szCs w:val="32"/>
        </w:rPr>
        <w:t xml:space="preserve">3.科学技术: </w:t>
      </w:r>
      <w:r>
        <w:rPr>
          <w:rStyle w:val="18"/>
          <w:rFonts w:ascii="仿宋" w:hAnsi="仿宋" w:eastAsia="仿宋"/>
          <w:b w:val="0"/>
          <w:bCs/>
          <w:sz w:val="32"/>
          <w:szCs w:val="32"/>
        </w:rPr>
        <w:t>支出决算为</w:t>
      </w:r>
      <w:r>
        <w:rPr>
          <w:rStyle w:val="18"/>
          <w:rFonts w:hint="eastAsia" w:ascii="仿宋" w:hAnsi="仿宋" w:eastAsia="仿宋"/>
          <w:b w:val="0"/>
          <w:bCs/>
          <w:sz w:val="32"/>
          <w:szCs w:val="32"/>
        </w:rPr>
        <w:t>0</w:t>
      </w:r>
      <w:r>
        <w:rPr>
          <w:rStyle w:val="18"/>
          <w:rFonts w:ascii="仿宋" w:hAnsi="仿宋" w:eastAsia="仿宋"/>
          <w:b w:val="0"/>
          <w:bCs/>
          <w:sz w:val="32"/>
          <w:szCs w:val="32"/>
        </w:rPr>
        <w:t>万元，完成预算</w:t>
      </w:r>
      <w:r>
        <w:rPr>
          <w:rStyle w:val="18"/>
          <w:rFonts w:hint="eastAsia" w:ascii="仿宋" w:hAnsi="仿宋" w:eastAsia="仿宋"/>
          <w:b w:val="0"/>
          <w:bCs/>
          <w:sz w:val="32"/>
          <w:szCs w:val="32"/>
        </w:rPr>
        <w:t>0</w:t>
      </w:r>
      <w:r>
        <w:rPr>
          <w:rStyle w:val="18"/>
          <w:rFonts w:ascii="仿宋" w:hAnsi="仿宋" w:eastAsia="仿宋"/>
          <w:b w:val="0"/>
          <w:bCs/>
          <w:sz w:val="32"/>
          <w:szCs w:val="32"/>
        </w:rPr>
        <w:t>%，决算数</w:t>
      </w:r>
      <w:r>
        <w:rPr>
          <w:rStyle w:val="18"/>
          <w:rFonts w:hint="eastAsia" w:ascii="仿宋" w:hAnsi="仿宋" w:eastAsia="仿宋"/>
          <w:b w:val="0"/>
          <w:bCs/>
          <w:sz w:val="32"/>
          <w:szCs w:val="32"/>
        </w:rPr>
        <w:t>等于预算数</w:t>
      </w:r>
      <w:r>
        <w:rPr>
          <w:rStyle w:val="18"/>
          <w:rFonts w:ascii="仿宋" w:hAnsi="仿宋" w:eastAsia="仿宋"/>
          <w:b w:val="0"/>
          <w:bCs/>
          <w:sz w:val="32"/>
          <w:szCs w:val="32"/>
        </w:rPr>
        <w:t>。</w:t>
      </w:r>
    </w:p>
    <w:p>
      <w:pPr>
        <w:spacing w:line="600" w:lineRule="exact"/>
        <w:ind w:firstLine="642" w:firstLineChars="200"/>
        <w:rPr>
          <w:rStyle w:val="18"/>
          <w:rFonts w:ascii="仿宋" w:hAnsi="仿宋" w:eastAsia="仿宋"/>
          <w:b w:val="0"/>
          <w:bCs/>
          <w:sz w:val="32"/>
          <w:szCs w:val="32"/>
        </w:rPr>
      </w:pPr>
      <w:r>
        <w:rPr>
          <w:rStyle w:val="18"/>
          <w:rFonts w:ascii="仿宋" w:hAnsi="仿宋" w:eastAsia="仿宋"/>
          <w:bCs/>
          <w:sz w:val="32"/>
          <w:szCs w:val="32"/>
        </w:rPr>
        <w:t>4.文化旅游体育与传媒:</w:t>
      </w:r>
      <w:r>
        <w:rPr>
          <w:rStyle w:val="18"/>
          <w:rFonts w:ascii="仿宋" w:hAnsi="仿宋" w:eastAsia="仿宋"/>
          <w:b w:val="0"/>
          <w:bCs/>
          <w:sz w:val="32"/>
          <w:szCs w:val="32"/>
        </w:rPr>
        <w:t>支出决算为</w:t>
      </w:r>
      <w:r>
        <w:rPr>
          <w:rStyle w:val="18"/>
          <w:rFonts w:hint="eastAsia" w:ascii="仿宋" w:hAnsi="仿宋" w:eastAsia="仿宋"/>
          <w:b w:val="0"/>
          <w:bCs/>
          <w:sz w:val="32"/>
          <w:szCs w:val="32"/>
        </w:rPr>
        <w:t>0</w:t>
      </w:r>
      <w:r>
        <w:rPr>
          <w:rStyle w:val="18"/>
          <w:rFonts w:ascii="仿宋" w:hAnsi="仿宋" w:eastAsia="仿宋"/>
          <w:b w:val="0"/>
          <w:bCs/>
          <w:sz w:val="32"/>
          <w:szCs w:val="32"/>
        </w:rPr>
        <w:t>万元，完成预算</w:t>
      </w:r>
      <w:r>
        <w:rPr>
          <w:rStyle w:val="18"/>
          <w:rFonts w:hint="eastAsia" w:ascii="仿宋" w:hAnsi="仿宋" w:eastAsia="仿宋"/>
          <w:b w:val="0"/>
          <w:bCs/>
          <w:sz w:val="32"/>
          <w:szCs w:val="32"/>
        </w:rPr>
        <w:t>0</w:t>
      </w:r>
      <w:r>
        <w:rPr>
          <w:rStyle w:val="18"/>
          <w:rFonts w:ascii="仿宋" w:hAnsi="仿宋" w:eastAsia="仿宋"/>
          <w:b w:val="0"/>
          <w:bCs/>
          <w:sz w:val="32"/>
          <w:szCs w:val="32"/>
        </w:rPr>
        <w:t>%，决算数</w:t>
      </w:r>
      <w:r>
        <w:rPr>
          <w:rStyle w:val="18"/>
          <w:rFonts w:hint="eastAsia" w:ascii="仿宋" w:hAnsi="仿宋" w:eastAsia="仿宋"/>
          <w:b w:val="0"/>
          <w:bCs/>
          <w:sz w:val="32"/>
          <w:szCs w:val="32"/>
        </w:rPr>
        <w:t>等于预算数</w:t>
      </w:r>
      <w:r>
        <w:rPr>
          <w:rStyle w:val="18"/>
          <w:rFonts w:ascii="仿宋" w:hAnsi="仿宋" w:eastAsia="仿宋"/>
          <w:b w:val="0"/>
          <w:bCs/>
          <w:sz w:val="32"/>
          <w:szCs w:val="32"/>
        </w:rPr>
        <w:t>。</w:t>
      </w:r>
    </w:p>
    <w:p>
      <w:pPr>
        <w:spacing w:line="600" w:lineRule="exact"/>
        <w:ind w:firstLine="642" w:firstLineChars="200"/>
        <w:rPr>
          <w:rStyle w:val="18"/>
          <w:rFonts w:ascii="仿宋" w:hAnsi="仿宋" w:eastAsia="仿宋"/>
          <w:b w:val="0"/>
          <w:bCs/>
          <w:sz w:val="32"/>
          <w:szCs w:val="32"/>
        </w:rPr>
      </w:pPr>
      <w:r>
        <w:rPr>
          <w:rStyle w:val="18"/>
          <w:rFonts w:ascii="仿宋" w:hAnsi="仿宋" w:eastAsia="仿宋"/>
          <w:bCs/>
          <w:sz w:val="32"/>
          <w:szCs w:val="32"/>
        </w:rPr>
        <w:t>5.</w:t>
      </w:r>
      <w:r>
        <w:rPr>
          <w:rStyle w:val="18"/>
          <w:rFonts w:hint="eastAsia" w:ascii="仿宋" w:hAnsi="仿宋" w:eastAsia="仿宋"/>
          <w:bCs/>
          <w:sz w:val="32"/>
          <w:szCs w:val="32"/>
        </w:rPr>
        <w:t>社会保障和就业</w:t>
      </w:r>
      <w:r>
        <w:rPr>
          <w:rStyle w:val="18"/>
          <w:rFonts w:ascii="仿宋" w:hAnsi="仿宋" w:eastAsia="仿宋"/>
          <w:bCs/>
          <w:sz w:val="32"/>
          <w:szCs w:val="32"/>
        </w:rPr>
        <w:t xml:space="preserve">: </w:t>
      </w:r>
      <w:r>
        <w:rPr>
          <w:rStyle w:val="18"/>
          <w:rFonts w:hint="eastAsia" w:ascii="仿宋" w:hAnsi="仿宋" w:eastAsia="仿宋"/>
          <w:b w:val="0"/>
          <w:bCs/>
          <w:sz w:val="32"/>
          <w:szCs w:val="32"/>
        </w:rPr>
        <w:t>2080505机关事业单位基本养老保险缴费支出: 支出决算为</w:t>
      </w:r>
      <w:r>
        <w:rPr>
          <w:rStyle w:val="18"/>
          <w:rFonts w:hint="eastAsia" w:ascii="仿宋" w:hAnsi="仿宋" w:eastAsia="仿宋"/>
          <w:b w:val="0"/>
          <w:bCs/>
          <w:sz w:val="32"/>
          <w:szCs w:val="32"/>
          <w:lang w:val="en-US" w:eastAsia="zh-CN"/>
        </w:rPr>
        <w:t>67.83</w:t>
      </w:r>
      <w:r>
        <w:rPr>
          <w:rStyle w:val="18"/>
          <w:rFonts w:hint="eastAsia" w:ascii="仿宋" w:hAnsi="仿宋" w:eastAsia="仿宋"/>
          <w:b w:val="0"/>
          <w:bCs/>
          <w:sz w:val="32"/>
          <w:szCs w:val="32"/>
        </w:rPr>
        <w:t>万元，完成预算100%，决算数等于预算数；2080506机关事业单位职业年金缴费支出：支出决算为</w:t>
      </w:r>
      <w:r>
        <w:rPr>
          <w:rStyle w:val="18"/>
          <w:rFonts w:hint="eastAsia" w:ascii="仿宋" w:hAnsi="仿宋" w:eastAsia="仿宋"/>
          <w:b w:val="0"/>
          <w:bCs/>
          <w:sz w:val="32"/>
          <w:szCs w:val="32"/>
          <w:lang w:val="en-US" w:eastAsia="zh-CN"/>
        </w:rPr>
        <w:t>33.91</w:t>
      </w:r>
      <w:r>
        <w:rPr>
          <w:rStyle w:val="18"/>
          <w:rFonts w:hint="eastAsia" w:ascii="仿宋" w:hAnsi="仿宋" w:eastAsia="仿宋"/>
          <w:b w:val="0"/>
          <w:bCs/>
          <w:sz w:val="32"/>
          <w:szCs w:val="32"/>
        </w:rPr>
        <w:t>万元，完成预算100%，决算数等于预算数。</w:t>
      </w:r>
    </w:p>
    <w:p>
      <w:pPr>
        <w:spacing w:line="600" w:lineRule="exact"/>
        <w:ind w:firstLine="642" w:firstLineChars="200"/>
        <w:rPr>
          <w:rStyle w:val="18"/>
          <w:rFonts w:ascii="仿宋" w:hAnsi="仿宋" w:eastAsia="仿宋"/>
          <w:b w:val="0"/>
          <w:bCs/>
          <w:sz w:val="32"/>
          <w:szCs w:val="32"/>
        </w:rPr>
      </w:pPr>
      <w:r>
        <w:rPr>
          <w:rStyle w:val="18"/>
          <w:rFonts w:ascii="仿宋" w:hAnsi="仿宋" w:eastAsia="仿宋"/>
          <w:bCs/>
          <w:sz w:val="32"/>
          <w:szCs w:val="32"/>
        </w:rPr>
        <w:t>6.</w:t>
      </w:r>
      <w:r>
        <w:rPr>
          <w:rStyle w:val="18"/>
          <w:rFonts w:hint="eastAsia" w:ascii="仿宋" w:hAnsi="仿宋" w:eastAsia="仿宋"/>
          <w:bCs/>
          <w:sz w:val="32"/>
          <w:szCs w:val="32"/>
        </w:rPr>
        <w:t>卫生健康</w:t>
      </w:r>
      <w:r>
        <w:rPr>
          <w:rStyle w:val="18"/>
          <w:rFonts w:ascii="仿宋" w:hAnsi="仿宋" w:eastAsia="仿宋"/>
          <w:bCs/>
          <w:sz w:val="32"/>
          <w:szCs w:val="32"/>
        </w:rPr>
        <w:t>:</w:t>
      </w:r>
      <w:r>
        <w:rPr>
          <w:rStyle w:val="18"/>
          <w:rFonts w:hint="eastAsia" w:ascii="仿宋" w:hAnsi="仿宋" w:eastAsia="仿宋"/>
          <w:b w:val="0"/>
          <w:bCs/>
          <w:sz w:val="32"/>
          <w:szCs w:val="32"/>
        </w:rPr>
        <w:t xml:space="preserve"> 医疗卫生与计划生育2101102事业单位医疗:支出决算数为</w:t>
      </w:r>
      <w:r>
        <w:rPr>
          <w:rStyle w:val="18"/>
          <w:rFonts w:hint="eastAsia" w:ascii="仿宋" w:hAnsi="仿宋" w:eastAsia="仿宋"/>
          <w:b w:val="0"/>
          <w:bCs/>
          <w:sz w:val="32"/>
          <w:szCs w:val="32"/>
          <w:lang w:val="en-US" w:eastAsia="zh-CN"/>
        </w:rPr>
        <w:t>32</w:t>
      </w:r>
      <w:r>
        <w:rPr>
          <w:rStyle w:val="18"/>
          <w:rFonts w:hint="eastAsia" w:ascii="仿宋" w:hAnsi="仿宋" w:eastAsia="仿宋"/>
          <w:b w:val="0"/>
          <w:bCs/>
          <w:sz w:val="32"/>
          <w:szCs w:val="32"/>
        </w:rPr>
        <w:t>万元，完成预算100%，2101199其他行政事业单位医疗支出：支出决算数为</w:t>
      </w:r>
      <w:r>
        <w:rPr>
          <w:rStyle w:val="18"/>
          <w:rFonts w:hint="eastAsia" w:ascii="仿宋" w:hAnsi="仿宋" w:eastAsia="仿宋"/>
          <w:b w:val="0"/>
          <w:bCs/>
          <w:sz w:val="32"/>
          <w:szCs w:val="32"/>
          <w:lang w:val="en-US" w:eastAsia="zh-CN"/>
        </w:rPr>
        <w:t>6.41</w:t>
      </w:r>
      <w:r>
        <w:rPr>
          <w:rStyle w:val="18"/>
          <w:rFonts w:hint="eastAsia" w:ascii="仿宋" w:hAnsi="仿宋" w:eastAsia="仿宋"/>
          <w:b w:val="0"/>
          <w:bCs/>
          <w:sz w:val="32"/>
          <w:szCs w:val="32"/>
        </w:rPr>
        <w:t>万元，完成预算100%，决算数等于预算数。</w:t>
      </w:r>
    </w:p>
    <w:p>
      <w:pPr>
        <w:spacing w:line="600" w:lineRule="exact"/>
        <w:ind w:firstLine="642" w:firstLineChars="200"/>
        <w:rPr>
          <w:rStyle w:val="18"/>
          <w:rFonts w:ascii="仿宋" w:hAnsi="仿宋" w:eastAsia="仿宋"/>
          <w:b w:val="0"/>
          <w:bCs/>
          <w:sz w:val="32"/>
          <w:szCs w:val="32"/>
        </w:rPr>
      </w:pPr>
      <w:r>
        <w:rPr>
          <w:rStyle w:val="18"/>
          <w:rFonts w:hint="eastAsia" w:ascii="仿宋" w:hAnsi="仿宋" w:eastAsia="仿宋"/>
          <w:bCs/>
          <w:sz w:val="32"/>
          <w:szCs w:val="32"/>
        </w:rPr>
        <w:t>7.住房公积金2210201：</w:t>
      </w:r>
      <w:r>
        <w:rPr>
          <w:rStyle w:val="18"/>
          <w:rFonts w:hint="eastAsia" w:ascii="仿宋" w:hAnsi="仿宋" w:eastAsia="仿宋"/>
          <w:b w:val="0"/>
          <w:bCs/>
          <w:sz w:val="32"/>
          <w:szCs w:val="32"/>
        </w:rPr>
        <w:t>支出决算数为</w:t>
      </w:r>
      <w:r>
        <w:rPr>
          <w:rStyle w:val="18"/>
          <w:rFonts w:hint="eastAsia" w:ascii="仿宋" w:hAnsi="仿宋" w:eastAsia="仿宋"/>
          <w:b w:val="0"/>
          <w:bCs/>
          <w:sz w:val="32"/>
          <w:szCs w:val="32"/>
          <w:lang w:val="en-US" w:eastAsia="zh-CN"/>
        </w:rPr>
        <w:t>56.09</w:t>
      </w:r>
      <w:r>
        <w:rPr>
          <w:rStyle w:val="18"/>
          <w:rFonts w:hint="eastAsia" w:ascii="仿宋" w:hAnsi="仿宋" w:eastAsia="仿宋"/>
          <w:b w:val="0"/>
          <w:bCs/>
          <w:sz w:val="32"/>
          <w:szCs w:val="32"/>
        </w:rPr>
        <w:t>万元，完成预算100%，决算数等于预算数。</w:t>
      </w:r>
    </w:p>
    <w:p>
      <w:pPr>
        <w:spacing w:line="600" w:lineRule="exact"/>
        <w:ind w:firstLine="642" w:firstLineChars="200"/>
        <w:rPr>
          <w:rStyle w:val="18"/>
          <w:rFonts w:ascii="仿宋" w:hAnsi="仿宋" w:eastAsia="仿宋"/>
          <w:bCs/>
          <w:sz w:val="32"/>
          <w:szCs w:val="32"/>
        </w:rPr>
      </w:pPr>
      <w:r>
        <w:rPr>
          <w:rStyle w:val="18"/>
          <w:rFonts w:hint="eastAsia" w:ascii="仿宋" w:hAnsi="仿宋" w:eastAsia="仿宋"/>
          <w:bCs/>
          <w:sz w:val="32"/>
          <w:szCs w:val="32"/>
        </w:rPr>
        <w:t>8.生态保护2110401：</w:t>
      </w:r>
      <w:r>
        <w:rPr>
          <w:rStyle w:val="18"/>
          <w:rFonts w:hint="eastAsia" w:ascii="仿宋" w:hAnsi="仿宋" w:eastAsia="仿宋"/>
          <w:b w:val="0"/>
          <w:bCs/>
          <w:sz w:val="32"/>
          <w:szCs w:val="32"/>
        </w:rPr>
        <w:t>支出决算数为</w:t>
      </w:r>
      <w:r>
        <w:rPr>
          <w:rStyle w:val="18"/>
          <w:rFonts w:hint="eastAsia" w:ascii="仿宋" w:hAnsi="仿宋" w:eastAsia="仿宋"/>
          <w:b w:val="0"/>
          <w:bCs/>
          <w:sz w:val="32"/>
          <w:szCs w:val="32"/>
          <w:lang w:val="en-US" w:eastAsia="zh-CN"/>
        </w:rPr>
        <w:t>514.1</w:t>
      </w:r>
      <w:r>
        <w:rPr>
          <w:rStyle w:val="18"/>
          <w:rFonts w:hint="eastAsia" w:ascii="仿宋" w:hAnsi="仿宋" w:eastAsia="仿宋"/>
          <w:b w:val="0"/>
          <w:bCs/>
          <w:sz w:val="32"/>
          <w:szCs w:val="32"/>
        </w:rPr>
        <w:t>万元，完成预算100%，决算数等于预算数。</w:t>
      </w:r>
    </w:p>
    <w:p>
      <w:pPr>
        <w:spacing w:line="600" w:lineRule="exact"/>
        <w:ind w:firstLine="642" w:firstLineChars="200"/>
        <w:rPr>
          <w:rStyle w:val="18"/>
          <w:rFonts w:ascii="仿宋" w:hAnsi="仿宋" w:eastAsia="仿宋"/>
          <w:b w:val="0"/>
          <w:bCs/>
          <w:sz w:val="32"/>
          <w:szCs w:val="32"/>
        </w:rPr>
      </w:pPr>
      <w:r>
        <w:rPr>
          <w:rStyle w:val="18"/>
          <w:rFonts w:hint="eastAsia" w:ascii="仿宋" w:hAnsi="仿宋" w:eastAsia="仿宋"/>
          <w:bCs/>
          <w:sz w:val="32"/>
          <w:szCs w:val="32"/>
        </w:rPr>
        <w:t>9.湿地保护2130212：</w:t>
      </w:r>
      <w:r>
        <w:rPr>
          <w:rStyle w:val="18"/>
          <w:rFonts w:hint="eastAsia" w:ascii="仿宋" w:hAnsi="仿宋" w:eastAsia="仿宋"/>
          <w:b w:val="0"/>
          <w:bCs/>
          <w:sz w:val="32"/>
          <w:szCs w:val="32"/>
        </w:rPr>
        <w:t>支出决算数为</w:t>
      </w:r>
      <w:r>
        <w:rPr>
          <w:rStyle w:val="18"/>
          <w:rFonts w:hint="eastAsia" w:ascii="仿宋" w:hAnsi="仿宋" w:eastAsia="仿宋"/>
          <w:b w:val="0"/>
          <w:bCs/>
          <w:color w:val="auto"/>
          <w:sz w:val="32"/>
          <w:szCs w:val="32"/>
          <w:lang w:val="en-US" w:eastAsia="zh-CN"/>
        </w:rPr>
        <w:t>2124.35</w:t>
      </w:r>
      <w:r>
        <w:rPr>
          <w:rStyle w:val="18"/>
          <w:rFonts w:hint="eastAsia" w:ascii="仿宋" w:hAnsi="仿宋" w:eastAsia="仿宋"/>
          <w:b w:val="0"/>
          <w:bCs/>
          <w:sz w:val="32"/>
          <w:szCs w:val="32"/>
        </w:rPr>
        <w:t>万元，完成预算0%，决算数等于预算数。</w:t>
      </w:r>
    </w:p>
    <w:p>
      <w:pPr>
        <w:spacing w:line="600" w:lineRule="exact"/>
        <w:ind w:firstLine="642" w:firstLineChars="200"/>
        <w:rPr>
          <w:rStyle w:val="18"/>
          <w:rFonts w:ascii="仿宋" w:hAnsi="仿宋" w:eastAsia="仿宋"/>
          <w:b w:val="0"/>
          <w:bCs/>
          <w:sz w:val="32"/>
          <w:szCs w:val="32"/>
        </w:rPr>
      </w:pPr>
      <w:r>
        <w:rPr>
          <w:rStyle w:val="18"/>
          <w:rFonts w:hint="eastAsia" w:ascii="仿宋" w:hAnsi="仿宋" w:eastAsia="仿宋"/>
          <w:bCs/>
          <w:sz w:val="32"/>
          <w:szCs w:val="32"/>
        </w:rPr>
        <w:t>10.事业机构2130204：</w:t>
      </w:r>
      <w:r>
        <w:rPr>
          <w:rStyle w:val="18"/>
          <w:rFonts w:hint="eastAsia" w:ascii="仿宋" w:hAnsi="仿宋" w:eastAsia="仿宋"/>
          <w:b w:val="0"/>
          <w:bCs/>
          <w:sz w:val="32"/>
          <w:szCs w:val="32"/>
        </w:rPr>
        <w:t>支出决算数为</w:t>
      </w:r>
      <w:r>
        <w:rPr>
          <w:rStyle w:val="18"/>
          <w:rFonts w:hint="eastAsia" w:ascii="仿宋" w:hAnsi="仿宋" w:eastAsia="仿宋"/>
          <w:b w:val="0"/>
          <w:bCs/>
          <w:sz w:val="32"/>
          <w:szCs w:val="32"/>
          <w:lang w:val="en-US" w:eastAsia="zh-CN"/>
        </w:rPr>
        <w:t>568.12</w:t>
      </w:r>
      <w:r>
        <w:rPr>
          <w:rStyle w:val="18"/>
          <w:rFonts w:hint="eastAsia" w:ascii="仿宋" w:hAnsi="仿宋" w:eastAsia="仿宋"/>
          <w:b w:val="0"/>
          <w:bCs/>
          <w:sz w:val="32"/>
          <w:szCs w:val="32"/>
        </w:rPr>
        <w:t>万元，完成预算100%，决算数等于预算数。</w:t>
      </w:r>
    </w:p>
    <w:p>
      <w:pPr>
        <w:tabs>
          <w:tab w:val="right" w:pos="8306"/>
        </w:tabs>
        <w:spacing w:line="600" w:lineRule="exact"/>
        <w:ind w:firstLine="640"/>
        <w:outlineLvl w:val="1"/>
        <w:rPr>
          <w:rStyle w:val="18"/>
          <w:rFonts w:hint="eastAsia" w:ascii="仿宋" w:hAnsi="仿宋" w:eastAsia="仿宋"/>
          <w:b w:val="0"/>
          <w:bCs/>
          <w:sz w:val="32"/>
          <w:szCs w:val="32"/>
          <w:lang w:eastAsia="zh-CN"/>
        </w:rPr>
      </w:pPr>
      <w:r>
        <w:rPr>
          <w:rStyle w:val="18"/>
          <w:rFonts w:hint="eastAsia" w:ascii="仿宋" w:hAnsi="仿宋" w:eastAsia="仿宋"/>
          <w:bCs/>
          <w:sz w:val="32"/>
          <w:szCs w:val="32"/>
        </w:rPr>
        <w:t>11.自然资源利用与保护2200106：</w:t>
      </w:r>
      <w:r>
        <w:rPr>
          <w:rStyle w:val="18"/>
          <w:rFonts w:hint="eastAsia" w:ascii="仿宋" w:hAnsi="仿宋" w:eastAsia="仿宋"/>
          <w:b w:val="0"/>
          <w:bCs/>
          <w:sz w:val="32"/>
          <w:szCs w:val="32"/>
        </w:rPr>
        <w:t>支出决算数为</w:t>
      </w:r>
      <w:r>
        <w:rPr>
          <w:rStyle w:val="18"/>
          <w:rFonts w:hint="eastAsia" w:ascii="仿宋" w:hAnsi="仿宋" w:eastAsia="仿宋"/>
          <w:b w:val="0"/>
          <w:bCs/>
          <w:sz w:val="32"/>
          <w:szCs w:val="32"/>
          <w:lang w:val="en-US" w:eastAsia="zh-CN"/>
        </w:rPr>
        <w:t>13.88</w:t>
      </w:r>
      <w:r>
        <w:rPr>
          <w:rStyle w:val="18"/>
          <w:rFonts w:hint="eastAsia" w:ascii="仿宋" w:hAnsi="仿宋" w:eastAsia="仿宋"/>
          <w:b w:val="0"/>
          <w:bCs/>
          <w:sz w:val="32"/>
          <w:szCs w:val="32"/>
        </w:rPr>
        <w:t>万元，完成预算100%，决算数等于预算数</w:t>
      </w:r>
      <w:r>
        <w:rPr>
          <w:rStyle w:val="18"/>
          <w:rFonts w:hint="eastAsia" w:ascii="仿宋" w:hAnsi="仿宋" w:eastAsia="仿宋"/>
          <w:b w:val="0"/>
          <w:bCs/>
          <w:sz w:val="32"/>
          <w:szCs w:val="32"/>
          <w:lang w:eastAsia="zh-CN"/>
        </w:rPr>
        <w:t>。</w:t>
      </w:r>
    </w:p>
    <w:p>
      <w:pPr>
        <w:tabs>
          <w:tab w:val="right" w:pos="8306"/>
        </w:tabs>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r>
        <w:rPr>
          <w:rStyle w:val="18"/>
          <w:rFonts w:hint="eastAsia" w:ascii="仿宋" w:hAnsi="仿宋" w:eastAsia="仿宋"/>
          <w:bCs/>
          <w:sz w:val="32"/>
          <w:szCs w:val="32"/>
        </w:rPr>
        <w:t>1</w:t>
      </w:r>
      <w:r>
        <w:rPr>
          <w:rStyle w:val="18"/>
          <w:rFonts w:hint="eastAsia" w:ascii="仿宋" w:hAnsi="仿宋" w:eastAsia="仿宋"/>
          <w:bCs/>
          <w:sz w:val="32"/>
          <w:szCs w:val="32"/>
          <w:lang w:val="en-US" w:eastAsia="zh-CN"/>
        </w:rPr>
        <w:t>2</w:t>
      </w:r>
      <w:r>
        <w:rPr>
          <w:rStyle w:val="18"/>
          <w:rFonts w:hint="eastAsia" w:ascii="仿宋" w:hAnsi="仿宋" w:eastAsia="仿宋"/>
          <w:bCs/>
          <w:sz w:val="32"/>
          <w:szCs w:val="32"/>
        </w:rPr>
        <w:t>.</w:t>
      </w:r>
      <w:r>
        <w:rPr>
          <w:rStyle w:val="18"/>
          <w:rFonts w:hint="eastAsia" w:ascii="仿宋" w:hAnsi="仿宋" w:eastAsia="仿宋"/>
          <w:bCs/>
          <w:sz w:val="32"/>
          <w:szCs w:val="32"/>
          <w:lang w:eastAsia="zh-CN"/>
        </w:rPr>
        <w:t>自然保护地</w:t>
      </w:r>
      <w:r>
        <w:rPr>
          <w:rStyle w:val="18"/>
          <w:rFonts w:hint="eastAsia" w:ascii="仿宋" w:hAnsi="仿宋" w:eastAsia="仿宋"/>
          <w:bCs/>
          <w:sz w:val="32"/>
          <w:szCs w:val="32"/>
          <w:lang w:val="en-US" w:eastAsia="zh-CN"/>
        </w:rPr>
        <w:t>2110406</w:t>
      </w:r>
      <w:r>
        <w:rPr>
          <w:rStyle w:val="18"/>
          <w:rFonts w:hint="eastAsia" w:ascii="仿宋" w:hAnsi="仿宋" w:eastAsia="仿宋"/>
          <w:bCs/>
          <w:sz w:val="32"/>
          <w:szCs w:val="32"/>
        </w:rPr>
        <w:t>：</w:t>
      </w:r>
      <w:r>
        <w:rPr>
          <w:rStyle w:val="18"/>
          <w:rFonts w:hint="eastAsia" w:ascii="仿宋" w:hAnsi="仿宋" w:eastAsia="仿宋"/>
          <w:b w:val="0"/>
          <w:bCs/>
          <w:sz w:val="32"/>
          <w:szCs w:val="32"/>
        </w:rPr>
        <w:t>支出决算数为</w:t>
      </w:r>
      <w:r>
        <w:rPr>
          <w:rStyle w:val="18"/>
          <w:rFonts w:hint="eastAsia" w:ascii="仿宋" w:hAnsi="仿宋" w:eastAsia="仿宋"/>
          <w:b w:val="0"/>
          <w:bCs/>
          <w:sz w:val="32"/>
          <w:szCs w:val="32"/>
          <w:lang w:val="en-US" w:eastAsia="zh-CN"/>
        </w:rPr>
        <w:t>374.92</w:t>
      </w:r>
      <w:r>
        <w:rPr>
          <w:rStyle w:val="18"/>
          <w:rFonts w:hint="eastAsia" w:ascii="仿宋" w:hAnsi="仿宋" w:eastAsia="仿宋"/>
          <w:b w:val="0"/>
          <w:bCs/>
          <w:sz w:val="32"/>
          <w:szCs w:val="32"/>
        </w:rPr>
        <w:t>万元，完成预算100%，决算数等于预算数</w:t>
      </w:r>
      <w:r>
        <w:rPr>
          <w:rStyle w:val="18"/>
          <w:rFonts w:hint="eastAsia" w:ascii="仿宋" w:hAnsi="仿宋" w:eastAsia="仿宋"/>
          <w:b w:val="0"/>
          <w:bCs/>
          <w:sz w:val="32"/>
          <w:szCs w:val="32"/>
          <w:lang w:eastAsia="zh-CN"/>
        </w:rPr>
        <w:t>。</w:t>
      </w:r>
    </w:p>
    <w:p>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764.36</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714.11</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148.13万元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101.36万元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252.28万元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67.83万元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33.91万元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3.7万元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职工基本医疗保险32万元、公务员医疗补助6.41万元、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4.08万元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1.07万元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生活补助7.26万元、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56.09万元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50.24</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4.66万元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0.08万元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2.5万元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1.19万元</w:t>
      </w:r>
      <w:r>
        <w:rPr>
          <w:rFonts w:hint="eastAsia" w:ascii="Times New Roman" w:hAnsi="Times New Roman" w:eastAsia="仿宋_GB2312" w:cs="仿宋_GB2312"/>
          <w:color w:val="auto"/>
          <w:kern w:val="2"/>
          <w:sz w:val="32"/>
          <w:szCs w:val="32"/>
          <w:highlight w:val="none"/>
          <w:lang w:val="en-US" w:eastAsia="zh-CN" w:bidi="ar-SA"/>
        </w:rPr>
        <w:t>、取暖费</w:t>
      </w:r>
      <w:r>
        <w:rPr>
          <w:rFonts w:hint="eastAsia" w:eastAsia="仿宋_GB2312" w:cs="仿宋_GB2312"/>
          <w:color w:val="auto"/>
          <w:kern w:val="2"/>
          <w:sz w:val="32"/>
          <w:szCs w:val="32"/>
          <w:highlight w:val="none"/>
          <w:lang w:val="en-US" w:eastAsia="zh-CN" w:bidi="ar-SA"/>
        </w:rPr>
        <w:t>2.66万元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0.65万元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0.29万元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6万元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12.02万元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15万元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5.25万元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15.29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99.95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5.25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34.34</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本年度公务接待较少。</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其中公务用车运行维护费15万元，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98.1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0.29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6432" behindDoc="0" locked="0" layoutInCell="1" allowOverlap="1">
            <wp:simplePos x="0" y="0"/>
            <wp:positionH relativeFrom="column">
              <wp:posOffset>309880</wp:posOffset>
            </wp:positionH>
            <wp:positionV relativeFrom="paragraph">
              <wp:posOffset>46990</wp:posOffset>
            </wp:positionV>
            <wp:extent cx="4251325" cy="3076575"/>
            <wp:effectExtent l="5080" t="4445" r="10795" b="508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2"/>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5.19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本年度年初预算较上年增加5万元，且我单位公车运行维护费较上年度增加。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应急保障用车2辆</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特种专业技术用车1辆</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其他用车1</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Times New Roman" w:eastAsia="仿宋_GB2312"/>
          <w:kern w:val="2"/>
          <w:sz w:val="32"/>
          <w:szCs w:val="32"/>
        </w:rPr>
        <w:t>湿地保护区巡护、湿地保护下乡宣传、项目评审</w:t>
      </w:r>
      <w:r>
        <w:rPr>
          <w:rFonts w:hint="eastAsia" w:ascii="仿宋_GB2312" w:hAnsi="Times New Roman" w:eastAsia="仿宋_GB2312"/>
          <w:kern w:val="2"/>
          <w:sz w:val="32"/>
          <w:szCs w:val="32"/>
          <w:lang w:eastAsia="zh-CN"/>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0.29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96.67</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24.14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主要原因</w:t>
      </w:r>
      <w:r>
        <w:rPr>
          <w:rFonts w:hint="eastAsia" w:ascii="仿宋_GB2312" w:eastAsia="仿宋_GB2312"/>
          <w:sz w:val="32"/>
          <w:szCs w:val="32"/>
          <w:lang w:eastAsia="zh-CN"/>
        </w:rPr>
        <w:t>是本年度我单位比上年度接待人次增加，故接待费有所增加</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0.29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41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济源产城融合示范区湿地保护中心一行人到我单位考察学习交流0.08万元；阿坝藏族羌族自治州林业和草原局一行人到我单位推进审计问题整改0.1万元；张掖黑河湿地国家级自然保护区管理局一行人到我单位进行黑鹳生境迁徙调查0.04万元；阿坝州林业和草原局一行人到我单位进行自然保护地调研0.08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77218"/>
      <w:bookmarkStart w:id="35" w:name="_Toc15396610"/>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阿坝州若尔盖湿地国家级自然保护区管理局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阿坝州若尔盖湿地国家级自然保护区管理局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403.89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96.02</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307.87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2024年国家重点生态功能区转移支付禁止开发区补助项目中其他系统集成服务采购及生态资源调查与监测服务采购；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47.83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11.84</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阿坝州若尔盖湿地国家级自然保护区管理局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sz w:val="32"/>
          <w:szCs w:val="32"/>
        </w:rPr>
        <w:t>湿地保护区巡护、湿地保护下乡宣传</w:t>
      </w:r>
      <w:r>
        <w:rPr>
          <w:rFonts w:hint="eastAsia" w:ascii="仿宋_GB2312" w:eastAsia="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default" w:ascii="Times New Roman" w:hAnsi="Times New Roman" w:eastAsia="仿宋_GB2312" w:cs="仿宋_GB2312"/>
          <w:color w:val="auto"/>
          <w:kern w:val="2"/>
          <w:sz w:val="32"/>
          <w:szCs w:val="32"/>
          <w:highlight w:val="none"/>
          <w:lang w:val="en-US" w:eastAsia="zh-CN" w:bidi="ar-SA"/>
        </w:rPr>
        <w:t>2025年中央财政林业草原专项资金疫源疫病监测及设备更新项目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982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w:t>
      </w:r>
      <w:r>
        <w:rPr>
          <w:rFonts w:ascii="仿宋_GB2312" w:eastAsia="仿宋_GB2312"/>
          <w:color w:val="auto"/>
          <w:sz w:val="32"/>
          <w:szCs w:val="32"/>
        </w:rPr>
        <w:t>.财政拨款收入：指单位从同级财政部门取得的财政预算资金。</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4.一般公共服务2130204：指林业事业机构。</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5.社会保障和就业2080505、2080506：指养老保险职业年金等。</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6.医疗卫生与计划生育2101102：指事业单位医疗。</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7.农林水2130212：指湿地保护。</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8.住房保障2210201：指住房公积金。</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9.节能环保支出2110401：指生态保护。</w:t>
      </w:r>
    </w:p>
    <w:p>
      <w:pPr>
        <w:pStyle w:val="27"/>
        <w:spacing w:line="560" w:lineRule="exact"/>
        <w:ind w:firstLine="640" w:firstLineChars="200"/>
        <w:rPr>
          <w:rFonts w:hAnsi="仿宋"/>
          <w:b/>
          <w:sz w:val="32"/>
          <w:szCs w:val="32"/>
        </w:rPr>
      </w:pPr>
      <w:r>
        <w:rPr>
          <w:rFonts w:hint="eastAsia" w:ascii="仿宋_GB2312" w:eastAsia="仿宋_GB2312"/>
          <w:color w:val="auto"/>
          <w:sz w:val="32"/>
          <w:szCs w:val="32"/>
        </w:rPr>
        <w:t>10.自然资源海洋气象等支出2200106：指自然资源利用与保护。</w:t>
      </w:r>
    </w:p>
    <w:p>
      <w:pPr>
        <w:ind w:firstLine="640" w:firstLineChars="200"/>
        <w:rPr>
          <w:rFonts w:ascii="仿宋_GB2312" w:eastAsia="仿宋_GB2312"/>
          <w:sz w:val="32"/>
          <w:szCs w:val="32"/>
        </w:rPr>
      </w:pPr>
      <w:r>
        <w:rPr>
          <w:rFonts w:hint="eastAsia" w:ascii="仿宋_GB2312" w:eastAsia="仿宋_GB2312"/>
          <w:sz w:val="32"/>
          <w:szCs w:val="32"/>
        </w:rPr>
        <w:t>11</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12</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pPr>
        <w:pStyle w:val="27"/>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13</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ind w:firstLine="640" w:firstLineChars="200"/>
        <w:jc w:val="left"/>
        <w:textAlignment w:val="auto"/>
        <w:outlineLvl w:val="0"/>
        <w:rPr>
          <w:rFonts w:hint="eastAsia" w:ascii="仿宋_GB2312" w:hAnsi="Calibri" w:eastAsia="仿宋_GB2312" w:cs="仿宋"/>
          <w:color w:val="auto"/>
          <w:kern w:val="0"/>
          <w:sz w:val="32"/>
          <w:szCs w:val="32"/>
          <w:lang w:val="zh-CN" w:eastAsia="zh-CN" w:bidi="ar-SA"/>
        </w:rPr>
      </w:pPr>
      <w:r>
        <w:rPr>
          <w:rFonts w:hint="eastAsia" w:ascii="Times New Roman" w:hAnsi="Times New Roman" w:eastAsia="仿宋_GB2312" w:cs="Times New Roman"/>
          <w:kern w:val="2"/>
          <w:sz w:val="32"/>
          <w:szCs w:val="32"/>
          <w:u w:val="none"/>
          <w:lang w:val="en-US" w:eastAsia="zh-CN" w:bidi="ar"/>
        </w:rPr>
        <w:t>附件1：四川若尔盖湿地国家级自然保护区管理局2025年预算绩效评价报告。</w:t>
      </w:r>
    </w:p>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lang w:val="zh-CN" w:eastAsia="zh-CN"/>
        </w:rPr>
      </w:pPr>
      <w:r>
        <w:rPr>
          <w:rFonts w:hint="eastAsia" w:ascii="Times New Roman" w:hAnsi="Times New Roman" w:eastAsia="仿宋_GB2312" w:cs="Times New Roman"/>
          <w:kern w:val="2"/>
          <w:sz w:val="32"/>
          <w:szCs w:val="32"/>
          <w:u w:val="none"/>
          <w:lang w:val="zh-CN" w:eastAsia="zh-CN" w:bidi="ar"/>
        </w:rPr>
        <w:t>附</w:t>
      </w:r>
      <w:r>
        <w:rPr>
          <w:rFonts w:hint="eastAsia" w:ascii="Times New Roman" w:eastAsia="仿宋_GB2312" w:cs="Times New Roman"/>
          <w:kern w:val="2"/>
          <w:sz w:val="32"/>
          <w:szCs w:val="32"/>
          <w:u w:val="none"/>
          <w:lang w:val="zh-CN" w:eastAsia="zh-CN" w:bidi="ar"/>
        </w:rPr>
        <w:t>件</w:t>
      </w:r>
      <w:r>
        <w:rPr>
          <w:rFonts w:hint="eastAsia" w:ascii="Times New Roman" w:eastAsia="仿宋_GB2312" w:cs="Times New Roman"/>
          <w:kern w:val="2"/>
          <w:sz w:val="32"/>
          <w:szCs w:val="32"/>
          <w:u w:val="none"/>
          <w:lang w:val="en-US" w:eastAsia="zh-CN" w:bidi="ar"/>
        </w:rPr>
        <w:t>2</w:t>
      </w:r>
      <w:r>
        <w:rPr>
          <w:rFonts w:hint="eastAsia" w:ascii="Times New Roman" w:hAnsi="Times New Roman" w:eastAsia="仿宋_GB2312" w:cs="Times New Roman"/>
          <w:kern w:val="2"/>
          <w:sz w:val="32"/>
          <w:szCs w:val="32"/>
          <w:u w:val="none"/>
          <w:lang w:val="zh-CN" w:eastAsia="zh-CN" w:bidi="ar"/>
        </w:rPr>
        <w:t>：</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r>
        <w:rPr>
          <w:rFonts w:hint="eastAsia" w:ascii="Times New Roman" w:eastAsia="仿宋_GB2312" w:cs="Times New Roman"/>
          <w:kern w:val="2"/>
          <w:sz w:val="32"/>
          <w:szCs w:val="32"/>
          <w:u w:val="none"/>
          <w:lang w:val="en-US" w:eastAsia="zh-CN" w:bidi="ar"/>
        </w:rPr>
        <w:t>。</w:t>
      </w:r>
    </w:p>
    <w:p>
      <w:pPr>
        <w:pStyle w:val="35"/>
        <w:keepNext w:val="0"/>
        <w:keepLines w:val="0"/>
        <w:pageBreakBefore w:val="0"/>
        <w:widowControl w:val="0"/>
        <w:kinsoku/>
        <w:wordWrap/>
        <w:overflowPunct/>
        <w:topLinePunct w:val="0"/>
        <w:autoSpaceDE/>
        <w:autoSpaceDN/>
        <w:bidi w:val="0"/>
        <w:spacing w:line="578" w:lineRule="exact"/>
        <w:ind w:left="0" w:leftChars="0" w:firstLine="640" w:firstLineChars="200"/>
        <w:jc w:val="both"/>
        <w:textAlignment w:val="auto"/>
        <w:rPr>
          <w:rFonts w:hint="eastAsia" w:ascii="仿宋_GB2312" w:hAnsi="Calibri" w:eastAsia="仿宋_GB2312" w:cs="仿宋"/>
          <w:color w:val="auto"/>
          <w:kern w:val="0"/>
          <w:sz w:val="32"/>
          <w:szCs w:val="32"/>
          <w:lang w:val="zh-CN" w:eastAsia="zh-CN" w:bidi="ar-SA"/>
        </w:rPr>
      </w:pPr>
      <w:r>
        <w:rPr>
          <w:rFonts w:hint="eastAsia" w:ascii="Times New Roman" w:hAnsi="Times New Roman" w:eastAsia="仿宋_GB2312" w:cs="Times New Roman"/>
          <w:kern w:val="2"/>
          <w:sz w:val="32"/>
          <w:szCs w:val="32"/>
          <w:u w:val="none"/>
          <w:lang w:val="en-US" w:eastAsia="zh-CN" w:bidi="ar"/>
        </w:rPr>
        <w:t>附件3：</w:t>
      </w:r>
      <w:r>
        <w:rPr>
          <w:rFonts w:hint="default" w:ascii="Times New Roman" w:hAnsi="Times New Roman" w:eastAsia="仿宋_GB2312" w:cs="Times New Roman"/>
          <w:color w:val="auto"/>
          <w:kern w:val="2"/>
          <w:sz w:val="32"/>
          <w:szCs w:val="32"/>
          <w:u w:val="none"/>
          <w:lang w:val="en-US" w:eastAsia="zh-CN" w:bidi="ar"/>
        </w:rPr>
        <w:t>专项预算</w:t>
      </w:r>
      <w:r>
        <w:rPr>
          <w:rFonts w:hint="eastAsia" w:ascii="Times New Roman" w:hAnsi="Times New Roman" w:eastAsia="仿宋_GB2312" w:cs="Times New Roman"/>
          <w:color w:val="auto"/>
          <w:kern w:val="2"/>
          <w:sz w:val="32"/>
          <w:szCs w:val="32"/>
          <w:u w:val="none"/>
          <w:lang w:val="en-US" w:eastAsia="zh-CN" w:bidi="ar"/>
        </w:rPr>
        <w:t>项目</w:t>
      </w:r>
      <w:r>
        <w:rPr>
          <w:rFonts w:hint="default" w:ascii="Times New Roman" w:hAnsi="Times New Roman" w:eastAsia="仿宋_GB2312" w:cs="Times New Roman"/>
          <w:color w:val="auto"/>
          <w:kern w:val="2"/>
          <w:sz w:val="32"/>
          <w:szCs w:val="32"/>
          <w:u w:val="none"/>
          <w:lang w:val="en-US" w:eastAsia="zh-CN" w:bidi="ar"/>
        </w:rPr>
        <w:t>绩效自评报告</w:t>
      </w:r>
      <w:r>
        <w:rPr>
          <w:rFonts w:hint="eastAsia" w:ascii="Times New Roman" w:hAnsi="Times New Roman" w:eastAsia="仿宋_GB2312" w:cs="Times New Roman"/>
          <w:kern w:val="2"/>
          <w:sz w:val="32"/>
          <w:szCs w:val="32"/>
          <w:u w:val="none"/>
          <w:lang w:val="en-US" w:eastAsia="zh-CN" w:bidi="ar"/>
        </w:rPr>
        <w:t>。</w:t>
      </w:r>
    </w:p>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附件</w:t>
      </w:r>
      <w:r>
        <w:rPr>
          <w:rFonts w:hint="eastAsia" w:ascii="Times New Roman" w:eastAsia="仿宋_GB2312" w:cs="Times New Roman"/>
          <w:kern w:val="2"/>
          <w:sz w:val="32"/>
          <w:szCs w:val="32"/>
          <w:u w:val="none"/>
          <w:lang w:val="en-US" w:eastAsia="zh-CN" w:bidi="ar"/>
        </w:rPr>
        <w:t>4</w:t>
      </w:r>
      <w:r>
        <w:rPr>
          <w:rFonts w:hint="eastAsia" w:ascii="Times New Roman" w:hAnsi="Times New Roman" w:eastAsia="仿宋_GB2312" w:cs="Times New Roman"/>
          <w:kern w:val="2"/>
          <w:sz w:val="32"/>
          <w:szCs w:val="32"/>
          <w:u w:val="none"/>
          <w:lang w:val="zh-CN" w:eastAsia="zh-CN" w:bidi="ar"/>
        </w:rPr>
        <w:t>：</w:t>
      </w:r>
      <w:r>
        <w:rPr>
          <w:rFonts w:hint="default" w:ascii="Times New Roman" w:hAnsi="Times New Roman" w:eastAsia="仿宋_GB2312" w:cs="Times New Roman"/>
          <w:color w:val="auto"/>
          <w:kern w:val="2"/>
          <w:sz w:val="32"/>
          <w:szCs w:val="32"/>
          <w:u w:val="none"/>
          <w:lang w:val="en-US" w:eastAsia="zh-CN" w:bidi="ar"/>
        </w:rPr>
        <w:t>专项预算</w:t>
      </w:r>
      <w:r>
        <w:rPr>
          <w:rFonts w:hint="eastAsia" w:ascii="Times New Roman" w:hAnsi="Times New Roman" w:eastAsia="仿宋_GB2312" w:cs="Times New Roman"/>
          <w:color w:val="auto"/>
          <w:kern w:val="2"/>
          <w:sz w:val="32"/>
          <w:szCs w:val="32"/>
          <w:u w:val="none"/>
          <w:lang w:val="en-US" w:eastAsia="zh-CN" w:bidi="ar"/>
        </w:rPr>
        <w:t>项目</w:t>
      </w:r>
      <w:r>
        <w:rPr>
          <w:rFonts w:hint="eastAsia" w:ascii="Times New Roman" w:hAnsi="Times New Roman" w:eastAsia="仿宋_GB2312" w:cs="Times New Roman"/>
          <w:kern w:val="2"/>
          <w:sz w:val="32"/>
          <w:szCs w:val="32"/>
          <w:u w:val="none"/>
          <w:lang w:val="en-US" w:eastAsia="zh-CN" w:bidi="ar"/>
        </w:rPr>
        <w:t>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r>
        <w:rPr>
          <w:rFonts w:hint="eastAsia" w:ascii="Times New Roman" w:eastAsia="仿宋_GB2312" w:cs="Times New Roman"/>
          <w:kern w:val="2"/>
          <w:sz w:val="32"/>
          <w:szCs w:val="32"/>
          <w:u w:val="none"/>
          <w:lang w:val="en-US" w:eastAsia="zh-CN" w:bidi="ar"/>
        </w:rPr>
        <w:t>。</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7"/>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bookmarkEnd w:id="61"/>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665EE6"/>
    <w:multiLevelType w:val="singleLevel"/>
    <w:tmpl w:val="3D665EE6"/>
    <w:lvl w:ilvl="0" w:tentative="0">
      <w:start w:val="1"/>
      <w:numFmt w:val="decimal"/>
      <w:lvlText w:val="%1."/>
      <w:lvlJc w:val="left"/>
      <w:pPr>
        <w:tabs>
          <w:tab w:val="left" w:pos="312"/>
        </w:tabs>
      </w:pPr>
    </w:lvl>
  </w:abstractNum>
  <w:abstractNum w:abstractNumId="1">
    <w:nsid w:val="7748A6BA"/>
    <w:multiLevelType w:val="singleLevel"/>
    <w:tmpl w:val="7748A6B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D456DE"/>
    <w:rsid w:val="186504BB"/>
    <w:rsid w:val="1938089F"/>
    <w:rsid w:val="19A445FC"/>
    <w:rsid w:val="1B7D550C"/>
    <w:rsid w:val="1BE8440E"/>
    <w:rsid w:val="1D155CEE"/>
    <w:rsid w:val="1DE178F3"/>
    <w:rsid w:val="1E740ACF"/>
    <w:rsid w:val="1FF35744"/>
    <w:rsid w:val="1FF6BC77"/>
    <w:rsid w:val="21962A9E"/>
    <w:rsid w:val="21AE7C77"/>
    <w:rsid w:val="222B569B"/>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EC2720"/>
    <w:rsid w:val="37F53A3B"/>
    <w:rsid w:val="389B6C89"/>
    <w:rsid w:val="38D469F0"/>
    <w:rsid w:val="39627CCD"/>
    <w:rsid w:val="397BAF1F"/>
    <w:rsid w:val="3AB79AF3"/>
    <w:rsid w:val="3B7EF35A"/>
    <w:rsid w:val="3B9FDB6C"/>
    <w:rsid w:val="3BF5BC2F"/>
    <w:rsid w:val="3BF97F3D"/>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CC7537"/>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63010F"/>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77597"/>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9"/>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收、支决算总计对比表</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6488.57</c:v>
                </c:pt>
                <c:pt idx="1">
                  <c:v>3791.6</c:v>
                </c:pt>
              </c:numCache>
            </c:numRef>
          </c:val>
        </c:ser>
        <c:dLbls>
          <c:showLegendKey val="0"/>
          <c:showVal val="0"/>
          <c:showCatName val="0"/>
          <c:showSerName val="0"/>
          <c:showPercent val="0"/>
          <c:showBubbleSize val="0"/>
        </c:dLbls>
        <c:gapWidth val="219"/>
        <c:overlap val="-27"/>
        <c:axId val="364650066"/>
        <c:axId val="779318121"/>
      </c:barChart>
      <c:catAx>
        <c:axId val="3646500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318121"/>
        <c:crosses val="autoZero"/>
        <c:auto val="1"/>
        <c:lblAlgn val="ctr"/>
        <c:lblOffset val="100"/>
        <c:noMultiLvlLbl val="0"/>
      </c:catAx>
      <c:valAx>
        <c:axId val="7793181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500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Lbls>
            <c:delete val="1"/>
          </c:dLbls>
          <c:cat>
            <c:strRef>
              <c:f>Sheet1!$A$2</c:f>
              <c:strCache>
                <c:ptCount val="1"/>
                <c:pt idx="0">
                  <c:v>一般公共预算拨款收入</c:v>
                </c:pt>
              </c:strCache>
            </c:strRef>
          </c:cat>
          <c:val>
            <c:numRef>
              <c:f>Sheet1!$B$2</c:f>
              <c:numCache>
                <c:formatCode>General</c:formatCode>
                <c:ptCount val="1"/>
                <c:pt idx="0">
                  <c:v>1602.93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764.36</c:v>
                </c:pt>
                <c:pt idx="1">
                  <c:v>3027.24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8974870362984"/>
          <c:y val="0.256574141709277"/>
          <c:w val="0.887036298364579"/>
          <c:h val="0.689810080350621"/>
        </c:manualLayout>
      </c:layout>
      <c:barChart>
        <c:barDir val="col"/>
        <c:grouping val="clustered"/>
        <c:varyColors val="0"/>
        <c:ser>
          <c:idx val="0"/>
          <c:order val="0"/>
          <c:tx>
            <c:strRef>
              <c:f>Sheet1!$B$1</c:f>
              <c:strCache>
                <c:ptCount val="1"/>
                <c:pt idx="0">
                  <c:v>收、支决算总计对比表</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6488.57</c:v>
                </c:pt>
                <c:pt idx="1">
                  <c:v>3791.6</c:v>
                </c:pt>
              </c:numCache>
            </c:numRef>
          </c:val>
        </c:ser>
        <c:dLbls>
          <c:showLegendKey val="0"/>
          <c:showVal val="0"/>
          <c:showCatName val="0"/>
          <c:showSerName val="0"/>
          <c:showPercent val="0"/>
          <c:showBubbleSize val="0"/>
        </c:dLbls>
        <c:gapWidth val="219"/>
        <c:overlap val="-27"/>
        <c:axId val="364650066"/>
        <c:axId val="779318121"/>
      </c:barChart>
      <c:catAx>
        <c:axId val="3646500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318121"/>
        <c:crosses val="autoZero"/>
        <c:auto val="1"/>
        <c:lblAlgn val="ctr"/>
        <c:lblOffset val="100"/>
        <c:noMultiLvlLbl val="0"/>
      </c:catAx>
      <c:valAx>
        <c:axId val="7793181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500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8974870362984"/>
          <c:y val="0.256574141709277"/>
          <c:w val="0.887036298364579"/>
          <c:h val="0.689810080350621"/>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6488.57</c:v>
                </c:pt>
                <c:pt idx="1">
                  <c:v>3791.6</c:v>
                </c:pt>
              </c:numCache>
            </c:numRef>
          </c:val>
        </c:ser>
        <c:dLbls>
          <c:showLegendKey val="0"/>
          <c:showVal val="0"/>
          <c:showCatName val="0"/>
          <c:showSerName val="0"/>
          <c:showPercent val="0"/>
          <c:showBubbleSize val="0"/>
        </c:dLbls>
        <c:gapWidth val="219"/>
        <c:overlap val="-27"/>
        <c:axId val="364650066"/>
        <c:axId val="779318121"/>
      </c:barChart>
      <c:catAx>
        <c:axId val="3646500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318121"/>
        <c:crosses val="autoZero"/>
        <c:auto val="1"/>
        <c:lblAlgn val="ctr"/>
        <c:lblOffset val="100"/>
        <c:noMultiLvlLbl val="0"/>
      </c:catAx>
      <c:valAx>
        <c:axId val="7793181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6500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elete val="1"/>
          </c:dLbls>
          <c:cat>
            <c:strRef>
              <c:f>Sheet1!$A$2:$A$7</c:f>
              <c:strCache>
                <c:ptCount val="6"/>
                <c:pt idx="0">
                  <c:v>社会保障和就业支出</c:v>
                </c:pt>
                <c:pt idx="1">
                  <c:v>卫生健康支出</c:v>
                </c:pt>
                <c:pt idx="2">
                  <c:v>住房保障支出</c:v>
                </c:pt>
                <c:pt idx="3">
                  <c:v>节能环保支出</c:v>
                </c:pt>
                <c:pt idx="4">
                  <c:v>农林水支出</c:v>
                </c:pt>
                <c:pt idx="5">
                  <c:v>自然资源海洋气象等支出</c:v>
                </c:pt>
              </c:strCache>
            </c:strRef>
          </c:cat>
          <c:val>
            <c:numRef>
              <c:f>Sheet1!$B$2:$B$7</c:f>
              <c:numCache>
                <c:formatCode>General</c:formatCode>
                <c:ptCount val="6"/>
                <c:pt idx="0">
                  <c:v>101.74</c:v>
                </c:pt>
                <c:pt idx="1">
                  <c:v>38.4</c:v>
                </c:pt>
                <c:pt idx="2">
                  <c:v>56.09</c:v>
                </c:pt>
                <c:pt idx="3">
                  <c:v>889</c:v>
                </c:pt>
                <c:pt idx="4">
                  <c:v>2692.47</c:v>
                </c:pt>
                <c:pt idx="5">
                  <c:v>13.88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公务接待费</c:v>
                </c:pt>
                <c:pt idx="1">
                  <c:v>公务用车运行维护费</c:v>
                </c:pt>
              </c:strCache>
            </c:strRef>
          </c:cat>
          <c:val>
            <c:numRef>
              <c:f>Sheet1!$B$2:$B$3</c:f>
              <c:numCache>
                <c:formatCode>General</c:formatCode>
                <c:ptCount val="2"/>
                <c:pt idx="0">
                  <c:v>0.29</c:v>
                </c:pt>
                <c:pt idx="1">
                  <c:v>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1299</Words>
  <Characters>7410</Characters>
  <Lines>61</Lines>
  <Paragraphs>17</Paragraphs>
  <TotalTime>26</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2026-10-09T23:15:00Z</cp:lastPrinted>
  <dcterms:modified xsi:type="dcterms:W3CDTF">2026-10-12T16:03:35Z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400D301575C74348A5277D00A7902E06</vt:lpwstr>
  </property>
</Properties>
</file>