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黑体"/>
          <w:color w:val="auto"/>
          <w:kern w:val="2"/>
          <w:sz w:val="32"/>
          <w:szCs w:val="32"/>
          <w:highlight w:val="none"/>
          <w:lang w:val="en-US" w:eastAsia="zh-CN" w:bidi="ar-SA"/>
        </w:rPr>
      </w:pPr>
      <w:bookmarkStart w:id="0" w:name="_Toc15377193"/>
      <w:bookmarkStart w:id="1" w:name="_Toc15396475"/>
      <w:bookmarkStart w:id="2" w:name="_Toc15306267"/>
      <w:bookmarkStart w:id="3" w:name="_Toc15377425"/>
      <w:bookmarkStart w:id="4" w:name="_Toc15396597"/>
      <w:bookmarkStart w:id="5" w:name="_Toc15378441"/>
      <w:r>
        <w:rPr>
          <w:rFonts w:hint="eastAsia" w:ascii="黑体" w:hAnsi="黑体" w:eastAsia="黑体" w:cs="黑体"/>
          <w:color w:val="auto"/>
          <w:kern w:val="2"/>
          <w:sz w:val="32"/>
          <w:szCs w:val="32"/>
          <w:highlight w:val="none"/>
          <w:lang w:val="en-US" w:eastAsia="zh-CN" w:bidi="ar-SA"/>
        </w:rPr>
        <w:t>附件4</w:t>
      </w: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adjustRightInd w:val="0"/>
        <w:snapToGrid w:val="0"/>
        <w:spacing w:line="360" w:lineRule="auto"/>
        <w:jc w:val="center"/>
        <w:outlineLvl w:val="9"/>
        <w:rPr>
          <w:rFonts w:hint="eastAsia" w:ascii="方正小标宋简体" w:eastAsia="方正小标宋简体" w:cs="方正小标宋简体"/>
          <w:sz w:val="72"/>
          <w:szCs w:val="72"/>
          <w:highlight w:val="none"/>
          <w:lang w:bidi="ar-SA"/>
        </w:rPr>
      </w:pPr>
      <w:r>
        <w:rPr>
          <w:rFonts w:hint="eastAsia" w:ascii="方正小标宋简体" w:eastAsia="方正小标宋简体" w:cs="方正小标宋简体"/>
          <w:sz w:val="72"/>
          <w:szCs w:val="72"/>
          <w:highlight w:val="none"/>
          <w:lang w:bidi="ar-SA"/>
        </w:rPr>
        <w:t>202</w:t>
      </w:r>
      <w:r>
        <w:rPr>
          <w:rFonts w:hint="eastAsia" w:ascii="方正小标宋简体" w:eastAsia="方正小标宋简体" w:cs="方正小标宋简体"/>
          <w:sz w:val="72"/>
          <w:szCs w:val="72"/>
          <w:highlight w:val="none"/>
          <w:lang w:val="en-US" w:eastAsia="zh-CN" w:bidi="ar-SA"/>
        </w:rPr>
        <w:t>5</w:t>
      </w:r>
      <w:r>
        <w:rPr>
          <w:rFonts w:hint="eastAsia" w:ascii="方正小标宋简体" w:eastAsia="方正小标宋简体" w:cs="方正小标宋简体"/>
          <w:sz w:val="72"/>
          <w:szCs w:val="72"/>
          <w:highlight w:val="none"/>
          <w:lang w:bidi="ar-SA"/>
        </w:rPr>
        <w:t>年度</w:t>
      </w: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r>
        <w:rPr>
          <w:rFonts w:hint="eastAsia" w:ascii="方正小标宋简体" w:eastAsia="方正小标宋简体" w:cs="方正小标宋简体"/>
          <w:sz w:val="72"/>
          <w:szCs w:val="72"/>
          <w:highlight w:val="none"/>
          <w:lang w:eastAsia="zh-CN" w:bidi="ar-SA"/>
        </w:rPr>
        <w:t>中共阿坝州若尔盖县党史研究和地方志编纂中心</w:t>
      </w: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r>
        <w:rPr>
          <w:rFonts w:hint="eastAsia" w:ascii="方正小标宋简体" w:eastAsia="方正小标宋简体" w:cs="方正小标宋简体"/>
          <w:sz w:val="72"/>
          <w:szCs w:val="72"/>
          <w:highlight w:val="none"/>
          <w:lang w:eastAsia="zh-CN" w:bidi="ar-SA"/>
        </w:rPr>
        <w:t>部门决算</w:t>
      </w: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bookmarkStart w:id="108" w:name="_GoBack"/>
      <w:bookmarkEnd w:id="108"/>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pPr>
    </w:p>
    <w:p>
      <w:pPr>
        <w:rPr>
          <w:rFonts w:hint="eastAsia" w:ascii="方正小标宋简体" w:eastAsia="方正小标宋简体" w:cs="方正小标宋简体"/>
          <w:sz w:val="72"/>
          <w:szCs w:val="72"/>
          <w:highlight w:val="none"/>
          <w:lang w:eastAsia="zh-CN" w:bidi="ar-SA"/>
        </w:rPr>
      </w:pPr>
      <w:r>
        <w:rPr>
          <w:rFonts w:hint="eastAsia" w:ascii="方正小标宋简体" w:eastAsia="方正小标宋简体" w:cs="方正小标宋简体"/>
          <w:sz w:val="72"/>
          <w:szCs w:val="72"/>
          <w:highlight w:val="none"/>
          <w:lang w:eastAsia="zh-CN" w:bidi="ar-SA"/>
        </w:rPr>
        <w:br w:type="page"/>
      </w:r>
    </w:p>
    <w:p>
      <w:pPr>
        <w:pStyle w:val="35"/>
        <w:keepNext w:val="0"/>
        <w:keepLines w:val="0"/>
        <w:pageBreakBefore w:val="0"/>
        <w:widowControl/>
        <w:suppressLineNumbers w:val="0"/>
        <w:suppressAutoHyphens w:val="0"/>
        <w:kinsoku/>
        <w:wordWrap/>
        <w:overflowPunct/>
        <w:topLinePunct w:val="0"/>
        <w:autoSpaceDE/>
        <w:autoSpaceDN/>
        <w:bidi w:val="0"/>
        <w:adjustRightInd/>
        <w:snapToGrid/>
        <w:spacing w:before="0" w:beforeAutospacing="0" w:line="840" w:lineRule="exact"/>
        <w:ind w:left="0"/>
        <w:jc w:val="center"/>
        <w:textAlignment w:val="auto"/>
        <w:rPr>
          <w:rFonts w:hint="eastAsia" w:ascii="方正小标宋简体" w:eastAsia="方正小标宋简体" w:cs="方正小标宋简体"/>
          <w:sz w:val="72"/>
          <w:szCs w:val="72"/>
          <w:highlight w:val="none"/>
          <w:lang w:eastAsia="zh-CN" w:bidi="ar-SA"/>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p>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sdt>
      <w:sdtPr>
        <w:rPr>
          <w:rFonts w:ascii="宋体" w:hAnsi="宋体" w:eastAsia="宋体" w:cs="Times New Roman"/>
          <w:kern w:val="2"/>
          <w:sz w:val="21"/>
          <w:szCs w:val="24"/>
          <w:lang w:val="en-US" w:eastAsia="zh-CN" w:bidi="ar-SA"/>
        </w:rPr>
        <w:id w:val="521699896"/>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目录</w:t>
          </w:r>
        </w:p>
        <w:p>
          <w:pPr>
            <w:pStyle w:val="12"/>
            <w:rPr>
              <w:rFonts w:ascii="宋体" w:hAnsi="宋体" w:eastAsia="宋体"/>
              <w:sz w:val="21"/>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日</w:t>
          </w:r>
        </w:p>
        <w:p>
          <w:pPr>
            <w:pStyle w:val="12"/>
            <w:tabs>
              <w:tab w:val="right" w:leader="dot" w:pos="8306"/>
              <w:tab w:val="clear" w:pos="8296"/>
            </w:tabs>
          </w:pPr>
          <w:r>
            <w:fldChar w:fldCharType="begin"/>
          </w:r>
          <w:r>
            <w:instrText xml:space="preserve">TOC \o "1-2" \h \u </w:instrText>
          </w:r>
          <w:r>
            <w:fldChar w:fldCharType="separate"/>
          </w:r>
          <w:r>
            <w:rPr>
              <w:rFonts w:hint="eastAsia" w:eastAsia="宋体"/>
            </w:rPr>
            <w:fldChar w:fldCharType="begin"/>
          </w:r>
          <w:r>
            <w:rPr>
              <w:rFonts w:hint="eastAsia" w:eastAsia="宋体"/>
            </w:rPr>
            <w:instrText xml:space="preserve"> HYPERLINK \l _Toc2012074423 </w:instrText>
          </w:r>
          <w:r>
            <w:rPr>
              <w:rFonts w:hint="eastAsia" w:eastAsia="宋体"/>
            </w:rPr>
            <w:fldChar w:fldCharType="separate"/>
          </w:r>
          <w:r>
            <w:rPr>
              <w:rFonts w:hint="eastAsia" w:eastAsia="宋体"/>
            </w:rPr>
            <w:t>第一部分</w:t>
          </w:r>
          <w:r>
            <w:rPr>
              <w:rFonts w:hint="eastAsia" w:eastAsia="宋体"/>
              <w:lang w:val="en-US" w:eastAsia="zh-CN"/>
            </w:rPr>
            <w:t xml:space="preserve"> </w:t>
          </w:r>
          <w:r>
            <w:rPr>
              <w:rFonts w:hint="eastAsia" w:eastAsia="宋体"/>
            </w:rPr>
            <w:t xml:space="preserve"> 部门概况</w:t>
          </w:r>
          <w:r>
            <w:rPr>
              <w:rFonts w:hint="eastAsia" w:eastAsia="宋体"/>
            </w:rPr>
            <w:tab/>
          </w:r>
          <w:r>
            <w:rPr>
              <w:rFonts w:hint="eastAsia" w:eastAsia="宋体"/>
            </w:rPr>
            <w:fldChar w:fldCharType="begin"/>
          </w:r>
          <w:r>
            <w:rPr>
              <w:rFonts w:hint="eastAsia" w:eastAsia="宋体"/>
            </w:rPr>
            <w:instrText xml:space="preserve"> PAGEREF _Toc2012074423 \h </w:instrText>
          </w:r>
          <w:r>
            <w:rPr>
              <w:rFonts w:hint="eastAsia" w:eastAsia="宋体"/>
            </w:rPr>
            <w:fldChar w:fldCharType="separate"/>
          </w:r>
          <w:r>
            <w:rPr>
              <w:rFonts w:hint="eastAsia" w:eastAsia="宋体"/>
            </w:rPr>
            <w:t>1</w:t>
          </w:r>
          <w:r>
            <w:rPr>
              <w:rFonts w:hint="eastAsia" w:eastAsia="宋体"/>
            </w:rPr>
            <w:fldChar w:fldCharType="end"/>
          </w:r>
          <w:r>
            <w:rPr>
              <w:rFonts w:hint="eastAsia" w:eastAsia="宋体"/>
            </w:rPr>
            <w:fldChar w:fldCharType="end"/>
          </w:r>
        </w:p>
        <w:p>
          <w:pPr>
            <w:pStyle w:val="14"/>
            <w:tabs>
              <w:tab w:val="right" w:leader="dot" w:pos="8306"/>
              <w:tab w:val="clear" w:pos="8296"/>
            </w:tabs>
          </w:pPr>
          <w:r>
            <w:fldChar w:fldCharType="begin"/>
          </w:r>
          <w:r>
            <w:instrText xml:space="preserve"> HYPERLINK \l _Toc316249875 </w:instrText>
          </w:r>
          <w:r>
            <w:fldChar w:fldCharType="separate"/>
          </w:r>
          <w:r>
            <w:rPr>
              <w:rFonts w:hint="eastAsia"/>
              <w:lang w:eastAsia="zh-CN"/>
            </w:rPr>
            <w:t>一、 部门职责</w:t>
          </w:r>
          <w:r>
            <w:tab/>
          </w:r>
          <w:r>
            <w:fldChar w:fldCharType="begin"/>
          </w:r>
          <w:r>
            <w:instrText xml:space="preserve"> PAGEREF _Toc316249875 \h </w:instrText>
          </w:r>
          <w:r>
            <w:fldChar w:fldCharType="separate"/>
          </w:r>
          <w:r>
            <w:t>1</w:t>
          </w:r>
          <w:r>
            <w:fldChar w:fldCharType="end"/>
          </w:r>
          <w:r>
            <w:fldChar w:fldCharType="end"/>
          </w:r>
        </w:p>
        <w:p>
          <w:pPr>
            <w:pStyle w:val="14"/>
            <w:tabs>
              <w:tab w:val="right" w:leader="dot" w:pos="8306"/>
              <w:tab w:val="clear" w:pos="8296"/>
            </w:tabs>
          </w:pPr>
          <w:r>
            <w:fldChar w:fldCharType="begin"/>
          </w:r>
          <w:r>
            <w:instrText xml:space="preserve"> HYPERLINK \l _Toc1595892977 </w:instrText>
          </w:r>
          <w:r>
            <w:fldChar w:fldCharType="separate"/>
          </w:r>
          <w:r>
            <w:rPr>
              <w:rFonts w:hint="eastAsia" w:eastAsia="宋体"/>
              <w:lang w:eastAsia="zh-CN"/>
            </w:rPr>
            <w:t>二、</w:t>
          </w:r>
          <w:r>
            <w:rPr>
              <w:rFonts w:hint="eastAsia"/>
              <w:lang w:eastAsia="zh-CN"/>
            </w:rPr>
            <w:t>机构设置</w:t>
          </w:r>
          <w:r>
            <w:tab/>
          </w:r>
          <w:r>
            <w:fldChar w:fldCharType="begin"/>
          </w:r>
          <w:r>
            <w:instrText xml:space="preserve"> PAGEREF _Toc1595892977 \h </w:instrText>
          </w:r>
          <w:r>
            <w:fldChar w:fldCharType="separate"/>
          </w:r>
          <w:r>
            <w:t>2</w:t>
          </w:r>
          <w:r>
            <w:fldChar w:fldCharType="end"/>
          </w:r>
          <w:r>
            <w:fldChar w:fldCharType="end"/>
          </w:r>
        </w:p>
        <w:p>
          <w:pPr>
            <w:pStyle w:val="12"/>
            <w:tabs>
              <w:tab w:val="right" w:leader="dot" w:pos="8306"/>
              <w:tab w:val="clear" w:pos="8296"/>
            </w:tabs>
          </w:pPr>
          <w:r>
            <w:fldChar w:fldCharType="begin"/>
          </w:r>
          <w:r>
            <w:instrText xml:space="preserve"> HYPERLINK \l _Toc956911390 </w:instrText>
          </w:r>
          <w:r>
            <w:fldChar w:fldCharType="separate"/>
          </w:r>
          <w:r>
            <w:rPr>
              <w:rFonts w:hint="eastAsia" w:eastAsia="宋体"/>
            </w:rPr>
            <w:t>第二部分</w:t>
          </w:r>
          <w:r>
            <w:rPr>
              <w:rFonts w:hint="eastAsia" w:eastAsia="宋体"/>
              <w:lang w:val="en-US" w:eastAsia="zh-CN"/>
            </w:rPr>
            <w:t xml:space="preserve"> </w:t>
          </w:r>
          <w:r>
            <w:rPr>
              <w:rFonts w:hint="eastAsia" w:eastAsia="宋体"/>
            </w:rPr>
            <w:t xml:space="preserve"> </w:t>
          </w:r>
          <w:r>
            <w:rPr>
              <w:rFonts w:hint="eastAsia" w:eastAsia="宋体"/>
              <w:lang w:val="en-US" w:eastAsia="zh-CN"/>
            </w:rPr>
            <w:t>2025年度</w:t>
          </w:r>
          <w:r>
            <w:rPr>
              <w:rFonts w:hint="eastAsia" w:eastAsia="宋体"/>
            </w:rPr>
            <w:t>部门决算情况说明</w:t>
          </w:r>
          <w:r>
            <w:tab/>
          </w:r>
          <w:r>
            <w:fldChar w:fldCharType="begin"/>
          </w:r>
          <w:r>
            <w:instrText xml:space="preserve"> PAGEREF _Toc956911390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_Toc152268299 </w:instrText>
          </w:r>
          <w:r>
            <w:fldChar w:fldCharType="separate"/>
          </w:r>
          <w:r>
            <w:rPr>
              <w:rFonts w:hint="eastAsia" w:asciiTheme="majorHAnsi" w:hAnsiTheme="majorHAnsi" w:eastAsiaTheme="majorEastAsia" w:cstheme="majorBidi"/>
              <w:bCs/>
              <w:kern w:val="2"/>
              <w:szCs w:val="32"/>
              <w:lang w:val="en-US" w:eastAsia="zh-CN" w:bidi="ar-SA"/>
            </w:rPr>
            <w:t>一、收入支出决算总体情况说明</w:t>
          </w:r>
          <w:r>
            <w:tab/>
          </w:r>
          <w:r>
            <w:fldChar w:fldCharType="begin"/>
          </w:r>
          <w:r>
            <w:instrText xml:space="preserve"> PAGEREF _Toc152268299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_Toc47202393 </w:instrText>
          </w:r>
          <w:r>
            <w:fldChar w:fldCharType="separate"/>
          </w:r>
          <w:r>
            <w:rPr>
              <w:rFonts w:hint="eastAsia" w:asciiTheme="majorHAnsi" w:hAnsiTheme="majorHAnsi" w:eastAsiaTheme="majorEastAsia" w:cstheme="majorBidi"/>
              <w:bCs/>
              <w:kern w:val="2"/>
              <w:szCs w:val="32"/>
              <w:lang w:val="en-US" w:eastAsia="zh-CN" w:bidi="ar-SA"/>
            </w:rPr>
            <w:t>二、收入决算情况说明</w:t>
          </w:r>
          <w:r>
            <w:tab/>
          </w:r>
          <w:r>
            <w:fldChar w:fldCharType="begin"/>
          </w:r>
          <w:r>
            <w:instrText xml:space="preserve"> PAGEREF _Toc47202393 \h </w:instrText>
          </w:r>
          <w:r>
            <w:fldChar w:fldCharType="separate"/>
          </w:r>
          <w:r>
            <w:t>3</w:t>
          </w:r>
          <w:r>
            <w:fldChar w:fldCharType="end"/>
          </w:r>
          <w:r>
            <w:fldChar w:fldCharType="end"/>
          </w:r>
        </w:p>
        <w:p>
          <w:pPr>
            <w:pStyle w:val="14"/>
            <w:tabs>
              <w:tab w:val="right" w:leader="dot" w:pos="8306"/>
              <w:tab w:val="clear" w:pos="8296"/>
            </w:tabs>
          </w:pPr>
          <w:r>
            <w:fldChar w:fldCharType="begin"/>
          </w:r>
          <w:r>
            <w:instrText xml:space="preserve"> HYPERLINK \l _Toc1031976681 </w:instrText>
          </w:r>
          <w:r>
            <w:fldChar w:fldCharType="separate"/>
          </w:r>
          <w:r>
            <w:rPr>
              <w:rFonts w:hint="eastAsia" w:asciiTheme="majorHAnsi" w:hAnsiTheme="majorHAnsi" w:eastAsiaTheme="majorEastAsia" w:cstheme="majorBidi"/>
              <w:bCs/>
              <w:kern w:val="2"/>
              <w:szCs w:val="32"/>
              <w:lang w:val="en-US" w:eastAsia="zh-CN" w:bidi="ar-SA"/>
            </w:rPr>
            <w:t>三、支出决算情况说明</w:t>
          </w:r>
          <w:r>
            <w:tab/>
          </w:r>
          <w:r>
            <w:fldChar w:fldCharType="begin"/>
          </w:r>
          <w:r>
            <w:instrText xml:space="preserve"> PAGEREF _Toc1031976681 \h </w:instrText>
          </w:r>
          <w:r>
            <w:fldChar w:fldCharType="separate"/>
          </w:r>
          <w:r>
            <w:t>4</w:t>
          </w:r>
          <w:r>
            <w:fldChar w:fldCharType="end"/>
          </w:r>
          <w:r>
            <w:fldChar w:fldCharType="end"/>
          </w:r>
        </w:p>
        <w:p>
          <w:pPr>
            <w:pStyle w:val="14"/>
            <w:tabs>
              <w:tab w:val="right" w:leader="dot" w:pos="8306"/>
              <w:tab w:val="clear" w:pos="8296"/>
            </w:tabs>
          </w:pPr>
          <w:r>
            <w:fldChar w:fldCharType="begin"/>
          </w:r>
          <w:r>
            <w:instrText xml:space="preserve"> HYPERLINK \l _Toc1995252676 </w:instrText>
          </w:r>
          <w:r>
            <w:fldChar w:fldCharType="separate"/>
          </w:r>
          <w:r>
            <w:rPr>
              <w:rFonts w:hint="eastAsia" w:asciiTheme="majorHAnsi" w:hAnsiTheme="majorHAnsi" w:eastAsiaTheme="majorEastAsia" w:cstheme="majorBidi"/>
              <w:bCs/>
              <w:kern w:val="2"/>
              <w:szCs w:val="32"/>
              <w:lang w:val="en-US" w:eastAsia="zh-CN" w:bidi="ar-SA"/>
            </w:rPr>
            <w:t>四、财政拨款收入支出决算总体情况说明</w:t>
          </w:r>
          <w:r>
            <w:tab/>
          </w:r>
          <w:r>
            <w:fldChar w:fldCharType="begin"/>
          </w:r>
          <w:r>
            <w:instrText xml:space="preserve"> PAGEREF _Toc1995252676 \h </w:instrText>
          </w:r>
          <w:r>
            <w:fldChar w:fldCharType="separate"/>
          </w:r>
          <w:r>
            <w:t>5</w:t>
          </w:r>
          <w:r>
            <w:fldChar w:fldCharType="end"/>
          </w:r>
          <w:r>
            <w:fldChar w:fldCharType="end"/>
          </w:r>
        </w:p>
        <w:p>
          <w:pPr>
            <w:pStyle w:val="14"/>
            <w:tabs>
              <w:tab w:val="right" w:leader="dot" w:pos="8306"/>
              <w:tab w:val="clear" w:pos="8296"/>
            </w:tabs>
          </w:pPr>
          <w:r>
            <w:fldChar w:fldCharType="begin"/>
          </w:r>
          <w:r>
            <w:instrText xml:space="preserve"> HYPERLINK \l _Toc675272668 </w:instrText>
          </w:r>
          <w:r>
            <w:fldChar w:fldCharType="separate"/>
          </w:r>
          <w:r>
            <w:rPr>
              <w:rFonts w:hint="eastAsia" w:asciiTheme="majorHAnsi" w:hAnsiTheme="majorHAnsi" w:eastAsiaTheme="majorEastAsia" w:cstheme="majorBidi"/>
              <w:bCs/>
              <w:kern w:val="2"/>
              <w:szCs w:val="32"/>
              <w:lang w:val="en-US" w:eastAsia="zh-CN" w:bidi="ar-SA"/>
            </w:rPr>
            <w:t>五、一般公共预算财政拨款支出决算情况说明</w:t>
          </w:r>
          <w:r>
            <w:tab/>
          </w:r>
          <w:r>
            <w:fldChar w:fldCharType="begin"/>
          </w:r>
          <w:r>
            <w:instrText xml:space="preserve"> PAGEREF _Toc675272668 \h </w:instrText>
          </w:r>
          <w:r>
            <w:fldChar w:fldCharType="separate"/>
          </w:r>
          <w:r>
            <w:t>5</w:t>
          </w:r>
          <w:r>
            <w:fldChar w:fldCharType="end"/>
          </w:r>
          <w:r>
            <w:fldChar w:fldCharType="end"/>
          </w:r>
        </w:p>
        <w:p>
          <w:pPr>
            <w:pStyle w:val="14"/>
            <w:tabs>
              <w:tab w:val="right" w:leader="dot" w:pos="8306"/>
              <w:tab w:val="clear" w:pos="8296"/>
            </w:tabs>
          </w:pPr>
          <w:r>
            <w:fldChar w:fldCharType="begin"/>
          </w:r>
          <w:r>
            <w:instrText xml:space="preserve"> HYPERLINK \l _Toc1791279332 </w:instrText>
          </w:r>
          <w:r>
            <w:fldChar w:fldCharType="separate"/>
          </w:r>
          <w:r>
            <w:rPr>
              <w:rFonts w:hint="eastAsia" w:asciiTheme="majorHAnsi" w:hAnsiTheme="majorHAnsi" w:eastAsiaTheme="majorEastAsia" w:cstheme="majorBidi"/>
              <w:bCs/>
              <w:kern w:val="2"/>
              <w:szCs w:val="32"/>
              <w:lang w:val="en-US" w:eastAsia="zh-CN" w:bidi="ar-SA"/>
            </w:rPr>
            <w:t>六、一般公共预算财政拨款基本支出决算情况说明</w:t>
          </w:r>
          <w:r>
            <w:tab/>
          </w:r>
          <w:r>
            <w:fldChar w:fldCharType="begin"/>
          </w:r>
          <w:r>
            <w:instrText xml:space="preserve"> PAGEREF _Toc1791279332 \h </w:instrText>
          </w:r>
          <w:r>
            <w:fldChar w:fldCharType="separate"/>
          </w:r>
          <w:r>
            <w:t>7</w:t>
          </w:r>
          <w:r>
            <w:fldChar w:fldCharType="end"/>
          </w:r>
          <w:r>
            <w:fldChar w:fldCharType="end"/>
          </w:r>
        </w:p>
        <w:p>
          <w:pPr>
            <w:pStyle w:val="14"/>
            <w:tabs>
              <w:tab w:val="right" w:leader="dot" w:pos="8306"/>
              <w:tab w:val="clear" w:pos="8296"/>
            </w:tabs>
          </w:pPr>
          <w:r>
            <w:fldChar w:fldCharType="begin"/>
          </w:r>
          <w:r>
            <w:instrText xml:space="preserve"> HYPERLINK \l _Toc1631329144 </w:instrText>
          </w:r>
          <w:r>
            <w:fldChar w:fldCharType="separate"/>
          </w:r>
          <w:r>
            <w:rPr>
              <w:rFonts w:hint="eastAsia" w:asciiTheme="majorHAnsi" w:hAnsiTheme="majorHAnsi" w:eastAsiaTheme="majorEastAsia" w:cstheme="majorBidi"/>
              <w:bCs/>
              <w:kern w:val="2"/>
              <w:szCs w:val="32"/>
              <w:lang w:val="en-US" w:eastAsia="zh-CN" w:bidi="ar-SA"/>
            </w:rPr>
            <w:t>七、财政拨款“三公”经费支出决算情况说明</w:t>
          </w:r>
          <w:r>
            <w:tab/>
          </w:r>
          <w:r>
            <w:fldChar w:fldCharType="begin"/>
          </w:r>
          <w:r>
            <w:instrText xml:space="preserve"> PAGEREF _Toc1631329144 \h </w:instrText>
          </w:r>
          <w:r>
            <w:fldChar w:fldCharType="separate"/>
          </w:r>
          <w:r>
            <w:t>8</w:t>
          </w:r>
          <w:r>
            <w:fldChar w:fldCharType="end"/>
          </w:r>
          <w:r>
            <w:fldChar w:fldCharType="end"/>
          </w:r>
        </w:p>
        <w:p>
          <w:pPr>
            <w:pStyle w:val="14"/>
            <w:tabs>
              <w:tab w:val="right" w:leader="dot" w:pos="8306"/>
              <w:tab w:val="clear" w:pos="8296"/>
            </w:tabs>
          </w:pPr>
          <w:r>
            <w:fldChar w:fldCharType="begin"/>
          </w:r>
          <w:r>
            <w:instrText xml:space="preserve"> HYPERLINK \l _Toc2121846568 </w:instrText>
          </w:r>
          <w:r>
            <w:fldChar w:fldCharType="separate"/>
          </w:r>
          <w:r>
            <w:rPr>
              <w:rFonts w:hint="eastAsia" w:asciiTheme="majorHAnsi" w:hAnsiTheme="majorHAnsi" w:eastAsiaTheme="majorEastAsia" w:cstheme="majorBidi"/>
              <w:bCs/>
              <w:kern w:val="2"/>
              <w:szCs w:val="32"/>
              <w:lang w:val="en-US" w:eastAsia="zh-CN" w:bidi="ar-SA"/>
            </w:rPr>
            <w:t>八、政府性基金预算支出决算情况说明</w:t>
          </w:r>
          <w:r>
            <w:tab/>
          </w:r>
          <w:r>
            <w:fldChar w:fldCharType="begin"/>
          </w:r>
          <w:r>
            <w:instrText xml:space="preserve"> PAGEREF _Toc2121846568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_Toc952530461 </w:instrText>
          </w:r>
          <w:r>
            <w:fldChar w:fldCharType="separate"/>
          </w:r>
          <w:r>
            <w:rPr>
              <w:rFonts w:hint="eastAsia" w:asciiTheme="majorHAnsi" w:hAnsiTheme="majorHAnsi" w:eastAsiaTheme="majorEastAsia" w:cstheme="majorBidi"/>
              <w:bCs/>
              <w:kern w:val="2"/>
              <w:szCs w:val="32"/>
              <w:lang w:val="en-US" w:eastAsia="zh-CN" w:bidi="ar-SA"/>
            </w:rPr>
            <w:t>九、国有资本经营预算支出决算情况说明</w:t>
          </w:r>
          <w:r>
            <w:tab/>
          </w:r>
          <w:r>
            <w:fldChar w:fldCharType="begin"/>
          </w:r>
          <w:r>
            <w:instrText xml:space="preserve"> PAGEREF _Toc952530461 \h </w:instrText>
          </w:r>
          <w:r>
            <w:fldChar w:fldCharType="separate"/>
          </w:r>
          <w:r>
            <w:t>10</w:t>
          </w:r>
          <w:r>
            <w:fldChar w:fldCharType="end"/>
          </w:r>
          <w:r>
            <w:fldChar w:fldCharType="end"/>
          </w:r>
        </w:p>
        <w:p>
          <w:pPr>
            <w:pStyle w:val="14"/>
            <w:tabs>
              <w:tab w:val="right" w:leader="dot" w:pos="8306"/>
              <w:tab w:val="clear" w:pos="8296"/>
            </w:tabs>
          </w:pPr>
          <w:r>
            <w:fldChar w:fldCharType="begin"/>
          </w:r>
          <w:r>
            <w:instrText xml:space="preserve"> HYPERLINK \l _Toc1695904658 </w:instrText>
          </w:r>
          <w:r>
            <w:fldChar w:fldCharType="separate"/>
          </w:r>
          <w:r>
            <w:rPr>
              <w:rFonts w:hint="eastAsia" w:asciiTheme="majorHAnsi" w:hAnsiTheme="majorHAnsi" w:eastAsiaTheme="majorEastAsia" w:cstheme="majorBidi"/>
              <w:bCs/>
              <w:kern w:val="2"/>
              <w:szCs w:val="32"/>
              <w:lang w:val="en-US" w:eastAsia="zh-CN" w:bidi="ar-SA"/>
            </w:rPr>
            <w:t>十、其他重要事项的情况说明</w:t>
          </w:r>
          <w:r>
            <w:tab/>
          </w:r>
          <w:r>
            <w:fldChar w:fldCharType="begin"/>
          </w:r>
          <w:r>
            <w:instrText xml:space="preserve"> PAGEREF _Toc1695904658 \h </w:instrText>
          </w:r>
          <w:r>
            <w:fldChar w:fldCharType="separate"/>
          </w:r>
          <w:r>
            <w:t>10</w:t>
          </w:r>
          <w:r>
            <w:fldChar w:fldCharType="end"/>
          </w:r>
          <w:r>
            <w:fldChar w:fldCharType="end"/>
          </w:r>
        </w:p>
        <w:p>
          <w:pPr>
            <w:pStyle w:val="12"/>
            <w:tabs>
              <w:tab w:val="right" w:leader="dot" w:pos="8306"/>
              <w:tab w:val="clear" w:pos="8296"/>
            </w:tabs>
          </w:pPr>
          <w:r>
            <w:fldChar w:fldCharType="begin"/>
          </w:r>
          <w:r>
            <w:instrText xml:space="preserve"> HYPERLINK \l _Toc750427114 </w:instrText>
          </w:r>
          <w:r>
            <w:fldChar w:fldCharType="separate"/>
          </w:r>
          <w:r>
            <w:rPr>
              <w:rFonts w:hint="eastAsia" w:eastAsia="宋体"/>
            </w:rPr>
            <w:t>第</w:t>
          </w:r>
          <w:r>
            <w:rPr>
              <w:rFonts w:hint="eastAsia" w:eastAsia="宋体"/>
              <w:lang w:eastAsia="zh-CN"/>
            </w:rPr>
            <w:t>三</w:t>
          </w:r>
          <w:r>
            <w:rPr>
              <w:rFonts w:hint="eastAsia" w:eastAsia="宋体"/>
            </w:rPr>
            <w:t>部分</w:t>
          </w:r>
          <w:r>
            <w:rPr>
              <w:rFonts w:hint="eastAsia" w:eastAsia="宋体"/>
              <w:lang w:val="en-US" w:eastAsia="zh-CN"/>
            </w:rPr>
            <w:t xml:space="preserve">  </w:t>
          </w:r>
          <w:r>
            <w:rPr>
              <w:rFonts w:hint="eastAsia" w:eastAsia="宋体"/>
            </w:rPr>
            <w:t>名词解释</w:t>
          </w:r>
          <w:r>
            <w:tab/>
          </w:r>
          <w:r>
            <w:fldChar w:fldCharType="begin"/>
          </w:r>
          <w:r>
            <w:instrText xml:space="preserve"> PAGEREF _Toc750427114 \h </w:instrText>
          </w:r>
          <w:r>
            <w:fldChar w:fldCharType="separate"/>
          </w:r>
          <w:r>
            <w:t>12</w:t>
          </w:r>
          <w:r>
            <w:fldChar w:fldCharType="end"/>
          </w:r>
          <w:r>
            <w:fldChar w:fldCharType="end"/>
          </w:r>
        </w:p>
        <w:p>
          <w:pPr>
            <w:pStyle w:val="12"/>
            <w:tabs>
              <w:tab w:val="right" w:leader="dot" w:pos="8306"/>
              <w:tab w:val="clear" w:pos="8296"/>
            </w:tabs>
          </w:pPr>
          <w:r>
            <w:fldChar w:fldCharType="begin"/>
          </w:r>
          <w:r>
            <w:instrText xml:space="preserve"> HYPERLINK \l _Toc529992921 </w:instrText>
          </w:r>
          <w:r>
            <w:fldChar w:fldCharType="separate"/>
          </w:r>
          <w:r>
            <w:rPr>
              <w:rFonts w:hint="eastAsia" w:eastAsia="宋体"/>
            </w:rPr>
            <w:t>第四部分</w:t>
          </w:r>
          <w:r>
            <w:rPr>
              <w:rFonts w:hint="eastAsia" w:eastAsia="宋体"/>
              <w:lang w:val="en-US" w:eastAsia="zh-CN"/>
            </w:rPr>
            <w:t xml:space="preserve"> </w:t>
          </w:r>
          <w:r>
            <w:rPr>
              <w:rFonts w:hint="eastAsia" w:eastAsia="宋体"/>
            </w:rPr>
            <w:t xml:space="preserve"> 附件</w:t>
          </w:r>
          <w:r>
            <w:tab/>
          </w:r>
          <w:r>
            <w:fldChar w:fldCharType="begin"/>
          </w:r>
          <w:r>
            <w:instrText xml:space="preserve"> PAGEREF _Toc529992921 \h </w:instrText>
          </w:r>
          <w:r>
            <w:fldChar w:fldCharType="separate"/>
          </w:r>
          <w:r>
            <w:t>15</w:t>
          </w:r>
          <w:r>
            <w:fldChar w:fldCharType="end"/>
          </w:r>
          <w:r>
            <w:fldChar w:fldCharType="end"/>
          </w:r>
        </w:p>
        <w:p>
          <w:pPr>
            <w:pStyle w:val="14"/>
            <w:tabs>
              <w:tab w:val="right" w:leader="dot" w:pos="8306"/>
              <w:tab w:val="clear" w:pos="8296"/>
            </w:tabs>
          </w:pPr>
          <w:r>
            <w:fldChar w:fldCharType="begin"/>
          </w:r>
          <w:r>
            <w:instrText xml:space="preserve"> HYPERLINK \l _Toc464964933 </w:instrText>
          </w:r>
          <w:r>
            <w:fldChar w:fldCharType="separate"/>
          </w:r>
          <w:r>
            <w:rPr>
              <w:rFonts w:hint="eastAsia"/>
            </w:rPr>
            <w:t>附件</w:t>
          </w:r>
          <w:r>
            <w:rPr>
              <w:rFonts w:hint="eastAsia"/>
              <w:lang w:val="en-US" w:eastAsia="zh-CN"/>
            </w:rPr>
            <w:t>1</w:t>
          </w:r>
          <w:r>
            <w:tab/>
          </w:r>
          <w:r>
            <w:fldChar w:fldCharType="begin"/>
          </w:r>
          <w:r>
            <w:instrText xml:space="preserve"> PAGEREF _Toc464964933 \h </w:instrText>
          </w:r>
          <w:r>
            <w:fldChar w:fldCharType="separate"/>
          </w:r>
          <w:r>
            <w:t>15</w:t>
          </w:r>
          <w:r>
            <w:fldChar w:fldCharType="end"/>
          </w:r>
          <w:r>
            <w:fldChar w:fldCharType="end"/>
          </w:r>
        </w:p>
        <w:p>
          <w:pPr>
            <w:pStyle w:val="14"/>
            <w:tabs>
              <w:tab w:val="right" w:leader="dot" w:pos="8306"/>
              <w:tab w:val="clear" w:pos="8296"/>
            </w:tabs>
          </w:pPr>
          <w:r>
            <w:fldChar w:fldCharType="begin"/>
          </w:r>
          <w:r>
            <w:instrText xml:space="preserve"> HYPERLINK \l _Toc1259667458 </w:instrText>
          </w:r>
          <w:r>
            <w:fldChar w:fldCharType="separate"/>
          </w:r>
          <w:r>
            <w:rPr>
              <w:rFonts w:hint="eastAsia"/>
              <w:lang w:val="zh-CN"/>
            </w:rPr>
            <w:t>附件</w:t>
          </w:r>
          <w:r>
            <w:rPr>
              <w:rFonts w:hint="eastAsia"/>
              <w:lang w:val="en-US" w:eastAsia="zh-CN"/>
            </w:rPr>
            <w:t>2</w:t>
          </w:r>
          <w:r>
            <w:tab/>
          </w:r>
          <w:r>
            <w:fldChar w:fldCharType="begin"/>
          </w:r>
          <w:r>
            <w:instrText xml:space="preserve"> PAGEREF _Toc1259667458 \h </w:instrText>
          </w:r>
          <w:r>
            <w:fldChar w:fldCharType="separate"/>
          </w:r>
          <w:r>
            <w:t>19</w:t>
          </w:r>
          <w:r>
            <w:fldChar w:fldCharType="end"/>
          </w:r>
          <w:r>
            <w:fldChar w:fldCharType="end"/>
          </w:r>
        </w:p>
        <w:p>
          <w:pPr>
            <w:pStyle w:val="12"/>
            <w:tabs>
              <w:tab w:val="right" w:leader="dot" w:pos="8306"/>
              <w:tab w:val="clear" w:pos="8296"/>
            </w:tabs>
          </w:pPr>
          <w:r>
            <w:fldChar w:fldCharType="begin"/>
          </w:r>
          <w:r>
            <w:instrText xml:space="preserve"> HYPERLINK \l _Toc512787009 </w:instrText>
          </w:r>
          <w:r>
            <w:fldChar w:fldCharType="separate"/>
          </w:r>
          <w:r>
            <w:rPr>
              <w:rFonts w:hint="eastAsia" w:eastAsia="宋体"/>
            </w:rPr>
            <w:t>第五部分 附表</w:t>
          </w:r>
          <w:r>
            <w:tab/>
          </w:r>
          <w:r>
            <w:fldChar w:fldCharType="begin"/>
          </w:r>
          <w:r>
            <w:instrText xml:space="preserve"> PAGEREF _Toc512787009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_Toc575528441 </w:instrText>
          </w:r>
          <w:r>
            <w:fldChar w:fldCharType="separate"/>
          </w:r>
          <w:r>
            <w:rPr>
              <w:rFonts w:hint="eastAsia"/>
            </w:rPr>
            <w:t>一、收入支出决算总表</w:t>
          </w:r>
          <w:r>
            <w:tab/>
          </w:r>
          <w:r>
            <w:fldChar w:fldCharType="begin"/>
          </w:r>
          <w:r>
            <w:instrText xml:space="preserve"> PAGEREF _Toc575528441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_Toc1694140904 </w:instrText>
          </w:r>
          <w:r>
            <w:fldChar w:fldCharType="separate"/>
          </w:r>
          <w:r>
            <w:rPr>
              <w:rFonts w:hint="eastAsia"/>
            </w:rPr>
            <w:t>二、收入决算表</w:t>
          </w:r>
          <w:r>
            <w:tab/>
          </w:r>
          <w:r>
            <w:fldChar w:fldCharType="begin"/>
          </w:r>
          <w:r>
            <w:instrText xml:space="preserve"> PAGEREF _Toc1694140904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_Toc1138570760 </w:instrText>
          </w:r>
          <w:r>
            <w:fldChar w:fldCharType="separate"/>
          </w:r>
          <w:r>
            <w:rPr>
              <w:rFonts w:hint="eastAsia"/>
            </w:rPr>
            <w:t>三、支出决算表</w:t>
          </w:r>
          <w:r>
            <w:tab/>
          </w:r>
          <w:r>
            <w:fldChar w:fldCharType="begin"/>
          </w:r>
          <w:r>
            <w:instrText xml:space="preserve"> PAGEREF _Toc1138570760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_Toc175527533 </w:instrText>
          </w:r>
          <w:r>
            <w:fldChar w:fldCharType="separate"/>
          </w:r>
          <w:r>
            <w:rPr>
              <w:rFonts w:hint="eastAsia"/>
            </w:rPr>
            <w:t>四、财政拨款收入支出决算总表</w:t>
          </w:r>
          <w:r>
            <w:tab/>
          </w:r>
          <w:r>
            <w:fldChar w:fldCharType="begin"/>
          </w:r>
          <w:r>
            <w:instrText xml:space="preserve"> PAGEREF _Toc175527533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_Toc371438317 </w:instrText>
          </w:r>
          <w:r>
            <w:fldChar w:fldCharType="separate"/>
          </w:r>
          <w:r>
            <w:rPr>
              <w:rFonts w:hint="eastAsia"/>
            </w:rPr>
            <w:t>五、财政拨款支出决算明细表</w:t>
          </w:r>
          <w:r>
            <w:tab/>
          </w:r>
          <w:r>
            <w:fldChar w:fldCharType="begin"/>
          </w:r>
          <w:r>
            <w:instrText xml:space="preserve"> PAGEREF _Toc371438317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_Toc1003161535 </w:instrText>
          </w:r>
          <w:r>
            <w:fldChar w:fldCharType="separate"/>
          </w:r>
          <w:r>
            <w:rPr>
              <w:rFonts w:hint="eastAsia"/>
            </w:rPr>
            <w:t>六、一般公共预算财政拨款支出决算表</w:t>
          </w:r>
          <w:r>
            <w:tab/>
          </w:r>
          <w:r>
            <w:fldChar w:fldCharType="begin"/>
          </w:r>
          <w:r>
            <w:instrText xml:space="preserve"> PAGEREF _Toc1003161535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_Toc491777408 </w:instrText>
          </w:r>
          <w:r>
            <w:fldChar w:fldCharType="separate"/>
          </w:r>
          <w:r>
            <w:rPr>
              <w:rFonts w:hint="eastAsia"/>
            </w:rPr>
            <w:t>七、一般公共预算财政拨款支出决算明细表</w:t>
          </w:r>
          <w:r>
            <w:tab/>
          </w:r>
          <w:r>
            <w:fldChar w:fldCharType="begin"/>
          </w:r>
          <w:r>
            <w:instrText xml:space="preserve"> PAGEREF _Toc491777408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_Toc1967331295 </w:instrText>
          </w:r>
          <w:r>
            <w:fldChar w:fldCharType="separate"/>
          </w:r>
          <w:r>
            <w:rPr>
              <w:rFonts w:hint="eastAsia"/>
            </w:rPr>
            <w:t>八、一般公共预算财政拨款基本支出决算表</w:t>
          </w:r>
          <w:r>
            <w:tab/>
          </w:r>
          <w:r>
            <w:fldChar w:fldCharType="begin"/>
          </w:r>
          <w:r>
            <w:instrText xml:space="preserve"> PAGEREF _Toc1967331295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_Toc1960072925 </w:instrText>
          </w:r>
          <w:r>
            <w:fldChar w:fldCharType="separate"/>
          </w:r>
          <w:r>
            <w:rPr>
              <w:rFonts w:hint="eastAsia"/>
            </w:rPr>
            <w:t>九、一般公共预算财政拨款项目支出决算表</w:t>
          </w:r>
          <w:r>
            <w:tab/>
          </w:r>
          <w:r>
            <w:fldChar w:fldCharType="begin"/>
          </w:r>
          <w:r>
            <w:instrText xml:space="preserve"> PAGEREF _Toc1960072925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_Toc644045707 </w:instrText>
          </w:r>
          <w:r>
            <w:fldChar w:fldCharType="separate"/>
          </w:r>
          <w:r>
            <w:rPr>
              <w:rFonts w:hint="eastAsia"/>
            </w:rPr>
            <w:t>十、政府性基金预算财政拨款收入支出决算表</w:t>
          </w:r>
          <w:r>
            <w:tab/>
          </w:r>
          <w:r>
            <w:fldChar w:fldCharType="begin"/>
          </w:r>
          <w:r>
            <w:instrText xml:space="preserve"> PAGEREF _Toc644045707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_Toc96635300 </w:instrText>
          </w:r>
          <w:r>
            <w:fldChar w:fldCharType="separate"/>
          </w:r>
          <w:r>
            <w:rPr>
              <w:rFonts w:hint="eastAsia"/>
            </w:rPr>
            <w:t>十一、国有资本经营预算</w:t>
          </w:r>
          <w:r>
            <w:rPr>
              <w:rFonts w:hint="eastAsia"/>
              <w:lang w:eastAsia="zh-CN"/>
            </w:rPr>
            <w:t>财政拨款收入</w:t>
          </w:r>
          <w:r>
            <w:rPr>
              <w:rFonts w:hint="eastAsia"/>
            </w:rPr>
            <w:t>支出决算表</w:t>
          </w:r>
          <w:r>
            <w:tab/>
          </w:r>
          <w:r>
            <w:fldChar w:fldCharType="begin"/>
          </w:r>
          <w:r>
            <w:instrText xml:space="preserve"> PAGEREF _Toc96635300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_Toc2007275319 </w:instrText>
          </w:r>
          <w:r>
            <w:fldChar w:fldCharType="separate"/>
          </w:r>
          <w:r>
            <w:rPr>
              <w:rFonts w:hint="eastAsia"/>
            </w:rPr>
            <w:t>十二、</w:t>
          </w:r>
          <w:r>
            <w:rPr>
              <w:rFonts w:hint="eastAsia"/>
              <w:lang w:eastAsia="zh-CN"/>
            </w:rPr>
            <w:t>国有资本经营预算财政拨款支出决算表</w:t>
          </w:r>
          <w:r>
            <w:tab/>
          </w:r>
          <w:r>
            <w:fldChar w:fldCharType="begin"/>
          </w:r>
          <w:r>
            <w:instrText xml:space="preserve"> PAGEREF _Toc2007275319 \h </w:instrText>
          </w:r>
          <w:r>
            <w:fldChar w:fldCharType="separate"/>
          </w:r>
          <w:r>
            <w:t>22</w:t>
          </w:r>
          <w:r>
            <w:fldChar w:fldCharType="end"/>
          </w:r>
          <w:r>
            <w:fldChar w:fldCharType="end"/>
          </w:r>
        </w:p>
        <w:p>
          <w:pPr>
            <w:pStyle w:val="14"/>
            <w:tabs>
              <w:tab w:val="right" w:leader="dot" w:pos="8306"/>
              <w:tab w:val="clear" w:pos="8296"/>
            </w:tabs>
          </w:pPr>
          <w:r>
            <w:fldChar w:fldCharType="begin"/>
          </w:r>
          <w:r>
            <w:instrText xml:space="preserve"> HYPERLINK \l _Toc2098771070 </w:instrText>
          </w:r>
          <w:r>
            <w:fldChar w:fldCharType="separate"/>
          </w:r>
          <w:r>
            <w:rPr>
              <w:rFonts w:hint="eastAsia"/>
            </w:rPr>
            <w:t>十三、</w:t>
          </w:r>
          <w:r>
            <w:rPr>
              <w:rFonts w:hint="eastAsia"/>
              <w:lang w:eastAsia="zh-CN"/>
            </w:rPr>
            <w:t>财政拨款“三公”经费支出决算表</w:t>
          </w:r>
          <w:r>
            <w:tab/>
          </w:r>
          <w:r>
            <w:fldChar w:fldCharType="begin"/>
          </w:r>
          <w:r>
            <w:instrText xml:space="preserve"> PAGEREF _Toc2098771070 \h </w:instrText>
          </w:r>
          <w:r>
            <w:fldChar w:fldCharType="separate"/>
          </w:r>
          <w:r>
            <w:t>22</w:t>
          </w:r>
          <w:r>
            <w:fldChar w:fldCharType="end"/>
          </w:r>
          <w:r>
            <w:fldChar w:fldCharType="end"/>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fldChar w:fldCharType="end"/>
          </w:r>
        </w:p>
      </w:sdtContent>
    </w:sdt>
    <w:p>
      <w:pPr>
        <w:rPr>
          <w:rFonts w:hint="eastAsia"/>
        </w:rPr>
      </w:pPr>
      <w:bookmarkStart w:id="6" w:name="_Toc2012074423"/>
      <w:bookmarkStart w:id="7" w:name="_Toc15377196"/>
      <w:bookmarkStart w:id="8" w:name="_Toc15396599"/>
      <w:r>
        <w:rPr>
          <w:rFonts w:hint="eastAsia"/>
        </w:rPr>
        <w:br w:type="page"/>
      </w:r>
    </w:p>
    <w:p>
      <w:pPr>
        <w:rPr>
          <w:rFonts w:hint="eastAsia"/>
        </w:rPr>
        <w:sectPr>
          <w:footerReference r:id="rId7" w:type="default"/>
          <w:pgSz w:w="11906" w:h="16838"/>
          <w:pgMar w:top="1440" w:right="1800" w:bottom="1440" w:left="1800" w:header="851" w:footer="992" w:gutter="0"/>
          <w:pgNumType w:fmt="decimal" w:start="1"/>
          <w:cols w:space="425" w:num="1"/>
          <w:docGrid w:type="lines" w:linePitch="312" w:charSpace="0"/>
        </w:sectPr>
      </w:pPr>
    </w:p>
    <w:p>
      <w:pPr>
        <w:pStyle w:val="2"/>
        <w:bidi w:val="0"/>
        <w:jc w:val="center"/>
        <w:rPr>
          <w:rFonts w:hint="eastAsia" w:eastAsia="宋体"/>
          <w:lang w:val="en-US" w:eastAsia="zh-CN"/>
        </w:rPr>
      </w:pPr>
      <w:r>
        <w:rPr>
          <w:rFonts w:hint="eastAsia" w:eastAsia="宋体"/>
          <w:lang w:val="en-US" w:eastAsia="zh-CN"/>
        </w:rPr>
        <w:t>第一部分  部门概况</w:t>
      </w:r>
      <w:bookmarkEnd w:id="6"/>
      <w:bookmarkEnd w:id="7"/>
      <w:bookmarkEnd w:id="8"/>
    </w:p>
    <w:p>
      <w:pPr>
        <w:widowControl/>
        <w:jc w:val="left"/>
        <w:rPr>
          <w:rFonts w:ascii="Times New Roman" w:hAnsi="Times New Roman" w:eastAsia="黑体"/>
          <w:color w:val="auto"/>
          <w:sz w:val="32"/>
          <w:szCs w:val="32"/>
          <w:highlight w:val="none"/>
        </w:rPr>
      </w:pPr>
    </w:p>
    <w:p>
      <w:pPr>
        <w:pStyle w:val="3"/>
        <w:numPr>
          <w:ilvl w:val="0"/>
          <w:numId w:val="1"/>
        </w:numPr>
        <w:bidi w:val="0"/>
        <w:rPr>
          <w:rFonts w:hint="eastAsia"/>
          <w:lang w:eastAsia="zh-CN"/>
        </w:rPr>
      </w:pPr>
      <w:bookmarkStart w:id="9" w:name="_Toc316249875"/>
      <w:r>
        <w:rPr>
          <w:rFonts w:hint="eastAsia"/>
          <w:lang w:eastAsia="zh-CN"/>
        </w:rPr>
        <w:t>部门职责</w:t>
      </w:r>
      <w:bookmarkEnd w:id="9"/>
    </w:p>
    <w:p>
      <w:pPr>
        <w:pStyle w:val="35"/>
        <w:keepNext w:val="0"/>
        <w:keepLines w:val="0"/>
        <w:pageBreakBefore w:val="0"/>
        <w:widowControl/>
        <w:numPr>
          <w:ilvl w:val="0"/>
          <w:numId w:val="0"/>
        </w:numPr>
        <w:suppressLineNumbers w:val="0"/>
        <w:tabs>
          <w:tab w:val="left" w:pos="0"/>
        </w:tabs>
        <w:suppressAutoHyphens w:val="0"/>
        <w:kinsoku/>
        <w:wordWrap/>
        <w:overflowPunct/>
        <w:topLinePunct w:val="0"/>
        <w:autoSpaceDE/>
        <w:autoSpaceDN/>
        <w:bidi w:val="0"/>
        <w:adjustRightInd/>
        <w:snapToGrid/>
        <w:spacing w:before="0" w:beforeAutospacing="0"/>
        <w:ind w:leftChars="0" w:right="0" w:rightChars="0" w:firstLine="640" w:firstLineChars="200"/>
        <w:jc w:val="left"/>
        <w:textAlignment w:val="auto"/>
        <w:rPr>
          <w:rFonts w:hint="eastAsia" w:ascii="宋体" w:eastAsia="宋体"/>
          <w:kern w:val="0"/>
          <w:sz w:val="24"/>
          <w:szCs w:val="24"/>
          <w:highlight w:val="none"/>
          <w:shd w:val="clear" w:color="auto" w:fill="FFFFFF"/>
        </w:rPr>
      </w:pPr>
      <w:r>
        <w:rPr>
          <w:rFonts w:hint="eastAsia" w:ascii="仿宋_GB2312" w:eastAsia="仿宋_GB2312"/>
          <w:color w:val="333333"/>
          <w:kern w:val="0"/>
          <w:sz w:val="32"/>
          <w:szCs w:val="32"/>
          <w:highlight w:val="none"/>
          <w:shd w:val="clear" w:color="auto" w:fill="FFFFFF"/>
        </w:rPr>
        <w:t>贯彻落实中央和省、</w:t>
      </w:r>
      <w:r>
        <w:rPr>
          <w:rFonts w:hint="eastAsia" w:ascii="仿宋_GB2312" w:eastAsia="仿宋_GB2312"/>
          <w:color w:val="333333"/>
          <w:kern w:val="0"/>
          <w:sz w:val="32"/>
          <w:szCs w:val="32"/>
          <w:highlight w:val="none"/>
          <w:shd w:val="clear" w:color="auto" w:fill="FFFFFF"/>
          <w:lang w:eastAsia="zh-CN"/>
        </w:rPr>
        <w:t>州</w:t>
      </w:r>
      <w:r>
        <w:rPr>
          <w:rFonts w:hint="eastAsia" w:ascii="仿宋_GB2312" w:eastAsia="仿宋_GB2312"/>
          <w:color w:val="333333"/>
          <w:kern w:val="0"/>
          <w:sz w:val="32"/>
          <w:szCs w:val="32"/>
          <w:highlight w:val="none"/>
          <w:shd w:val="clear" w:color="auto" w:fill="FFFFFF"/>
        </w:rPr>
        <w:t>、</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有关史志工作的方针、政策</w:t>
      </w:r>
      <w:r>
        <w:rPr>
          <w:rFonts w:hint="eastAsia" w:ascii="仿宋_GB2312" w:eastAsia="仿宋_GB2312"/>
          <w:color w:val="333333"/>
          <w:kern w:val="0"/>
          <w:sz w:val="32"/>
          <w:szCs w:val="32"/>
          <w:highlight w:val="none"/>
          <w:shd w:val="clear" w:color="auto" w:fill="FFFFFF"/>
          <w:lang w:eastAsia="zh-CN"/>
        </w:rPr>
        <w:t>，</w:t>
      </w:r>
      <w:r>
        <w:rPr>
          <w:rFonts w:hint="eastAsia" w:ascii="仿宋_GB2312" w:eastAsia="仿宋_GB2312"/>
          <w:color w:val="333333"/>
          <w:kern w:val="0"/>
          <w:sz w:val="32"/>
          <w:szCs w:val="32"/>
          <w:highlight w:val="none"/>
          <w:shd w:val="clear" w:color="auto" w:fill="FFFFFF"/>
        </w:rPr>
        <w:t>制定全县史志工作规划并组织实施。负责征集、整理、编纂</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重要史志资料，收集整理重要口述历史资料，重要党史人物回忆录，收集、整理和研究有关地方史志的信息资料。对征集到的各种资料认真考证、核实、整理、分类编目立卷，实行科学管理。研究、编撰地方史志专著，编辑出版重要史志书刊，如：《若尔盖县年鉴</w:t>
      </w:r>
      <w:r>
        <w:rPr>
          <w:rFonts w:hint="eastAsia" w:ascii="仿宋_GB2312" w:eastAsia="仿宋_GB2312"/>
          <w:color w:val="333333"/>
          <w:kern w:val="0"/>
          <w:sz w:val="32"/>
          <w:szCs w:val="32"/>
          <w:highlight w:val="none"/>
          <w:shd w:val="clear" w:color="auto" w:fill="FFFFFF"/>
          <w:lang w:eastAsia="zh-CN"/>
        </w:rPr>
        <w:t>》《</w:t>
      </w:r>
      <w:r>
        <w:rPr>
          <w:rFonts w:hint="eastAsia" w:ascii="仿宋_GB2312" w:eastAsia="仿宋_GB2312"/>
          <w:color w:val="333333"/>
          <w:kern w:val="0"/>
          <w:sz w:val="32"/>
          <w:szCs w:val="32"/>
          <w:highlight w:val="none"/>
          <w:shd w:val="clear" w:color="auto" w:fill="FFFFFF"/>
        </w:rPr>
        <w:t>执政实录》等。对党的地方历史和县委党史重要人物等进行综合研究，总结历史经验，为党的建设和</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决策提供历史借鉴。发挥“资政育人”职能，用史志研究成果开展爱国主义和革命传统宣传教育活动，围绕</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中心工作，进行专题调查研究，为若尔盖经济社会的更快发展服务。审核拟公开发表或出版的本县以地方史志为主要内容的重要文章、书报、刊物及影视作品；</w:t>
      </w:r>
      <w:r>
        <w:rPr>
          <w:rFonts w:hint="eastAsia" w:ascii="仿宋_GB2312" w:eastAsia="仿宋_GB2312"/>
          <w:color w:val="333333"/>
          <w:kern w:val="0"/>
          <w:sz w:val="32"/>
          <w:szCs w:val="32"/>
          <w:shd w:val="clear" w:color="auto" w:fill="FFFFFF"/>
        </w:rPr>
        <w:t>审查本县涉及</w:t>
      </w:r>
      <w:r>
        <w:rPr>
          <w:rFonts w:hint="eastAsia" w:ascii="仿宋_GB2312" w:eastAsia="仿宋_GB2312"/>
          <w:color w:val="333333"/>
          <w:kern w:val="0"/>
          <w:sz w:val="32"/>
          <w:szCs w:val="32"/>
          <w:highlight w:val="none"/>
          <w:shd w:val="clear" w:color="auto" w:fill="FFFFFF"/>
        </w:rPr>
        <w:t>党史、革命史及革命英烈的展览、纪念馆等。完成</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和上级史志部门交办的各项工作</w:t>
      </w:r>
      <w:r>
        <w:rPr>
          <w:rFonts w:hint="eastAsia" w:ascii="仿宋_GB2312" w:eastAsia="仿宋_GB2312"/>
          <w:color w:val="333333"/>
          <w:kern w:val="0"/>
          <w:sz w:val="32"/>
          <w:szCs w:val="32"/>
          <w:highlight w:val="none"/>
          <w:shd w:val="clear" w:color="auto" w:fill="FFFFFF"/>
          <w:lang w:eastAsia="zh-CN"/>
        </w:rPr>
        <w:t>。</w:t>
      </w:r>
    </w:p>
    <w:p>
      <w:pPr>
        <w:numPr>
          <w:ilvl w:val="0"/>
          <w:numId w:val="0"/>
        </w:numPr>
        <w:rPr>
          <w:rFonts w:hint="eastAsia"/>
          <w:lang w:eastAsia="zh-CN"/>
        </w:rPr>
      </w:pPr>
    </w:p>
    <w:p>
      <w:pPr>
        <w:pStyle w:val="3"/>
        <w:rPr>
          <w:rStyle w:val="29"/>
          <w:rFonts w:ascii="Times New Roman" w:hAnsi="Times New Roman"/>
          <w:b w:val="0"/>
          <w:bCs w:val="0"/>
          <w:color w:val="auto"/>
          <w:highlight w:val="none"/>
        </w:rPr>
      </w:pPr>
      <w:bookmarkStart w:id="10" w:name="_Toc15377200"/>
      <w:bookmarkStart w:id="11" w:name="_Toc15396601"/>
      <w:bookmarkStart w:id="12" w:name="_Toc1595892977"/>
      <w:r>
        <w:rPr>
          <w:rFonts w:hint="eastAsia" w:ascii="Times New Roman" w:hAnsi="Times New Roman" w:eastAsia="黑体"/>
          <w:b w:val="0"/>
          <w:color w:val="auto"/>
          <w:highlight w:val="none"/>
        </w:rPr>
        <w:t>二、</w:t>
      </w:r>
      <w:r>
        <w:rPr>
          <w:rFonts w:hint="eastAsia"/>
          <w:lang w:eastAsia="zh-CN"/>
        </w:rPr>
        <w:t>机构设置</w:t>
      </w:r>
      <w:bookmarkEnd w:id="10"/>
      <w:bookmarkEnd w:id="11"/>
      <w:bookmarkEnd w:id="12"/>
    </w:p>
    <w:p>
      <w:pPr>
        <w:pStyle w:val="5"/>
        <w:bidi w:val="0"/>
        <w:ind w:firstLine="600" w:firstLineChars="200"/>
        <w:rPr>
          <w:rFonts w:hint="eastAsia"/>
          <w:highlight w:val="none"/>
          <w:lang w:val="en-US" w:eastAsia="zh-CN"/>
        </w:rPr>
      </w:pPr>
      <w:r>
        <w:rPr>
          <w:rFonts w:hint="eastAsia"/>
          <w:highlight w:val="none"/>
          <w:lang w:val="en-US" w:eastAsia="zh-CN"/>
        </w:rPr>
        <w:t xml:space="preserve">若尔盖县党史研究和地方志编纂中心无二级下属单位，本单位人事核定有行政编制8人，其中公务员（参公人员）7人，工勤1人，是独立核算的机构，是独立编报预算的单位，现在职8人，其中公务员（参公人员）7人，工勤1人。 </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2"/>
        <w:bidi w:val="0"/>
        <w:jc w:val="center"/>
        <w:rPr>
          <w:rFonts w:hint="eastAsia" w:eastAsia="宋体"/>
        </w:rPr>
      </w:pPr>
      <w:bookmarkStart w:id="13" w:name="_Toc15377204"/>
      <w:bookmarkStart w:id="14" w:name="_Toc956911390"/>
      <w:bookmarkStart w:id="15" w:name="_Toc15396602"/>
      <w:r>
        <w:rPr>
          <w:rFonts w:hint="eastAsia" w:eastAsia="宋体"/>
        </w:rPr>
        <w:t>第二部分</w:t>
      </w:r>
      <w:r>
        <w:rPr>
          <w:rFonts w:hint="eastAsia" w:eastAsia="宋体"/>
          <w:lang w:val="en-US" w:eastAsia="zh-CN"/>
        </w:rPr>
        <w:t xml:space="preserve"> </w:t>
      </w:r>
      <w:r>
        <w:rPr>
          <w:rFonts w:hint="eastAsia" w:eastAsia="宋体"/>
        </w:rPr>
        <w:t xml:space="preserve"> </w:t>
      </w:r>
      <w:r>
        <w:rPr>
          <w:rFonts w:hint="eastAsia" w:eastAsia="宋体"/>
          <w:lang w:val="en-US" w:eastAsia="zh-CN"/>
        </w:rPr>
        <w:t>2025年度</w:t>
      </w:r>
      <w:r>
        <w:rPr>
          <w:rFonts w:hint="eastAsia" w:eastAsia="宋体"/>
        </w:rPr>
        <w:t>部门决算情况说明</w:t>
      </w:r>
      <w:bookmarkEnd w:id="13"/>
      <w:bookmarkEnd w:id="14"/>
      <w:bookmarkEnd w:id="15"/>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heme="majorHAnsi" w:hAnsiTheme="majorHAnsi" w:eastAsiaTheme="majorEastAsia" w:cstheme="majorBidi"/>
          <w:b/>
          <w:bCs/>
          <w:kern w:val="2"/>
          <w:sz w:val="32"/>
          <w:szCs w:val="32"/>
          <w:lang w:val="en-US" w:eastAsia="zh-CN" w:bidi="ar-SA"/>
        </w:rPr>
      </w:pPr>
      <w:bookmarkStart w:id="16" w:name="_Toc152268299"/>
      <w:bookmarkStart w:id="17" w:name="_Toc15396603"/>
      <w:bookmarkStart w:id="18" w:name="_Toc15377205"/>
      <w:r>
        <w:rPr>
          <w:rFonts w:hint="eastAsia" w:asciiTheme="majorHAnsi" w:hAnsiTheme="majorHAnsi" w:eastAsiaTheme="majorEastAsia" w:cstheme="majorBidi"/>
          <w:b/>
          <w:bCs/>
          <w:kern w:val="2"/>
          <w:sz w:val="32"/>
          <w:szCs w:val="32"/>
          <w:lang w:val="en-US" w:eastAsia="zh-CN" w:bidi="ar-SA"/>
        </w:rPr>
        <w:t>一、收入支出决算总体情况说明</w:t>
      </w:r>
      <w:bookmarkEnd w:id="16"/>
      <w:bookmarkEnd w:id="17"/>
      <w:bookmarkEnd w:id="18"/>
    </w:p>
    <w:p>
      <w:pPr>
        <w:spacing w:line="240" w:lineRule="auto"/>
        <w:ind w:firstLine="640" w:firstLineChars="200"/>
        <w:rPr>
          <w:rFonts w:hint="eastAsia" w:ascii="仿宋" w:eastAsia="仿宋"/>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ascii="仿宋" w:eastAsia="仿宋"/>
          <w:sz w:val="32"/>
          <w:szCs w:val="32"/>
          <w:highlight w:val="none"/>
          <w:lang w:eastAsia="zh-CN"/>
        </w:rPr>
        <w:t>增加</w:t>
      </w:r>
      <w:r>
        <w:rPr>
          <w:rFonts w:hint="eastAsia" w:ascii="仿宋" w:eastAsia="仿宋"/>
          <w:sz w:val="32"/>
          <w:szCs w:val="32"/>
          <w:highlight w:val="none"/>
          <w:lang w:val="en-US" w:eastAsia="zh-CN"/>
        </w:rPr>
        <w:t>159.89</w:t>
      </w:r>
      <w:r>
        <w:rPr>
          <w:rFonts w:hint="eastAsia" w:ascii="仿宋" w:eastAsia="仿宋"/>
          <w:sz w:val="32"/>
          <w:szCs w:val="32"/>
          <w:highlight w:val="none"/>
        </w:rPr>
        <w:t>万元，</w:t>
      </w:r>
      <w:r>
        <w:rPr>
          <w:rFonts w:hint="eastAsia" w:ascii="仿宋" w:eastAsia="仿宋"/>
          <w:sz w:val="32"/>
          <w:szCs w:val="32"/>
          <w:highlight w:val="none"/>
          <w:lang w:eastAsia="zh-CN"/>
        </w:rPr>
        <w:t>上涨</w:t>
      </w:r>
      <w:r>
        <w:rPr>
          <w:rFonts w:hint="eastAsia" w:ascii="仿宋" w:eastAsia="仿宋"/>
          <w:sz w:val="32"/>
          <w:szCs w:val="32"/>
          <w:highlight w:val="none"/>
          <w:lang w:val="en-US" w:eastAsia="zh-CN"/>
        </w:rPr>
        <w:t>32.54</w:t>
      </w:r>
      <w:r>
        <w:rPr>
          <w:rFonts w:hint="eastAsia" w:ascii="仿宋" w:eastAsia="仿宋"/>
          <w:sz w:val="32"/>
          <w:szCs w:val="32"/>
          <w:highlight w:val="none"/>
        </w:rPr>
        <w:t>%。主要变动原因是</w:t>
      </w:r>
      <w:r>
        <w:rPr>
          <w:rFonts w:hint="eastAsia" w:ascii="仿宋" w:eastAsia="仿宋"/>
          <w:sz w:val="32"/>
          <w:szCs w:val="32"/>
          <w:highlight w:val="none"/>
          <w:lang w:eastAsia="zh-CN"/>
        </w:rPr>
        <w:t>项目经费增加</w:t>
      </w:r>
      <w:r>
        <w:rPr>
          <w:rFonts w:hint="eastAsia" w:ascii="仿宋" w:eastAsia="仿宋"/>
          <w:sz w:val="32"/>
          <w:szCs w:val="32"/>
          <w:highlight w:val="none"/>
        </w:rPr>
        <w:t>。</w:t>
      </w:r>
    </w:p>
    <w:p>
      <w:pPr>
        <w:spacing w:line="240" w:lineRule="auto"/>
        <w:ind w:firstLine="640" w:firstLineChars="200"/>
        <w:rPr>
          <w:rFonts w:hint="eastAsia" w:ascii="仿宋" w:eastAsia="仿宋"/>
          <w:sz w:val="32"/>
          <w:szCs w:val="32"/>
          <w:highlight w:val="none"/>
          <w:lang w:eastAsia="zh-CN"/>
        </w:rPr>
      </w:pPr>
      <w:r>
        <w:rPr>
          <w:rFonts w:hint="eastAsia" w:ascii="仿宋" w:eastAsia="仿宋"/>
          <w:sz w:val="32"/>
          <w:szCs w:val="32"/>
          <w:highlight w:val="none"/>
          <w:lang w:eastAsia="zh-CN"/>
        </w:rPr>
        <w:drawing>
          <wp:inline distT="0" distB="0" distL="114300" distR="114300">
            <wp:extent cx="4838700" cy="2762250"/>
            <wp:effectExtent l="0" t="0" r="0" b="0"/>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10"/>
                    <a:stretch>
                      <a:fillRect/>
                    </a:stretch>
                  </pic:blipFill>
                  <pic:spPr>
                    <a:xfrm>
                      <a:off x="0" y="0"/>
                      <a:ext cx="4838700" cy="2762250"/>
                    </a:xfrm>
                    <a:prstGeom prst="rect">
                      <a:avLst/>
                    </a:prstGeom>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9" w:name="_Toc276787653"/>
      <w:bookmarkStart w:id="20" w:name="_Toc536811224"/>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9"/>
      <w:bookmarkEnd w:id="20"/>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heme="majorHAnsi" w:hAnsiTheme="majorHAnsi" w:eastAsiaTheme="majorEastAsia" w:cstheme="majorBidi"/>
          <w:b/>
          <w:bCs/>
          <w:kern w:val="2"/>
          <w:sz w:val="32"/>
          <w:szCs w:val="32"/>
          <w:lang w:val="en-US" w:eastAsia="zh-CN" w:bidi="ar-SA"/>
        </w:rPr>
      </w:pPr>
      <w:bookmarkStart w:id="21" w:name="_Toc15396604"/>
      <w:bookmarkStart w:id="22" w:name="_Toc47202393"/>
      <w:bookmarkStart w:id="23" w:name="_Toc15377206"/>
      <w:r>
        <w:rPr>
          <w:rFonts w:hint="eastAsia" w:asciiTheme="majorHAnsi" w:hAnsiTheme="majorHAnsi" w:eastAsiaTheme="majorEastAsia" w:cstheme="majorBidi"/>
          <w:b/>
          <w:bCs/>
          <w:kern w:val="2"/>
          <w:sz w:val="32"/>
          <w:szCs w:val="32"/>
          <w:lang w:val="en-US" w:eastAsia="zh-CN" w:bidi="ar-SA"/>
        </w:rPr>
        <w:t>二、收入决算情况说明</w:t>
      </w:r>
      <w:bookmarkEnd w:id="21"/>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4" w:name="_Toc1454725362"/>
      <w:bookmarkStart w:id="25" w:name="_Toc33703691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219.74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219.74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26" w:name="_Toc10059936"/>
      <w:bookmarkStart w:id="27" w:name="_Toc898452282"/>
      <w:r>
        <w:rPr>
          <w:rFonts w:hint="eastAsia" w:ascii="Times New Roman" w:hAnsi="Times New Roman" w:eastAsia="仿宋_GB2312" w:cs="仿宋_GB2312"/>
          <w:b/>
          <w:bCs/>
          <w:color w:val="auto"/>
          <w:sz w:val="32"/>
          <w:szCs w:val="32"/>
          <w:highlight w:val="none"/>
          <w:lang w:eastAsia="zh-CN"/>
        </w:rPr>
        <w:drawing>
          <wp:inline distT="0" distB="0" distL="114300" distR="114300">
            <wp:extent cx="4838700" cy="2762250"/>
            <wp:effectExtent l="0" t="0" r="0" b="0"/>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11"/>
                    <a:stretch>
                      <a:fillRect/>
                    </a:stretch>
                  </pic:blipFill>
                  <pic:spPr>
                    <a:xfrm>
                      <a:off x="0" y="0"/>
                      <a:ext cx="4838700" cy="2762250"/>
                    </a:xfrm>
                    <a:prstGeom prst="rect">
                      <a:avLst/>
                    </a:prstGeom>
                  </pic:spPr>
                </pic:pic>
              </a:graphicData>
            </a:graphic>
          </wp:inline>
        </w:drawing>
      </w:r>
      <w:bookmarkEnd w:id="26"/>
      <w:bookmarkEnd w:id="2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8" w:name="_Toc1517179751"/>
      <w:bookmarkStart w:id="29" w:name="_Toc1190632656"/>
      <w:r>
        <w:rPr>
          <w:rFonts w:hint="eastAsia" w:ascii="Times New Roman" w:hAnsi="Times New Roman" w:eastAsia="仿宋_GB2312" w:cs="仿宋_GB2312"/>
          <w:color w:val="auto"/>
          <w:sz w:val="32"/>
          <w:szCs w:val="32"/>
          <w:highlight w:val="none"/>
          <w:lang w:eastAsia="zh-CN"/>
        </w:rPr>
        <w:t>（图2：收入决算结构图）（饼状图）</w:t>
      </w:r>
      <w:bookmarkEnd w:id="28"/>
      <w:bookmarkEnd w:id="29"/>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heme="majorHAnsi" w:hAnsiTheme="majorHAnsi" w:eastAsiaTheme="majorEastAsia" w:cstheme="majorBidi"/>
          <w:b/>
          <w:bCs/>
          <w:kern w:val="2"/>
          <w:sz w:val="32"/>
          <w:szCs w:val="32"/>
          <w:lang w:val="en-US" w:eastAsia="zh-CN" w:bidi="ar-SA"/>
        </w:rPr>
      </w:pPr>
      <w:bookmarkStart w:id="30" w:name="_Toc1031976681"/>
      <w:bookmarkStart w:id="31" w:name="_Toc15377207"/>
      <w:bookmarkStart w:id="32" w:name="_Toc15396605"/>
      <w:r>
        <w:rPr>
          <w:rFonts w:hint="eastAsia" w:asciiTheme="majorHAnsi" w:hAnsiTheme="majorHAnsi" w:eastAsiaTheme="majorEastAsia" w:cstheme="majorBidi"/>
          <w:b/>
          <w:bCs/>
          <w:kern w:val="2"/>
          <w:sz w:val="32"/>
          <w:szCs w:val="32"/>
          <w:lang w:val="en-US" w:eastAsia="zh-CN" w:bidi="ar-SA"/>
        </w:rPr>
        <w:t>三、支出决算情况说明</w:t>
      </w:r>
      <w:bookmarkEnd w:id="30"/>
      <w:bookmarkEnd w:id="31"/>
      <w:bookmarkEnd w:id="32"/>
    </w:p>
    <w:p>
      <w:pPr>
        <w:pStyle w:val="27"/>
        <w:keepNext w:val="0"/>
        <w:keepLines/>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3" w:name="_Toc1167776313"/>
      <w:bookmarkStart w:id="34" w:name="_Toc2117396815"/>
      <w:r>
        <w:rPr>
          <w:rFonts w:hint="eastAsia" w:ascii="Times New Roman" w:hAnsi="Times New Roman" w:eastAsia="仿宋_GB2312" w:cs="仿宋_GB2312"/>
          <w:b/>
          <w:bCs/>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300355</wp:posOffset>
            </wp:positionH>
            <wp:positionV relativeFrom="paragraph">
              <wp:posOffset>1941830</wp:posOffset>
            </wp:positionV>
            <wp:extent cx="4669155" cy="2442210"/>
            <wp:effectExtent l="4445" t="4445" r="12700" b="10795"/>
            <wp:wrapSquare wrapText="bothSides"/>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213.8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43.52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277.45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56.47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33"/>
      <w:bookmarkEnd w:id="34"/>
    </w:p>
    <w:p>
      <w:pPr>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rPr>
      </w:pPr>
      <w:bookmarkStart w:id="35" w:name="_Toc1733575178"/>
      <w:bookmarkStart w:id="36" w:name="_Toc775846716"/>
      <w:bookmarkStart w:id="37" w:name="_Toc15396606"/>
      <w:bookmarkStart w:id="38" w:name="_Toc15377208"/>
      <w:r>
        <w:rPr>
          <w:rFonts w:hint="eastAsia" w:ascii="Times New Roman" w:hAnsi="Times New Roman" w:eastAsia="仿宋_GB2312" w:cs="仿宋_GB2312"/>
          <w:color w:val="auto"/>
          <w:sz w:val="32"/>
          <w:szCs w:val="32"/>
          <w:highlight w:val="none"/>
          <w:lang w:eastAsia="zh-CN"/>
        </w:rPr>
        <w:t>（图3：支出决算结构图）（饼状图）</w:t>
      </w:r>
      <w:bookmarkEnd w:id="35"/>
      <w:bookmarkEnd w:id="36"/>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heme="majorHAnsi" w:hAnsiTheme="majorHAnsi" w:eastAsiaTheme="majorEastAsia" w:cstheme="majorBidi"/>
          <w:b/>
          <w:bCs/>
          <w:kern w:val="2"/>
          <w:sz w:val="32"/>
          <w:szCs w:val="32"/>
          <w:lang w:val="en-US" w:eastAsia="zh-CN" w:bidi="ar-SA"/>
        </w:rPr>
      </w:pPr>
      <w:bookmarkStart w:id="39" w:name="_Toc1995252676"/>
      <w:r>
        <w:rPr>
          <w:rFonts w:hint="eastAsia" w:asciiTheme="majorHAnsi" w:hAnsiTheme="majorHAnsi" w:eastAsiaTheme="majorEastAsia" w:cstheme="majorBidi"/>
          <w:b/>
          <w:bCs/>
          <w:kern w:val="2"/>
          <w:sz w:val="32"/>
          <w:szCs w:val="32"/>
          <w:lang w:val="en-US" w:eastAsia="zh-CN" w:bidi="ar-SA"/>
        </w:rPr>
        <w:t>四、财政拨款收入支出决算总体情况说明</w:t>
      </w:r>
      <w:bookmarkEnd w:id="37"/>
      <w:bookmarkEnd w:id="38"/>
      <w:bookmarkEnd w:id="39"/>
    </w:p>
    <w:p>
      <w:pPr>
        <w:spacing w:line="600" w:lineRule="exact"/>
        <w:ind w:firstLine="640"/>
        <w:rPr>
          <w:rFonts w:eastAsia="仿宋"/>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仿宋" w:eastAsia="仿宋"/>
          <w:sz w:val="32"/>
          <w:szCs w:val="32"/>
          <w:highlight w:val="none"/>
          <w:lang w:eastAsia="zh-CN"/>
        </w:rPr>
        <w:t>增加</w:t>
      </w:r>
      <w:r>
        <w:rPr>
          <w:rFonts w:hint="eastAsia" w:ascii="仿宋" w:eastAsia="仿宋"/>
          <w:sz w:val="32"/>
          <w:szCs w:val="32"/>
          <w:highlight w:val="none"/>
          <w:lang w:val="en-US" w:eastAsia="zh-CN"/>
        </w:rPr>
        <w:t>159.89</w:t>
      </w:r>
      <w:r>
        <w:rPr>
          <w:rFonts w:hint="eastAsia" w:ascii="仿宋" w:eastAsia="仿宋"/>
          <w:sz w:val="32"/>
          <w:szCs w:val="32"/>
          <w:highlight w:val="none"/>
        </w:rPr>
        <w:t>万元，</w:t>
      </w:r>
      <w:r>
        <w:rPr>
          <w:rFonts w:hint="eastAsia" w:ascii="仿宋" w:eastAsia="仿宋"/>
          <w:sz w:val="32"/>
          <w:szCs w:val="32"/>
          <w:highlight w:val="none"/>
          <w:lang w:eastAsia="zh-CN"/>
        </w:rPr>
        <w:t>上涨</w:t>
      </w:r>
      <w:r>
        <w:rPr>
          <w:rFonts w:hint="eastAsia" w:ascii="仿宋" w:eastAsia="仿宋"/>
          <w:sz w:val="32"/>
          <w:szCs w:val="32"/>
          <w:highlight w:val="none"/>
          <w:lang w:val="en-US" w:eastAsia="zh-CN"/>
        </w:rPr>
        <w:t>32.54</w:t>
      </w:r>
      <w:r>
        <w:rPr>
          <w:rFonts w:hint="eastAsia" w:ascii="仿宋" w:eastAsia="仿宋"/>
          <w:sz w:val="32"/>
          <w:szCs w:val="32"/>
          <w:highlight w:val="none"/>
        </w:rPr>
        <w:t>%。主要变动原因是</w:t>
      </w:r>
      <w:r>
        <w:rPr>
          <w:rFonts w:hint="eastAsia" w:ascii="仿宋" w:eastAsia="仿宋"/>
          <w:sz w:val="32"/>
          <w:szCs w:val="32"/>
          <w:highlight w:val="none"/>
          <w:lang w:eastAsia="zh-CN"/>
        </w:rPr>
        <w:t>项目经费增加。</w:t>
      </w:r>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700" cy="2762250"/>
            <wp:effectExtent l="0" t="0" r="0" b="0"/>
            <wp:docPr id="7" name="图片 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3"/>
                    <pic:cNvPicPr>
                      <a:picLocks noChangeAspect="1"/>
                    </pic:cNvPicPr>
                  </pic:nvPicPr>
                  <pic:blipFill>
                    <a:blip r:embed="rId13"/>
                    <a:stretch>
                      <a:fillRect/>
                    </a:stretch>
                  </pic:blipFill>
                  <pic:spPr>
                    <a:xfrm>
                      <a:off x="0" y="0"/>
                      <a:ext cx="4838700" cy="2762250"/>
                    </a:xfrm>
                    <a:prstGeom prst="rect">
                      <a:avLst/>
                    </a:prstGeom>
                  </pic:spPr>
                </pic:pic>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Fonts w:hint="eastAsia" w:asciiTheme="majorHAnsi" w:hAnsiTheme="majorHAnsi" w:eastAsiaTheme="majorEastAsia" w:cstheme="majorBidi"/>
          <w:b/>
          <w:bCs/>
          <w:kern w:val="2"/>
          <w:sz w:val="32"/>
          <w:szCs w:val="32"/>
          <w:lang w:val="en-US" w:eastAsia="zh-CN" w:bidi="ar-SA"/>
        </w:rPr>
      </w:pPr>
      <w:bookmarkStart w:id="40" w:name="_Toc15377209"/>
      <w:bookmarkStart w:id="41" w:name="_Toc15396607"/>
      <w:bookmarkStart w:id="42" w:name="_Toc675272668"/>
      <w:r>
        <w:rPr>
          <w:rFonts w:hint="eastAsia" w:asciiTheme="majorHAnsi" w:hAnsiTheme="majorHAnsi" w:eastAsiaTheme="majorEastAsia" w:cstheme="majorBidi"/>
          <w:b/>
          <w:bCs/>
          <w:kern w:val="2"/>
          <w:sz w:val="32"/>
          <w:szCs w:val="32"/>
          <w:lang w:val="en-US" w:eastAsia="zh-CN" w:bidi="ar-SA"/>
        </w:rPr>
        <w:t>五、一般公共预算财政拨款支出决算情况说明</w:t>
      </w:r>
      <w:bookmarkEnd w:id="40"/>
      <w:bookmarkEnd w:id="41"/>
      <w:bookmarkEnd w:id="42"/>
    </w:p>
    <w:p>
      <w:pPr>
        <w:pStyle w:val="4"/>
        <w:bidi w:val="0"/>
        <w:rPr>
          <w:rFonts w:hint="eastAsia" w:ascii="Times New Roman" w:hAnsi="Times New Roman" w:eastAsia="楷体_GB2312" w:cs="楷体_GB2312"/>
          <w:b/>
          <w:color w:val="auto"/>
          <w:szCs w:val="32"/>
          <w:highlight w:val="none"/>
        </w:rPr>
      </w:pPr>
      <w:bookmarkStart w:id="43" w:name="_Toc15377210"/>
      <w:r>
        <w:rPr>
          <w:rFonts w:hint="eastAsia"/>
        </w:rPr>
        <w:t>（一）一般公共预算财政拨款支出决算总体情况</w:t>
      </w:r>
      <w:bookmarkEnd w:id="43"/>
    </w:p>
    <w:p>
      <w:pPr>
        <w:spacing w:line="600" w:lineRule="exact"/>
        <w:ind w:firstLine="640"/>
        <w:rPr>
          <w:rFonts w:hint="eastAsia" w:ascii="仿宋" w:eastAsia="仿宋"/>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w:t>
      </w:r>
      <w:r>
        <w:rPr>
          <w:rFonts w:hint="eastAsia" w:ascii="仿宋" w:eastAsia="仿宋"/>
          <w:sz w:val="32"/>
          <w:szCs w:val="32"/>
          <w:highlight w:val="none"/>
          <w:lang w:eastAsia="zh-CN"/>
        </w:rPr>
        <w:t>加</w:t>
      </w:r>
      <w:r>
        <w:rPr>
          <w:rFonts w:hint="eastAsia" w:ascii="仿宋" w:eastAsia="仿宋"/>
          <w:sz w:val="32"/>
          <w:szCs w:val="32"/>
          <w:highlight w:val="none"/>
          <w:lang w:val="en-US" w:eastAsia="zh-CN"/>
        </w:rPr>
        <w:t>159.89</w:t>
      </w:r>
      <w:r>
        <w:rPr>
          <w:rFonts w:hint="eastAsia" w:ascii="仿宋" w:eastAsia="仿宋"/>
          <w:sz w:val="32"/>
          <w:szCs w:val="32"/>
          <w:highlight w:val="none"/>
        </w:rPr>
        <w:t>万元，</w:t>
      </w:r>
      <w:r>
        <w:rPr>
          <w:rFonts w:hint="eastAsia" w:ascii="仿宋" w:eastAsia="仿宋"/>
          <w:sz w:val="32"/>
          <w:szCs w:val="32"/>
          <w:highlight w:val="none"/>
          <w:lang w:eastAsia="zh-CN"/>
        </w:rPr>
        <w:t>上涨</w:t>
      </w:r>
      <w:r>
        <w:rPr>
          <w:rFonts w:hint="eastAsia" w:ascii="仿宋" w:eastAsia="仿宋"/>
          <w:sz w:val="32"/>
          <w:szCs w:val="32"/>
          <w:highlight w:val="none"/>
          <w:lang w:val="en-US" w:eastAsia="zh-CN"/>
        </w:rPr>
        <w:t>32.54</w:t>
      </w:r>
      <w:r>
        <w:rPr>
          <w:rFonts w:hint="eastAsia" w:ascii="仿宋" w:eastAsia="仿宋"/>
          <w:sz w:val="32"/>
          <w:szCs w:val="32"/>
          <w:highlight w:val="none"/>
        </w:rPr>
        <w:t>%。主要变动原因是</w:t>
      </w:r>
      <w:r>
        <w:rPr>
          <w:rFonts w:hint="eastAsia" w:ascii="仿宋" w:eastAsia="仿宋"/>
          <w:sz w:val="32"/>
          <w:szCs w:val="32"/>
          <w:highlight w:val="none"/>
          <w:lang w:eastAsia="zh-CN"/>
        </w:rPr>
        <w:t>项目经费增加。</w:t>
      </w:r>
    </w:p>
    <w:p>
      <w:pPr>
        <w:spacing w:line="240" w:lineRule="auto"/>
        <w:ind w:firstLine="640"/>
        <w:rPr>
          <w:rFonts w:hint="eastAsia" w:ascii="仿宋" w:eastAsia="仿宋"/>
          <w:sz w:val="32"/>
          <w:szCs w:val="32"/>
          <w:highlight w:val="none"/>
          <w:lang w:eastAsia="zh-CN"/>
        </w:rPr>
      </w:pPr>
      <w:r>
        <w:rPr>
          <w:rFonts w:hint="eastAsia" w:ascii="仿宋" w:eastAsia="仿宋"/>
          <w:sz w:val="32"/>
          <w:szCs w:val="32"/>
          <w:highlight w:val="none"/>
          <w:lang w:eastAsia="zh-CN"/>
        </w:rPr>
        <w:drawing>
          <wp:inline distT="0" distB="0" distL="114300" distR="114300">
            <wp:extent cx="4838700" cy="2762250"/>
            <wp:effectExtent l="0" t="0" r="0" b="0"/>
            <wp:docPr id="8" name="图片 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4"/>
                    <pic:cNvPicPr>
                      <a:picLocks noChangeAspect="1"/>
                    </pic:cNvPicPr>
                  </pic:nvPicPr>
                  <pic:blipFill>
                    <a:blip r:embed="rId14"/>
                    <a:stretch>
                      <a:fillRect/>
                    </a:stretch>
                  </pic:blipFill>
                  <pic:spPr>
                    <a:xfrm>
                      <a:off x="0" y="0"/>
                      <a:ext cx="4838700" cy="2762250"/>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bidi w:val="0"/>
        <w:rPr>
          <w:rFonts w:hint="eastAsia" w:eastAsia="宋体"/>
        </w:rPr>
      </w:pPr>
      <w:bookmarkStart w:id="44" w:name="_Toc15377211"/>
      <w:r>
        <w:rPr>
          <w:rFonts w:hint="eastAsia" w:eastAsia="宋体"/>
        </w:rPr>
        <w:t>（二）一般公共预算财政拨款支出决算结构情况</w:t>
      </w:r>
      <w:bookmarkEnd w:id="44"/>
    </w:p>
    <w:p>
      <w:pPr>
        <w:spacing w:line="600" w:lineRule="exact"/>
        <w:ind w:firstLine="640"/>
        <w:rPr>
          <w:rFonts w:hint="eastAsia" w:ascii="仿宋" w:eastAsia="仿宋"/>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仿宋" w:eastAsia="仿宋"/>
          <w:b/>
          <w:sz w:val="32"/>
          <w:szCs w:val="32"/>
          <w:highlight w:val="none"/>
        </w:rPr>
        <w:t>一般公共服务</w:t>
      </w:r>
      <w:r>
        <w:rPr>
          <w:rFonts w:hint="eastAsia" w:ascii="仿宋" w:eastAsia="仿宋"/>
          <w:b/>
          <w:bCs/>
          <w:sz w:val="32"/>
          <w:szCs w:val="32"/>
          <w:highlight w:val="none"/>
        </w:rPr>
        <w:t>支出</w:t>
      </w:r>
      <w:r>
        <w:rPr>
          <w:rFonts w:hint="eastAsia" w:ascii="仿宋" w:eastAsia="仿宋"/>
          <w:sz w:val="32"/>
          <w:szCs w:val="32"/>
          <w:highlight w:val="none"/>
          <w:lang w:val="en-US" w:eastAsia="zh-CN"/>
        </w:rPr>
        <w:t>435.15</w:t>
      </w:r>
      <w:r>
        <w:rPr>
          <w:rFonts w:hint="eastAsia" w:ascii="仿宋" w:eastAsia="仿宋"/>
          <w:sz w:val="32"/>
          <w:szCs w:val="32"/>
          <w:highlight w:val="none"/>
        </w:rPr>
        <w:t>万元，占</w:t>
      </w:r>
      <w:r>
        <w:rPr>
          <w:rFonts w:hint="eastAsia" w:ascii="仿宋" w:eastAsia="仿宋"/>
          <w:sz w:val="32"/>
          <w:szCs w:val="32"/>
          <w:highlight w:val="none"/>
          <w:lang w:val="en-US" w:eastAsia="zh-CN"/>
        </w:rPr>
        <w:t>88.58</w:t>
      </w:r>
      <w:r>
        <w:rPr>
          <w:rFonts w:hint="eastAsia" w:ascii="仿宋" w:eastAsia="仿宋"/>
          <w:sz w:val="32"/>
          <w:szCs w:val="32"/>
          <w:highlight w:val="none"/>
        </w:rPr>
        <w:t>%；</w:t>
      </w:r>
      <w:r>
        <w:rPr>
          <w:rFonts w:hint="eastAsia" w:ascii="仿宋" w:eastAsia="仿宋"/>
          <w:b/>
          <w:sz w:val="32"/>
          <w:szCs w:val="32"/>
          <w:highlight w:val="none"/>
        </w:rPr>
        <w:t>教育支出</w:t>
      </w:r>
      <w:r>
        <w:rPr>
          <w:rFonts w:hint="eastAsia" w:ascii="仿宋" w:eastAsia="仿宋"/>
          <w:sz w:val="32"/>
          <w:szCs w:val="32"/>
          <w:highlight w:val="none"/>
          <w:lang w:val="en-US" w:eastAsia="zh-CN"/>
        </w:rPr>
        <w:t>0</w:t>
      </w:r>
      <w:r>
        <w:rPr>
          <w:rFonts w:hint="eastAsia" w:ascii="仿宋" w:eastAsia="仿宋"/>
          <w:sz w:val="32"/>
          <w:szCs w:val="32"/>
          <w:highlight w:val="none"/>
        </w:rPr>
        <w:t>万元，占</w:t>
      </w:r>
      <w:r>
        <w:rPr>
          <w:rFonts w:hint="eastAsia" w:ascii="仿宋" w:eastAsia="仿宋"/>
          <w:sz w:val="32"/>
          <w:szCs w:val="32"/>
          <w:highlight w:val="none"/>
          <w:lang w:val="en-US" w:eastAsia="zh-CN"/>
        </w:rPr>
        <w:t>0</w:t>
      </w:r>
      <w:r>
        <w:rPr>
          <w:rFonts w:hint="eastAsia" w:ascii="仿宋" w:eastAsia="仿宋"/>
          <w:sz w:val="32"/>
          <w:szCs w:val="32"/>
          <w:highlight w:val="none"/>
        </w:rPr>
        <w:t>%；</w:t>
      </w:r>
      <w:r>
        <w:rPr>
          <w:rFonts w:hint="eastAsia" w:ascii="仿宋" w:eastAsia="仿宋"/>
          <w:b/>
          <w:sz w:val="32"/>
          <w:szCs w:val="32"/>
          <w:highlight w:val="none"/>
        </w:rPr>
        <w:t>科学技术</w:t>
      </w:r>
      <w:r>
        <w:rPr>
          <w:rFonts w:hint="eastAsia" w:ascii="仿宋" w:eastAsia="仿宋"/>
          <w:b/>
          <w:bCs/>
          <w:sz w:val="32"/>
          <w:szCs w:val="32"/>
          <w:highlight w:val="none"/>
        </w:rPr>
        <w:t>支出</w:t>
      </w:r>
      <w:r>
        <w:rPr>
          <w:rFonts w:hint="eastAsia" w:ascii="仿宋" w:eastAsia="仿宋"/>
          <w:sz w:val="32"/>
          <w:szCs w:val="32"/>
          <w:highlight w:val="none"/>
          <w:lang w:val="en-US" w:eastAsia="zh-CN"/>
        </w:rPr>
        <w:t>0</w:t>
      </w:r>
      <w:r>
        <w:rPr>
          <w:rFonts w:hint="eastAsia" w:ascii="仿宋" w:eastAsia="仿宋"/>
          <w:sz w:val="32"/>
          <w:szCs w:val="32"/>
          <w:highlight w:val="none"/>
        </w:rPr>
        <w:t>万元，占</w:t>
      </w:r>
      <w:r>
        <w:rPr>
          <w:rFonts w:hint="eastAsia" w:ascii="仿宋" w:eastAsia="仿宋"/>
          <w:sz w:val="32"/>
          <w:szCs w:val="32"/>
          <w:highlight w:val="none"/>
          <w:lang w:val="en-US" w:eastAsia="zh-CN"/>
        </w:rPr>
        <w:t>0</w:t>
      </w:r>
      <w:r>
        <w:rPr>
          <w:rFonts w:hint="eastAsia" w:ascii="仿宋" w:eastAsia="仿宋"/>
          <w:sz w:val="32"/>
          <w:szCs w:val="32"/>
          <w:highlight w:val="none"/>
        </w:rPr>
        <w:t>%；</w:t>
      </w:r>
      <w:r>
        <w:rPr>
          <w:rFonts w:hint="eastAsia" w:ascii="仿宋" w:eastAsia="仿宋"/>
          <w:b/>
          <w:bCs/>
          <w:sz w:val="32"/>
          <w:szCs w:val="32"/>
          <w:highlight w:val="none"/>
        </w:rPr>
        <w:t>文化旅游体育与传媒支出</w:t>
      </w:r>
      <w:r>
        <w:rPr>
          <w:rFonts w:hint="eastAsia" w:ascii="仿宋" w:eastAsia="仿宋"/>
          <w:b/>
          <w:bCs/>
          <w:sz w:val="32"/>
          <w:szCs w:val="32"/>
          <w:highlight w:val="none"/>
          <w:lang w:val="en-US" w:eastAsia="zh-CN"/>
        </w:rPr>
        <w:t>0</w:t>
      </w:r>
      <w:r>
        <w:rPr>
          <w:rFonts w:hint="eastAsia" w:ascii="仿宋" w:eastAsia="仿宋"/>
          <w:b/>
          <w:bCs/>
          <w:sz w:val="32"/>
          <w:szCs w:val="32"/>
          <w:highlight w:val="none"/>
        </w:rPr>
        <w:t>万元，占</w:t>
      </w:r>
      <w:r>
        <w:rPr>
          <w:rFonts w:hint="eastAsia" w:ascii="仿宋" w:eastAsia="仿宋"/>
          <w:b/>
          <w:bCs/>
          <w:sz w:val="32"/>
          <w:szCs w:val="32"/>
          <w:highlight w:val="none"/>
          <w:lang w:val="en-US" w:eastAsia="zh-CN"/>
        </w:rPr>
        <w:t>0</w:t>
      </w:r>
      <w:r>
        <w:rPr>
          <w:rFonts w:hint="eastAsia" w:ascii="仿宋" w:eastAsia="仿宋"/>
          <w:b/>
          <w:bCs/>
          <w:sz w:val="32"/>
          <w:szCs w:val="32"/>
          <w:highlight w:val="none"/>
        </w:rPr>
        <w:t>%</w:t>
      </w:r>
      <w:r>
        <w:rPr>
          <w:rFonts w:hint="eastAsia" w:ascii="仿宋" w:eastAsia="仿宋"/>
          <w:sz w:val="32"/>
          <w:szCs w:val="32"/>
          <w:highlight w:val="none"/>
        </w:rPr>
        <w:t>；</w:t>
      </w:r>
      <w:r>
        <w:rPr>
          <w:rFonts w:hint="eastAsia" w:ascii="仿宋" w:eastAsia="仿宋"/>
          <w:b/>
          <w:sz w:val="32"/>
          <w:szCs w:val="32"/>
          <w:highlight w:val="none"/>
        </w:rPr>
        <w:t>社会保障和就业</w:t>
      </w:r>
      <w:r>
        <w:rPr>
          <w:rFonts w:hint="eastAsia" w:ascii="仿宋" w:eastAsia="仿宋"/>
          <w:b/>
          <w:bCs/>
          <w:sz w:val="32"/>
          <w:szCs w:val="32"/>
          <w:highlight w:val="none"/>
        </w:rPr>
        <w:t>支出</w:t>
      </w:r>
      <w:r>
        <w:rPr>
          <w:rFonts w:hint="eastAsia" w:ascii="仿宋" w:eastAsia="仿宋"/>
          <w:sz w:val="32"/>
          <w:szCs w:val="32"/>
          <w:highlight w:val="none"/>
          <w:lang w:val="en-US" w:eastAsia="zh-CN"/>
        </w:rPr>
        <w:t>28.94</w:t>
      </w:r>
      <w:r>
        <w:rPr>
          <w:rFonts w:hint="eastAsia" w:ascii="仿宋" w:eastAsia="仿宋"/>
          <w:sz w:val="32"/>
          <w:szCs w:val="32"/>
          <w:highlight w:val="none"/>
        </w:rPr>
        <w:t>万元，占</w:t>
      </w:r>
      <w:r>
        <w:rPr>
          <w:rFonts w:hint="eastAsia" w:ascii="仿宋" w:eastAsia="仿宋"/>
          <w:sz w:val="32"/>
          <w:szCs w:val="32"/>
          <w:highlight w:val="none"/>
          <w:lang w:val="en-US" w:eastAsia="zh-CN"/>
        </w:rPr>
        <w:t>5.89</w:t>
      </w:r>
      <w:r>
        <w:rPr>
          <w:rFonts w:hint="eastAsia" w:ascii="仿宋" w:eastAsia="仿宋"/>
          <w:sz w:val="32"/>
          <w:szCs w:val="32"/>
          <w:highlight w:val="none"/>
        </w:rPr>
        <w:t>%；</w:t>
      </w:r>
      <w:r>
        <w:rPr>
          <w:rFonts w:hint="eastAsia" w:ascii="仿宋" w:eastAsia="仿宋"/>
          <w:b/>
          <w:bCs/>
          <w:sz w:val="32"/>
          <w:szCs w:val="32"/>
          <w:highlight w:val="none"/>
        </w:rPr>
        <w:t>卫生健康支出</w:t>
      </w:r>
      <w:r>
        <w:rPr>
          <w:rFonts w:hint="eastAsia" w:ascii="仿宋" w:eastAsia="仿宋"/>
          <w:sz w:val="32"/>
          <w:szCs w:val="32"/>
          <w:highlight w:val="none"/>
          <w:lang w:val="en-US" w:eastAsia="zh-CN"/>
        </w:rPr>
        <w:t>11.07</w:t>
      </w:r>
      <w:r>
        <w:rPr>
          <w:rFonts w:hint="eastAsia" w:ascii="仿宋" w:eastAsia="仿宋"/>
          <w:sz w:val="32"/>
          <w:szCs w:val="32"/>
          <w:highlight w:val="none"/>
        </w:rPr>
        <w:t>万元，占</w:t>
      </w:r>
      <w:r>
        <w:rPr>
          <w:rFonts w:hint="eastAsia" w:ascii="仿宋" w:eastAsia="仿宋"/>
          <w:sz w:val="32"/>
          <w:szCs w:val="32"/>
          <w:highlight w:val="none"/>
          <w:lang w:val="en-US" w:eastAsia="zh-CN"/>
        </w:rPr>
        <w:t>2.25</w:t>
      </w:r>
      <w:r>
        <w:rPr>
          <w:rFonts w:hint="eastAsia" w:ascii="仿宋" w:eastAsia="仿宋"/>
          <w:sz w:val="32"/>
          <w:szCs w:val="32"/>
          <w:highlight w:val="none"/>
        </w:rPr>
        <w:t>%；</w:t>
      </w:r>
      <w:r>
        <w:rPr>
          <w:rFonts w:hint="eastAsia" w:ascii="仿宋" w:eastAsia="仿宋"/>
          <w:b/>
          <w:bCs/>
          <w:sz w:val="32"/>
          <w:szCs w:val="32"/>
          <w:highlight w:val="none"/>
        </w:rPr>
        <w:t>住房保障支出</w:t>
      </w:r>
      <w:r>
        <w:rPr>
          <w:rFonts w:hint="eastAsia" w:ascii="仿宋" w:eastAsia="仿宋"/>
          <w:b/>
          <w:bCs/>
          <w:sz w:val="32"/>
          <w:szCs w:val="32"/>
          <w:highlight w:val="none"/>
          <w:lang w:val="en-US" w:eastAsia="zh-CN"/>
        </w:rPr>
        <w:t>16.1</w:t>
      </w:r>
      <w:r>
        <w:rPr>
          <w:rFonts w:hint="eastAsia" w:ascii="仿宋" w:eastAsia="仿宋"/>
          <w:sz w:val="32"/>
          <w:szCs w:val="32"/>
          <w:highlight w:val="none"/>
        </w:rPr>
        <w:t>万元，占</w:t>
      </w:r>
      <w:r>
        <w:rPr>
          <w:rFonts w:hint="eastAsia" w:ascii="仿宋" w:eastAsia="仿宋"/>
          <w:sz w:val="32"/>
          <w:szCs w:val="32"/>
          <w:highlight w:val="none"/>
          <w:lang w:val="en-US" w:eastAsia="zh-CN"/>
        </w:rPr>
        <w:t>3.28</w:t>
      </w:r>
      <w:r>
        <w:rPr>
          <w:rFonts w:hint="eastAsia" w:ascii="仿宋" w:eastAsia="仿宋"/>
          <w:sz w:val="32"/>
          <w:szCs w:val="32"/>
          <w:highlight w:val="none"/>
        </w:rPr>
        <w:t>%。</w:t>
      </w:r>
    </w:p>
    <w:p>
      <w:pPr>
        <w:spacing w:line="240" w:lineRule="auto"/>
        <w:ind w:firstLine="640"/>
        <w:rPr>
          <w:rFonts w:hint="eastAsia" w:ascii="仿宋" w:eastAsia="仿宋"/>
          <w:sz w:val="32"/>
          <w:szCs w:val="32"/>
          <w:highlight w:val="none"/>
          <w:lang w:eastAsia="zh-CN"/>
        </w:rPr>
      </w:pPr>
      <w:r>
        <w:rPr>
          <w:rFonts w:hint="eastAsia" w:ascii="仿宋" w:eastAsia="仿宋"/>
          <w:sz w:val="32"/>
          <w:szCs w:val="32"/>
          <w:highlight w:val="none"/>
          <w:lang w:eastAsia="zh-CN"/>
        </w:rPr>
        <w:drawing>
          <wp:inline distT="0" distB="0" distL="114300" distR="114300">
            <wp:extent cx="4838700" cy="2762250"/>
            <wp:effectExtent l="0" t="0" r="0" b="0"/>
            <wp:docPr id="9" name="图片 9"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
                    <pic:cNvPicPr>
                      <a:picLocks noChangeAspect="1"/>
                    </pic:cNvPicPr>
                  </pic:nvPicPr>
                  <pic:blipFill>
                    <a:blip r:embed="rId15"/>
                    <a:stretch>
                      <a:fillRect/>
                    </a:stretch>
                  </pic:blipFill>
                  <pic:spPr>
                    <a:xfrm>
                      <a:off x="0" y="0"/>
                      <a:ext cx="4838700" cy="2762250"/>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bidi w:val="0"/>
        <w:rPr>
          <w:rFonts w:hint="eastAsia" w:eastAsia="宋体"/>
        </w:rPr>
      </w:pPr>
      <w:bookmarkStart w:id="45" w:name="_Toc15377212"/>
      <w:r>
        <w:rPr>
          <w:rFonts w:hint="eastAsia" w:eastAsia="宋体"/>
        </w:rPr>
        <w:t>（三）一般公共预算财政拨款支出决算具体情况</w:t>
      </w:r>
      <w:bookmarkEnd w:id="45"/>
    </w:p>
    <w:p>
      <w:pPr>
        <w:spacing w:line="600" w:lineRule="exact"/>
        <w:ind w:firstLine="640" w:firstLineChars="200"/>
        <w:outlineLvl w:val="9"/>
        <w:rPr>
          <w:rFonts w:hint="eastAsia" w:ascii="仿宋" w:eastAsia="仿宋"/>
          <w:sz w:val="32"/>
          <w:szCs w:val="32"/>
          <w:highlight w:val="none"/>
        </w:rPr>
      </w:pPr>
      <w:bookmarkStart w:id="46" w:name="_Toc15377444"/>
      <w:bookmarkStart w:id="47" w:name="_Toc15378460"/>
      <w:bookmarkStart w:id="48"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491.25</w:t>
      </w:r>
      <w:r>
        <w:rPr>
          <w:rFonts w:hint="eastAsia" w:ascii="Times New Roman" w:hAnsi="Times New Roman" w:eastAsia="仿宋_GB2312" w:cs="仿宋_GB2312"/>
          <w:color w:val="auto"/>
          <w:kern w:val="2"/>
          <w:sz w:val="32"/>
          <w:szCs w:val="32"/>
          <w:highlight w:val="none"/>
          <w:lang w:val="en-US" w:eastAsia="zh-CN" w:bidi="ar-SA"/>
        </w:rPr>
        <w:t>，</w:t>
      </w:r>
      <w:bookmarkEnd w:id="46"/>
      <w:bookmarkEnd w:id="47"/>
      <w:bookmarkEnd w:id="48"/>
      <w:r>
        <w:rPr>
          <w:rFonts w:hint="eastAsia" w:eastAsia="仿宋_GB2312" w:cs="仿宋_GB2312"/>
          <w:color w:val="auto"/>
          <w:kern w:val="2"/>
          <w:sz w:val="32"/>
          <w:szCs w:val="32"/>
          <w:highlight w:val="none"/>
          <w:lang w:val="en-US" w:eastAsia="zh-CN" w:bidi="ar-SA"/>
        </w:rPr>
        <w:t>完成</w:t>
      </w:r>
      <w:r>
        <w:rPr>
          <w:rStyle w:val="17"/>
          <w:rFonts w:hint="eastAsia" w:ascii="仿宋" w:eastAsia="仿宋"/>
          <w:bCs/>
          <w:sz w:val="32"/>
          <w:szCs w:val="32"/>
          <w:highlight w:val="none"/>
        </w:rPr>
        <w:t>预算</w:t>
      </w:r>
      <w:r>
        <w:rPr>
          <w:rStyle w:val="17"/>
          <w:rFonts w:hint="eastAsia" w:ascii="仿宋" w:eastAsia="仿宋"/>
          <w:bCs/>
          <w:sz w:val="32"/>
          <w:szCs w:val="32"/>
          <w:highlight w:val="none"/>
          <w:lang w:val="en-US" w:eastAsia="zh-CN"/>
        </w:rPr>
        <w:t>100</w:t>
      </w:r>
      <w:r>
        <w:rPr>
          <w:rStyle w:val="17"/>
          <w:rFonts w:hint="eastAsia" w:ascii="仿宋" w:eastAsia="仿宋"/>
          <w:bCs/>
          <w:sz w:val="32"/>
          <w:szCs w:val="32"/>
          <w:highlight w:val="none"/>
        </w:rPr>
        <w:t>%。其中：</w:t>
      </w:r>
    </w:p>
    <w:p>
      <w:pPr>
        <w:spacing w:line="600" w:lineRule="exact"/>
        <w:ind w:firstLine="642" w:firstLineChars="200"/>
        <w:rPr>
          <w:rFonts w:hint="eastAsia" w:ascii="仿宋" w:eastAsia="仿宋"/>
          <w:b/>
          <w:sz w:val="32"/>
          <w:szCs w:val="32"/>
          <w:highlight w:val="none"/>
        </w:rPr>
      </w:pPr>
      <w:r>
        <w:rPr>
          <w:rStyle w:val="17"/>
          <w:rFonts w:hint="eastAsia" w:ascii="仿宋" w:eastAsia="仿宋"/>
          <w:bCs/>
          <w:sz w:val="32"/>
          <w:szCs w:val="32"/>
          <w:highlight w:val="none"/>
        </w:rPr>
        <w:t>1.一般公共服务（类）</w:t>
      </w:r>
      <w:r>
        <w:rPr>
          <w:rStyle w:val="17"/>
          <w:rFonts w:hint="eastAsia" w:ascii="仿宋" w:eastAsia="仿宋"/>
          <w:bCs/>
          <w:sz w:val="32"/>
          <w:szCs w:val="32"/>
          <w:highlight w:val="none"/>
          <w:lang w:val="en-US" w:eastAsia="zh-CN"/>
        </w:rPr>
        <w:t>20131</w:t>
      </w:r>
      <w:r>
        <w:rPr>
          <w:rStyle w:val="17"/>
          <w:rFonts w:hint="eastAsia" w:ascii="仿宋" w:eastAsia="仿宋"/>
          <w:bCs/>
          <w:sz w:val="32"/>
          <w:szCs w:val="32"/>
          <w:highlight w:val="none"/>
        </w:rPr>
        <w:t>:</w:t>
      </w:r>
      <w:r>
        <w:rPr>
          <w:rStyle w:val="17"/>
          <w:rFonts w:hint="eastAsia" w:ascii="仿宋" w:eastAsia="仿宋"/>
          <w:b w:val="0"/>
          <w:bCs/>
          <w:sz w:val="32"/>
          <w:szCs w:val="32"/>
          <w:highlight w:val="none"/>
        </w:rPr>
        <w:t xml:space="preserve"> 支出决算为</w:t>
      </w:r>
      <w:r>
        <w:rPr>
          <w:rFonts w:hint="eastAsia" w:ascii="仿宋" w:eastAsia="仿宋"/>
          <w:sz w:val="32"/>
          <w:szCs w:val="32"/>
          <w:highlight w:val="none"/>
          <w:lang w:val="en-US" w:eastAsia="zh-CN"/>
        </w:rPr>
        <w:t>435.15</w:t>
      </w:r>
      <w:r>
        <w:rPr>
          <w:rStyle w:val="17"/>
          <w:rFonts w:hint="eastAsia" w:ascii="仿宋" w:eastAsia="仿宋"/>
          <w:b w:val="0"/>
          <w:bCs/>
          <w:sz w:val="32"/>
          <w:szCs w:val="32"/>
          <w:highlight w:val="none"/>
        </w:rPr>
        <w:t>万元，完成预算</w:t>
      </w:r>
      <w:r>
        <w:rPr>
          <w:rStyle w:val="17"/>
          <w:rFonts w:hint="eastAsia" w:ascii="仿宋" w:eastAsia="仿宋"/>
          <w:b w:val="0"/>
          <w:bCs/>
          <w:sz w:val="32"/>
          <w:szCs w:val="32"/>
          <w:highlight w:val="none"/>
          <w:lang w:val="en-US" w:eastAsia="zh-CN"/>
        </w:rPr>
        <w:t>100</w:t>
      </w:r>
      <w:r>
        <w:rPr>
          <w:rStyle w:val="17"/>
          <w:rFonts w:hint="eastAsia" w:ascii="仿宋" w:eastAsia="仿宋"/>
          <w:b w:val="0"/>
          <w:bCs/>
          <w:sz w:val="32"/>
          <w:szCs w:val="32"/>
          <w:highlight w:val="none"/>
        </w:rPr>
        <w:t>%。</w:t>
      </w:r>
    </w:p>
    <w:p>
      <w:pPr>
        <w:spacing w:line="600" w:lineRule="exact"/>
        <w:ind w:firstLine="642" w:firstLineChars="200"/>
        <w:rPr>
          <w:rStyle w:val="17"/>
          <w:rFonts w:hint="eastAsia" w:ascii="仿宋" w:eastAsia="仿宋"/>
          <w:b w:val="0"/>
          <w:bCs/>
          <w:sz w:val="32"/>
          <w:szCs w:val="32"/>
          <w:highlight w:val="none"/>
        </w:rPr>
      </w:pPr>
      <w:r>
        <w:rPr>
          <w:rStyle w:val="17"/>
          <w:rFonts w:hint="eastAsia" w:ascii="仿宋" w:eastAsia="仿宋"/>
          <w:bCs/>
          <w:sz w:val="32"/>
          <w:szCs w:val="32"/>
          <w:highlight w:val="none"/>
          <w:lang w:val="en-US" w:eastAsia="zh-CN"/>
        </w:rPr>
        <w:t>2</w:t>
      </w:r>
      <w:r>
        <w:rPr>
          <w:rStyle w:val="17"/>
          <w:rFonts w:hint="eastAsia" w:ascii="仿宋" w:eastAsia="仿宋"/>
          <w:bCs/>
          <w:sz w:val="32"/>
          <w:szCs w:val="32"/>
          <w:highlight w:val="none"/>
        </w:rPr>
        <w:t>.社会保障和就业（类）</w:t>
      </w:r>
      <w:r>
        <w:rPr>
          <w:rStyle w:val="17"/>
          <w:rFonts w:hint="eastAsia" w:ascii="仿宋" w:eastAsia="仿宋"/>
          <w:bCs/>
          <w:sz w:val="32"/>
          <w:szCs w:val="32"/>
          <w:highlight w:val="none"/>
          <w:lang w:val="en-US" w:eastAsia="zh-CN"/>
        </w:rPr>
        <w:t>20805</w:t>
      </w:r>
      <w:r>
        <w:rPr>
          <w:rStyle w:val="17"/>
          <w:rFonts w:hint="eastAsia" w:ascii="仿宋" w:eastAsia="仿宋"/>
          <w:bCs/>
          <w:sz w:val="32"/>
          <w:szCs w:val="32"/>
          <w:highlight w:val="none"/>
        </w:rPr>
        <w:t>:</w:t>
      </w:r>
      <w:r>
        <w:rPr>
          <w:rStyle w:val="17"/>
          <w:rFonts w:hint="eastAsia" w:ascii="仿宋" w:eastAsia="仿宋"/>
          <w:b w:val="0"/>
          <w:bCs/>
          <w:sz w:val="32"/>
          <w:szCs w:val="32"/>
          <w:highlight w:val="none"/>
        </w:rPr>
        <w:t xml:space="preserve"> 支出决算为</w:t>
      </w:r>
      <w:r>
        <w:rPr>
          <w:rStyle w:val="17"/>
          <w:rFonts w:hint="eastAsia" w:ascii="仿宋" w:eastAsia="仿宋"/>
          <w:b w:val="0"/>
          <w:bCs/>
          <w:sz w:val="32"/>
          <w:szCs w:val="32"/>
          <w:highlight w:val="none"/>
          <w:lang w:val="en-US" w:eastAsia="zh-CN"/>
        </w:rPr>
        <w:t>28.94</w:t>
      </w:r>
      <w:r>
        <w:rPr>
          <w:rStyle w:val="17"/>
          <w:rFonts w:hint="eastAsia" w:ascii="仿宋" w:eastAsia="仿宋"/>
          <w:b w:val="0"/>
          <w:bCs/>
          <w:sz w:val="32"/>
          <w:szCs w:val="32"/>
          <w:highlight w:val="none"/>
        </w:rPr>
        <w:t>万元，完成预算</w:t>
      </w:r>
      <w:r>
        <w:rPr>
          <w:rStyle w:val="17"/>
          <w:rFonts w:hint="eastAsia" w:ascii="仿宋" w:eastAsia="仿宋"/>
          <w:b w:val="0"/>
          <w:bCs/>
          <w:sz w:val="32"/>
          <w:szCs w:val="32"/>
          <w:highlight w:val="none"/>
          <w:lang w:val="en-US" w:eastAsia="zh-CN"/>
        </w:rPr>
        <w:t>100</w:t>
      </w:r>
      <w:r>
        <w:rPr>
          <w:rStyle w:val="17"/>
          <w:rFonts w:hint="eastAsia" w:ascii="仿宋" w:eastAsia="仿宋"/>
          <w:b w:val="0"/>
          <w:bCs/>
          <w:sz w:val="32"/>
          <w:szCs w:val="32"/>
          <w:highlight w:val="none"/>
        </w:rPr>
        <w:t>%。</w:t>
      </w:r>
    </w:p>
    <w:p>
      <w:pPr>
        <w:spacing w:line="600" w:lineRule="exact"/>
        <w:ind w:firstLine="642" w:firstLineChars="200"/>
        <w:rPr>
          <w:rStyle w:val="17"/>
          <w:rFonts w:hint="eastAsia" w:ascii="仿宋" w:eastAsia="仿宋"/>
          <w:b w:val="0"/>
          <w:bCs/>
          <w:sz w:val="32"/>
          <w:szCs w:val="32"/>
          <w:highlight w:val="none"/>
        </w:rPr>
      </w:pPr>
      <w:r>
        <w:rPr>
          <w:rStyle w:val="17"/>
          <w:rFonts w:hint="eastAsia" w:ascii="仿宋" w:eastAsia="仿宋"/>
          <w:bCs/>
          <w:sz w:val="32"/>
          <w:szCs w:val="32"/>
          <w:highlight w:val="none"/>
          <w:lang w:val="en-US" w:eastAsia="zh-CN"/>
        </w:rPr>
        <w:t>3</w:t>
      </w:r>
      <w:r>
        <w:rPr>
          <w:rStyle w:val="17"/>
          <w:rFonts w:hint="eastAsia" w:ascii="仿宋" w:eastAsia="仿宋"/>
          <w:bCs/>
          <w:sz w:val="32"/>
          <w:szCs w:val="32"/>
          <w:highlight w:val="none"/>
        </w:rPr>
        <w:t>.</w:t>
      </w:r>
      <w:r>
        <w:rPr>
          <w:rFonts w:hint="eastAsia" w:ascii="仿宋" w:eastAsia="仿宋"/>
          <w:b/>
          <w:bCs/>
          <w:sz w:val="32"/>
          <w:szCs w:val="32"/>
          <w:highlight w:val="none"/>
        </w:rPr>
        <w:t>卫生健康</w:t>
      </w:r>
      <w:r>
        <w:rPr>
          <w:rStyle w:val="17"/>
          <w:rFonts w:hint="eastAsia" w:ascii="仿宋" w:eastAsia="仿宋"/>
          <w:bCs/>
          <w:sz w:val="32"/>
          <w:szCs w:val="32"/>
          <w:highlight w:val="none"/>
        </w:rPr>
        <w:t>（类）</w:t>
      </w:r>
      <w:r>
        <w:rPr>
          <w:rStyle w:val="17"/>
          <w:rFonts w:hint="eastAsia" w:ascii="仿宋" w:eastAsia="仿宋"/>
          <w:bCs/>
          <w:sz w:val="32"/>
          <w:szCs w:val="32"/>
          <w:highlight w:val="none"/>
          <w:lang w:val="en-US" w:eastAsia="zh-CN"/>
        </w:rPr>
        <w:t>21011：</w:t>
      </w:r>
      <w:r>
        <w:rPr>
          <w:rStyle w:val="17"/>
          <w:rFonts w:hint="eastAsia" w:ascii="仿宋" w:eastAsia="仿宋"/>
          <w:b w:val="0"/>
          <w:bCs/>
          <w:sz w:val="32"/>
          <w:szCs w:val="32"/>
          <w:highlight w:val="none"/>
        </w:rPr>
        <w:t>支出决算为</w:t>
      </w:r>
      <w:r>
        <w:rPr>
          <w:rStyle w:val="17"/>
          <w:rFonts w:hint="eastAsia" w:ascii="仿宋" w:eastAsia="仿宋"/>
          <w:b w:val="0"/>
          <w:bCs/>
          <w:sz w:val="32"/>
          <w:szCs w:val="32"/>
          <w:highlight w:val="none"/>
          <w:lang w:val="en-US" w:eastAsia="zh-CN"/>
        </w:rPr>
        <w:t>11.07</w:t>
      </w:r>
      <w:r>
        <w:rPr>
          <w:rStyle w:val="17"/>
          <w:rFonts w:hint="eastAsia" w:ascii="仿宋" w:eastAsia="仿宋"/>
          <w:b w:val="0"/>
          <w:bCs/>
          <w:sz w:val="32"/>
          <w:szCs w:val="32"/>
          <w:highlight w:val="none"/>
        </w:rPr>
        <w:t>万元，完成预算</w:t>
      </w:r>
      <w:r>
        <w:rPr>
          <w:rStyle w:val="17"/>
          <w:rFonts w:hint="eastAsia" w:ascii="仿宋" w:eastAsia="仿宋"/>
          <w:b w:val="0"/>
          <w:bCs/>
          <w:sz w:val="32"/>
          <w:szCs w:val="32"/>
          <w:highlight w:val="none"/>
          <w:lang w:val="en-US" w:eastAsia="zh-CN"/>
        </w:rPr>
        <w:t>100</w:t>
      </w:r>
      <w:r>
        <w:rPr>
          <w:rStyle w:val="17"/>
          <w:rFonts w:hint="eastAsia" w:ascii="仿宋" w:eastAsia="仿宋"/>
          <w:b w:val="0"/>
          <w:bCs/>
          <w:sz w:val="32"/>
          <w:szCs w:val="32"/>
          <w:highlight w:val="none"/>
        </w:rPr>
        <w:t>%。</w:t>
      </w:r>
    </w:p>
    <w:p>
      <w:pPr>
        <w:spacing w:line="600" w:lineRule="exact"/>
        <w:ind w:firstLine="642" w:firstLineChars="200"/>
        <w:rPr>
          <w:rStyle w:val="17"/>
          <w:rFonts w:hint="eastAsia" w:ascii="仿宋" w:eastAsia="仿宋"/>
          <w:b w:val="0"/>
          <w:bCs/>
          <w:sz w:val="32"/>
          <w:szCs w:val="32"/>
          <w:highlight w:val="none"/>
        </w:rPr>
      </w:pPr>
      <w:r>
        <w:rPr>
          <w:rStyle w:val="17"/>
          <w:rFonts w:hint="eastAsia" w:ascii="仿宋" w:eastAsia="仿宋"/>
          <w:bCs/>
          <w:sz w:val="32"/>
          <w:szCs w:val="32"/>
          <w:highlight w:val="none"/>
          <w:lang w:val="en-US" w:eastAsia="zh-CN"/>
        </w:rPr>
        <w:t>4</w:t>
      </w:r>
      <w:r>
        <w:rPr>
          <w:rStyle w:val="17"/>
          <w:rFonts w:hint="eastAsia" w:ascii="仿宋" w:eastAsia="仿宋"/>
          <w:bCs/>
          <w:sz w:val="32"/>
          <w:szCs w:val="32"/>
          <w:highlight w:val="none"/>
        </w:rPr>
        <w:t>.</w:t>
      </w:r>
      <w:r>
        <w:rPr>
          <w:rFonts w:hint="eastAsia" w:ascii="仿宋" w:eastAsia="仿宋"/>
          <w:b/>
          <w:bCs/>
          <w:sz w:val="32"/>
          <w:szCs w:val="32"/>
          <w:highlight w:val="none"/>
          <w:lang w:eastAsia="zh-CN"/>
        </w:rPr>
        <w:t>住房保障</w:t>
      </w:r>
      <w:r>
        <w:rPr>
          <w:rStyle w:val="17"/>
          <w:rFonts w:hint="eastAsia" w:ascii="仿宋" w:eastAsia="仿宋"/>
          <w:bCs/>
          <w:sz w:val="32"/>
          <w:szCs w:val="32"/>
          <w:highlight w:val="none"/>
        </w:rPr>
        <w:t>（类）</w:t>
      </w:r>
      <w:r>
        <w:rPr>
          <w:rStyle w:val="17"/>
          <w:rFonts w:hint="eastAsia" w:ascii="仿宋" w:eastAsia="仿宋"/>
          <w:bCs/>
          <w:sz w:val="32"/>
          <w:szCs w:val="32"/>
          <w:highlight w:val="none"/>
          <w:lang w:val="en-US" w:eastAsia="zh-CN"/>
        </w:rPr>
        <w:t>22102：</w:t>
      </w:r>
      <w:r>
        <w:rPr>
          <w:rStyle w:val="17"/>
          <w:rFonts w:hint="eastAsia" w:ascii="仿宋" w:eastAsia="仿宋"/>
          <w:b w:val="0"/>
          <w:bCs/>
          <w:sz w:val="32"/>
          <w:szCs w:val="32"/>
          <w:highlight w:val="none"/>
        </w:rPr>
        <w:t>支出决算为</w:t>
      </w:r>
      <w:r>
        <w:rPr>
          <w:rStyle w:val="17"/>
          <w:rFonts w:hint="eastAsia" w:ascii="仿宋" w:eastAsia="仿宋"/>
          <w:b w:val="0"/>
          <w:bCs/>
          <w:sz w:val="32"/>
          <w:szCs w:val="32"/>
          <w:highlight w:val="none"/>
          <w:lang w:val="en-US" w:eastAsia="zh-CN"/>
        </w:rPr>
        <w:t>16.1</w:t>
      </w:r>
      <w:r>
        <w:rPr>
          <w:rStyle w:val="17"/>
          <w:rFonts w:hint="eastAsia" w:ascii="仿宋" w:eastAsia="仿宋"/>
          <w:b w:val="0"/>
          <w:bCs/>
          <w:sz w:val="32"/>
          <w:szCs w:val="32"/>
          <w:highlight w:val="none"/>
        </w:rPr>
        <w:t>万元，完成预算</w:t>
      </w:r>
      <w:r>
        <w:rPr>
          <w:rStyle w:val="17"/>
          <w:rFonts w:hint="eastAsia" w:ascii="仿宋" w:eastAsia="仿宋"/>
          <w:b w:val="0"/>
          <w:bCs/>
          <w:sz w:val="32"/>
          <w:szCs w:val="32"/>
          <w:highlight w:val="none"/>
          <w:lang w:val="en-US" w:eastAsia="zh-CN"/>
        </w:rPr>
        <w:t>100</w:t>
      </w:r>
      <w:r>
        <w:rPr>
          <w:rStyle w:val="17"/>
          <w:rFonts w:hint="eastAsia" w:ascii="仿宋" w:eastAsia="仿宋"/>
          <w:b w:val="0"/>
          <w:bCs/>
          <w:sz w:val="32"/>
          <w:szCs w:val="32"/>
          <w:highlight w:val="none"/>
        </w:rPr>
        <w:t>%。</w:t>
      </w:r>
    </w:p>
    <w:p>
      <w:pPr>
        <w:spacing w:line="600" w:lineRule="exact"/>
        <w:ind w:firstLine="640" w:firstLineChars="200"/>
        <w:rPr>
          <w:rStyle w:val="17"/>
          <w:rFonts w:hint="eastAsia" w:ascii="仿宋" w:eastAsia="仿宋"/>
          <w:b w:val="0"/>
          <w:bCs/>
          <w:sz w:val="32"/>
          <w:szCs w:val="32"/>
          <w:highlight w:val="none"/>
          <w:lang w:val="en-US" w:eastAsia="zh-CN"/>
        </w:rPr>
      </w:pPr>
    </w:p>
    <w:p>
      <w:pPr>
        <w:tabs>
          <w:tab w:val="right" w:pos="8306"/>
        </w:tabs>
        <w:spacing w:line="600" w:lineRule="exact"/>
        <w:ind w:firstLine="640"/>
        <w:outlineLvl w:val="1"/>
        <w:rPr>
          <w:rStyle w:val="29"/>
          <w:rFonts w:ascii="Times New Roman" w:hAnsi="Times New Roman"/>
          <w:color w:val="auto"/>
          <w:highlight w:val="none"/>
        </w:rPr>
      </w:pPr>
      <w:bookmarkStart w:id="49" w:name="_Toc15377214"/>
      <w:bookmarkStart w:id="50" w:name="_Toc15396608"/>
      <w:bookmarkStart w:id="51" w:name="_Toc1791279332"/>
      <w:r>
        <w:rPr>
          <w:rFonts w:hint="eastAsia" w:asciiTheme="majorHAnsi" w:hAnsiTheme="majorHAnsi" w:eastAsiaTheme="majorEastAsia" w:cstheme="majorBidi"/>
          <w:b/>
          <w:bCs/>
          <w:kern w:val="2"/>
          <w:sz w:val="32"/>
          <w:szCs w:val="32"/>
          <w:lang w:val="en-US" w:eastAsia="zh-CN" w:bidi="ar-SA"/>
        </w:rPr>
        <w:t>六、一般公共预算财政拨款基本支出决算情况说明</w:t>
      </w:r>
      <w:bookmarkEnd w:id="49"/>
      <w:bookmarkEnd w:id="50"/>
      <w:bookmarkEnd w:id="51"/>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213.8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199.5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14.31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Fonts w:hint="eastAsia" w:asciiTheme="majorHAnsi" w:hAnsiTheme="majorHAnsi" w:eastAsiaTheme="majorEastAsia" w:cstheme="majorBidi"/>
          <w:b/>
          <w:bCs/>
          <w:kern w:val="2"/>
          <w:sz w:val="32"/>
          <w:szCs w:val="32"/>
          <w:lang w:val="en-US" w:eastAsia="zh-CN" w:bidi="ar-SA"/>
        </w:rPr>
      </w:pPr>
      <w:bookmarkStart w:id="52" w:name="_Toc15396609"/>
      <w:bookmarkStart w:id="53" w:name="_Toc1631329144"/>
      <w:bookmarkStart w:id="54" w:name="_Toc15377215"/>
      <w:r>
        <w:rPr>
          <w:rFonts w:hint="eastAsia" w:asciiTheme="majorHAnsi" w:hAnsiTheme="majorHAnsi" w:eastAsiaTheme="majorEastAsia" w:cstheme="majorBidi"/>
          <w:b/>
          <w:bCs/>
          <w:kern w:val="2"/>
          <w:sz w:val="32"/>
          <w:szCs w:val="32"/>
          <w:lang w:val="en-US" w:eastAsia="zh-CN" w:bidi="ar-SA"/>
        </w:rPr>
        <w:t>七、财政拨款“三公”经费支出决算情况说明</w:t>
      </w:r>
      <w:bookmarkEnd w:id="52"/>
      <w:bookmarkEnd w:id="53"/>
      <w:bookmarkEnd w:id="54"/>
    </w:p>
    <w:p>
      <w:pPr>
        <w:pStyle w:val="4"/>
        <w:bidi w:val="0"/>
        <w:rPr>
          <w:rFonts w:hint="eastAsia" w:eastAsia="宋体"/>
        </w:rPr>
      </w:pPr>
      <w:bookmarkStart w:id="55" w:name="_Toc15377216"/>
      <w:r>
        <w:rPr>
          <w:rFonts w:hint="eastAsia" w:eastAsia="宋体"/>
        </w:rPr>
        <w:t>（一）财政拨款“三公”经费支出决算总体情况说明</w:t>
      </w:r>
      <w:bookmarkEnd w:id="5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4.98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99.</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 w:eastAsia="仿宋"/>
          <w:sz w:val="32"/>
          <w:szCs w:val="32"/>
          <w:highlight w:val="none"/>
          <w:lang w:val="en-US" w:eastAsia="zh-CN"/>
        </w:rPr>
        <w:t>0.02</w:t>
      </w:r>
      <w:r>
        <w:rPr>
          <w:rFonts w:hint="eastAsia" w:ascii="仿宋" w:eastAsia="仿宋"/>
          <w:sz w:val="32"/>
          <w:szCs w:val="32"/>
          <w:highlight w:val="none"/>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 w:eastAsia="仿宋"/>
          <w:sz w:val="32"/>
          <w:szCs w:val="32"/>
          <w:highlight w:val="none"/>
          <w:lang w:val="en-US" w:eastAsia="zh-CN"/>
        </w:rPr>
        <w:t>2025年公务用车经费厉行节约，经费减少</w:t>
      </w:r>
      <w:r>
        <w:rPr>
          <w:rFonts w:hint="eastAsia" w:ascii="仿宋" w:eastAsia="仿宋"/>
          <w:sz w:val="32"/>
          <w:szCs w:val="32"/>
          <w:highlight w:val="none"/>
        </w:rPr>
        <w:t>。</w:t>
      </w:r>
    </w:p>
    <w:p>
      <w:pPr>
        <w:pStyle w:val="4"/>
        <w:bidi w:val="0"/>
        <w:rPr>
          <w:rFonts w:hint="eastAsia" w:eastAsia="宋体"/>
        </w:rPr>
      </w:pPr>
      <w:bookmarkStart w:id="56" w:name="_Toc15377217"/>
      <w:r>
        <w:rPr>
          <w:rFonts w:hint="eastAsia" w:eastAsia="宋体"/>
        </w:rPr>
        <w:t>（二）财政拨款“三公”经费支出决算具体情况说明</w:t>
      </w:r>
      <w:bookmarkEnd w:id="5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4.98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99.6</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700" cy="2762250"/>
            <wp:effectExtent l="0" t="0" r="0" b="0"/>
            <wp:docPr id="10" name="图片 10"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6"/>
                    <pic:cNvPicPr>
                      <a:picLocks noChangeAspect="1"/>
                    </pic:cNvPicPr>
                  </pic:nvPicPr>
                  <pic:blipFill>
                    <a:blip r:embed="rId16"/>
                    <a:stretch>
                      <a:fillRect/>
                    </a:stretch>
                  </pic:blipFill>
                  <pic:spPr>
                    <a:xfrm>
                      <a:off x="0" y="0"/>
                      <a:ext cx="4838700" cy="2762250"/>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仿宋_GB2312" w:eastAsia="仿宋_GB2312"/>
          <w:b/>
          <w:sz w:val="32"/>
          <w:szCs w:val="32"/>
          <w:highlight w:val="none"/>
          <w:lang w:eastAsia="zh-CN"/>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ascii="仿宋_GB2312" w:eastAsia="仿宋_GB2312"/>
          <w:sz w:val="32"/>
          <w:szCs w:val="32"/>
          <w:highlight w:val="none"/>
          <w:lang w:eastAsia="zh-CN"/>
        </w:rPr>
        <w:t>较上年相比无变化。</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rPr>
          <w:rFonts w:hint="eastAsia" w:ascii="仿宋" w:eastAsia="仿宋"/>
          <w:sz w:val="32"/>
          <w:szCs w:val="32"/>
          <w:highlight w:val="none"/>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4.98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99.6</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highlight w:val="none"/>
        </w:rPr>
        <w:t>公务用车购置</w:t>
      </w:r>
      <w:r>
        <w:rPr>
          <w:rFonts w:hint="eastAsia" w:ascii="仿宋_GB2312" w:eastAsia="仿宋_GB2312"/>
          <w:sz w:val="32"/>
          <w:szCs w:val="32"/>
          <w:highlight w:val="none"/>
          <w:lang w:eastAsia="zh-CN"/>
        </w:rPr>
        <w:t>支出</w:t>
      </w:r>
      <w:r>
        <w:rPr>
          <w:rFonts w:hint="eastAsia" w:ascii="仿宋_GB2312" w:eastAsia="仿宋_GB2312"/>
          <w:sz w:val="32"/>
          <w:szCs w:val="32"/>
          <w:highlight w:val="none"/>
          <w:lang w:val="en-US" w:eastAsia="zh-CN"/>
        </w:rPr>
        <w:t>0万元；</w:t>
      </w:r>
      <w:r>
        <w:rPr>
          <w:rFonts w:hint="eastAsia" w:ascii="仿宋_GB2312" w:eastAsia="仿宋_GB2312"/>
          <w:sz w:val="32"/>
          <w:szCs w:val="32"/>
          <w:highlight w:val="none"/>
        </w:rPr>
        <w:t>运行维护费支出</w:t>
      </w:r>
      <w:r>
        <w:rPr>
          <w:rFonts w:hint="eastAsia" w:ascii="仿宋_GB2312" w:eastAsia="仿宋_GB2312"/>
          <w:sz w:val="32"/>
          <w:szCs w:val="32"/>
          <w:highlight w:val="none"/>
          <w:lang w:val="en-US" w:eastAsia="zh-CN"/>
        </w:rPr>
        <w:t>4.98万元，支出</w:t>
      </w:r>
      <w:r>
        <w:rPr>
          <w:rFonts w:hint="eastAsia" w:ascii="仿宋_GB2312" w:eastAsia="仿宋_GB2312"/>
          <w:sz w:val="32"/>
          <w:szCs w:val="32"/>
          <w:highlight w:val="none"/>
        </w:rPr>
        <w:t>决算比202</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年度</w:t>
      </w:r>
      <w:r>
        <w:rPr>
          <w:rFonts w:hint="eastAsia" w:ascii="仿宋_GB2312" w:eastAsia="仿宋_GB2312"/>
          <w:sz w:val="32"/>
          <w:szCs w:val="32"/>
          <w:highlight w:val="none"/>
          <w:lang w:eastAsia="zh-CN"/>
        </w:rPr>
        <w:t>减少</w:t>
      </w:r>
      <w:r>
        <w:rPr>
          <w:rFonts w:hint="eastAsia" w:ascii="仿宋_GB2312" w:eastAsia="仿宋_GB2312"/>
          <w:sz w:val="32"/>
          <w:szCs w:val="32"/>
          <w:highlight w:val="none"/>
          <w:lang w:val="en-US" w:eastAsia="zh-CN"/>
        </w:rPr>
        <w:t>0.02</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下降</w:t>
      </w:r>
      <w:r>
        <w:rPr>
          <w:rFonts w:hint="eastAsia" w:ascii="仿宋_GB2312" w:eastAsia="仿宋_GB2312"/>
          <w:sz w:val="32"/>
          <w:szCs w:val="32"/>
          <w:highlight w:val="none"/>
          <w:lang w:val="en-US" w:eastAsia="zh-CN"/>
        </w:rPr>
        <w:t>0.4</w:t>
      </w:r>
      <w:r>
        <w:rPr>
          <w:rFonts w:hint="eastAsia" w:ascii="仿宋_GB2312" w:eastAsia="仿宋_GB2312"/>
          <w:sz w:val="32"/>
          <w:szCs w:val="32"/>
          <w:highlight w:val="none"/>
        </w:rPr>
        <w:t>%。</w:t>
      </w:r>
      <w:r>
        <w:rPr>
          <w:rFonts w:hint="eastAsia" w:ascii="仿宋" w:eastAsia="仿宋"/>
          <w:sz w:val="32"/>
          <w:szCs w:val="32"/>
          <w:highlight w:val="none"/>
        </w:rPr>
        <w:t>主要原因是</w:t>
      </w:r>
      <w:r>
        <w:rPr>
          <w:rFonts w:hint="eastAsia" w:ascii="仿宋" w:eastAsia="仿宋"/>
          <w:sz w:val="32"/>
          <w:szCs w:val="32"/>
          <w:highlight w:val="none"/>
          <w:lang w:val="en-US" w:eastAsia="zh-CN"/>
        </w:rPr>
        <w:t>2025年公务用车经费厉行节约，经费减少</w:t>
      </w:r>
      <w:r>
        <w:rPr>
          <w:rFonts w:hint="eastAsia" w:ascii="仿宋" w:eastAsia="仿宋"/>
          <w:sz w:val="32"/>
          <w:szCs w:val="32"/>
          <w:highlight w:val="none"/>
        </w:rPr>
        <w:t>。</w:t>
      </w:r>
    </w:p>
    <w:p>
      <w:pPr>
        <w:spacing w:line="600" w:lineRule="exact"/>
        <w:ind w:firstLine="642" w:firstLineChars="200"/>
        <w:rPr>
          <w:rFonts w:hint="eastAsia" w:ascii="仿宋_GB2312" w:eastAsia="仿宋_GB2312"/>
          <w:b/>
          <w:sz w:val="32"/>
          <w:szCs w:val="32"/>
          <w:highlight w:val="none"/>
        </w:rPr>
      </w:pPr>
      <w:r>
        <w:rPr>
          <w:rFonts w:hint="eastAsia" w:ascii="仿宋_GB2312" w:eastAsia="仿宋_GB2312"/>
          <w:b/>
          <w:sz w:val="32"/>
          <w:szCs w:val="32"/>
          <w:highlight w:val="none"/>
        </w:rPr>
        <w:t>公务用车购置支出</w:t>
      </w:r>
      <w:r>
        <w:rPr>
          <w:rFonts w:hint="eastAsia" w:ascii="仿宋_GB2312" w:eastAsia="仿宋_GB2312"/>
          <w:b/>
          <w:sz w:val="32"/>
          <w:szCs w:val="32"/>
          <w:highlight w:val="none"/>
          <w:lang w:val="en-US" w:eastAsia="zh-CN"/>
        </w:rPr>
        <w:t>0万元。</w:t>
      </w:r>
      <w:r>
        <w:rPr>
          <w:rFonts w:hint="eastAsia" w:ascii="仿宋_GB2312" w:eastAsia="仿宋_GB2312"/>
          <w:sz w:val="32"/>
          <w:szCs w:val="32"/>
          <w:highlight w:val="none"/>
        </w:rPr>
        <w:t>截至202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年12月31日，单位共有公务用车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辆，其中：轿车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辆、越野车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辆、载客汽车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p>
    <w:p>
      <w:pPr>
        <w:spacing w:line="600" w:lineRule="exact"/>
        <w:ind w:firstLine="640"/>
        <w:rPr>
          <w:rFonts w:hint="eastAsia" w:ascii="仿宋_GB2312" w:eastAsia="仿宋_GB2312"/>
          <w:sz w:val="32"/>
          <w:szCs w:val="32"/>
          <w:highlight w:val="none"/>
        </w:rPr>
      </w:pPr>
      <w:r>
        <w:rPr>
          <w:rFonts w:hint="eastAsia" w:ascii="仿宋_GB2312" w:eastAsia="仿宋_GB2312"/>
          <w:b/>
          <w:sz w:val="32"/>
          <w:szCs w:val="32"/>
          <w:highlight w:val="none"/>
        </w:rPr>
        <w:t>公务用车运行维护费支出</w:t>
      </w:r>
      <w:r>
        <w:rPr>
          <w:rFonts w:hint="eastAsia" w:ascii="仿宋" w:eastAsia="仿宋"/>
          <w:b/>
          <w:sz w:val="32"/>
          <w:szCs w:val="32"/>
          <w:highlight w:val="none"/>
          <w:lang w:val="en-US" w:eastAsia="zh-CN"/>
        </w:rPr>
        <w:t>4.98</w:t>
      </w:r>
      <w:r>
        <w:rPr>
          <w:rFonts w:hint="eastAsia" w:ascii="仿宋_GB2312" w:eastAsia="仿宋_GB2312"/>
          <w:sz w:val="32"/>
          <w:szCs w:val="32"/>
          <w:highlight w:val="none"/>
        </w:rPr>
        <w:t>万元。主要用于</w:t>
      </w:r>
      <w:r>
        <w:rPr>
          <w:rFonts w:hint="eastAsia" w:ascii="仿宋_GB2312" w:eastAsia="仿宋_GB2312"/>
          <w:sz w:val="32"/>
          <w:szCs w:val="32"/>
          <w:highlight w:val="none"/>
          <w:lang w:eastAsia="zh-CN"/>
        </w:rPr>
        <w:t>日常工作</w:t>
      </w:r>
      <w:r>
        <w:rPr>
          <w:rFonts w:hint="eastAsia" w:ascii="仿宋_GB2312" w:eastAsia="仿宋_GB2312"/>
          <w:sz w:val="32"/>
          <w:szCs w:val="32"/>
          <w:highlight w:val="none"/>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Fonts w:hint="eastAsia" w:ascii="仿宋_GB2312" w:eastAsia="仿宋_GB2312"/>
          <w:sz w:val="32"/>
          <w:szCs w:val="32"/>
          <w:highlight w:val="none"/>
        </w:rPr>
      </w:pPr>
      <w:bookmarkStart w:id="57" w:name="_Toc324353436"/>
      <w:bookmarkStart w:id="58" w:name="_Toc1754113988"/>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sz w:val="32"/>
          <w:szCs w:val="32"/>
          <w:highlight w:val="none"/>
        </w:rPr>
        <w:t>公务接待费支出决算</w:t>
      </w:r>
      <w:r>
        <w:rPr>
          <w:rFonts w:hint="eastAsia" w:ascii="仿宋_GB2312" w:eastAsia="仿宋_GB2312"/>
          <w:sz w:val="32"/>
          <w:szCs w:val="32"/>
          <w:highlight w:val="none"/>
          <w:lang w:eastAsia="zh-CN"/>
        </w:rPr>
        <w:t>与</w:t>
      </w:r>
      <w:r>
        <w:rPr>
          <w:rFonts w:hint="eastAsia" w:ascii="仿宋_GB2312" w:eastAsia="仿宋_GB2312"/>
          <w:sz w:val="32"/>
          <w:szCs w:val="32"/>
          <w:highlight w:val="none"/>
        </w:rPr>
        <w:t>202</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年度</w:t>
      </w:r>
      <w:r>
        <w:rPr>
          <w:rFonts w:hint="eastAsia" w:ascii="仿宋_GB2312" w:eastAsia="仿宋_GB2312"/>
          <w:sz w:val="32"/>
          <w:szCs w:val="32"/>
          <w:highlight w:val="none"/>
          <w:lang w:eastAsia="zh-CN"/>
        </w:rPr>
        <w:t>相等</w:t>
      </w:r>
      <w:r>
        <w:rPr>
          <w:rFonts w:hint="eastAsia" w:ascii="仿宋_GB2312" w:eastAsia="仿宋_GB2312"/>
          <w:sz w:val="32"/>
          <w:szCs w:val="32"/>
          <w:highlight w:val="none"/>
        </w:rPr>
        <w:t>。</w:t>
      </w:r>
      <w:bookmarkEnd w:id="57"/>
      <w:bookmarkEnd w:id="58"/>
    </w:p>
    <w:p>
      <w:pPr>
        <w:spacing w:line="600" w:lineRule="exact"/>
        <w:ind w:left="0"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其中：</w:t>
      </w:r>
    </w:p>
    <w:p>
      <w:pPr>
        <w:spacing w:line="600" w:lineRule="exact"/>
        <w:ind w:firstLine="640"/>
        <w:rPr>
          <w:rFonts w:hint="eastAsia" w:ascii="仿宋_GB2312" w:eastAsia="仿宋_GB2312"/>
          <w:sz w:val="32"/>
          <w:szCs w:val="32"/>
          <w:highlight w:val="none"/>
          <w:lang w:val="en-US" w:eastAsia="zh-CN"/>
        </w:rPr>
      </w:pPr>
      <w:r>
        <w:rPr>
          <w:rFonts w:hint="eastAsia" w:ascii="仿宋" w:eastAsia="仿宋"/>
          <w:b/>
          <w:sz w:val="32"/>
          <w:szCs w:val="32"/>
          <w:highlight w:val="none"/>
        </w:rPr>
        <w:t>国内公务接待支出0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接待人次</w:t>
      </w:r>
      <w:r>
        <w:rPr>
          <w:rFonts w:hint="eastAsia" w:ascii="仿宋_GB2312" w:eastAsia="仿宋_GB2312"/>
          <w:sz w:val="32"/>
          <w:szCs w:val="32"/>
          <w:highlight w:val="none"/>
          <w:lang w:val="en-US" w:eastAsia="zh-CN"/>
        </w:rPr>
        <w:t>0，批次0。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eastAsia="仿宋"/>
          <w:b/>
          <w:sz w:val="32"/>
          <w:szCs w:val="32"/>
          <w:highlight w:val="none"/>
        </w:rPr>
        <w:t>外事接待支出0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9" w:name="_Toc15396610"/>
      <w:bookmarkStart w:id="60" w:name="_Toc15377218"/>
    </w:p>
    <w:p>
      <w:pPr>
        <w:tabs>
          <w:tab w:val="right" w:pos="8306"/>
        </w:tabs>
        <w:spacing w:line="600" w:lineRule="exact"/>
        <w:ind w:firstLine="640"/>
        <w:outlineLvl w:val="1"/>
        <w:rPr>
          <w:rFonts w:hint="eastAsia" w:asciiTheme="majorHAnsi" w:hAnsiTheme="majorHAnsi" w:eastAsiaTheme="majorEastAsia" w:cstheme="majorBidi"/>
          <w:b/>
          <w:bCs/>
          <w:kern w:val="2"/>
          <w:sz w:val="32"/>
          <w:szCs w:val="32"/>
          <w:lang w:val="en-US" w:eastAsia="zh-CN" w:bidi="ar-SA"/>
        </w:rPr>
      </w:pPr>
      <w:bookmarkStart w:id="61" w:name="_Toc2121846568"/>
      <w:r>
        <w:rPr>
          <w:rFonts w:hint="eastAsia" w:asciiTheme="majorHAnsi" w:hAnsiTheme="majorHAnsi" w:eastAsiaTheme="majorEastAsia" w:cstheme="majorBidi"/>
          <w:b/>
          <w:bCs/>
          <w:kern w:val="2"/>
          <w:sz w:val="32"/>
          <w:szCs w:val="32"/>
          <w:lang w:val="en-US" w:eastAsia="zh-CN" w:bidi="ar-SA"/>
        </w:rPr>
        <w:t>八、政府性基金预算支出决算情况说明</w:t>
      </w:r>
      <w:bookmarkEnd w:id="59"/>
      <w:bookmarkEnd w:id="60"/>
      <w:bookmarkEnd w:id="61"/>
    </w:p>
    <w:p>
      <w:pPr>
        <w:spacing w:line="600" w:lineRule="exact"/>
        <w:ind w:firstLine="640"/>
        <w:rPr>
          <w:rFonts w:hint="eastAsia" w:ascii="仿宋_GB2312" w:eastAsia="仿宋_GB2312"/>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highlight w:val="none"/>
          <w:lang w:eastAsia="zh-CN"/>
        </w:rPr>
        <w:t>与</w:t>
      </w:r>
      <w:r>
        <w:rPr>
          <w:rFonts w:hint="eastAsia" w:ascii="仿宋_GB2312" w:eastAsia="仿宋_GB2312"/>
          <w:sz w:val="32"/>
          <w:szCs w:val="32"/>
          <w:highlight w:val="none"/>
          <w:lang w:val="en-US" w:eastAsia="zh-CN"/>
        </w:rPr>
        <w:t>2024年</w:t>
      </w:r>
      <w:r>
        <w:rPr>
          <w:rFonts w:hint="eastAsia" w:ascii="仿宋_GB2312" w:eastAsia="仿宋_GB2312"/>
          <w:sz w:val="32"/>
          <w:szCs w:val="32"/>
          <w:highlight w:val="none"/>
        </w:rPr>
        <w:t>度政府性基金预算财政拨款支出</w:t>
      </w:r>
      <w:r>
        <w:rPr>
          <w:rFonts w:hint="eastAsia" w:ascii="仿宋_GB2312" w:eastAsia="仿宋_GB2312"/>
          <w:sz w:val="32"/>
          <w:szCs w:val="32"/>
          <w:highlight w:val="none"/>
          <w:lang w:val="en-US" w:eastAsia="zh-CN"/>
        </w:rPr>
        <w:t>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Fonts w:hint="eastAsia" w:asciiTheme="majorHAnsi" w:hAnsiTheme="majorHAnsi" w:eastAsiaTheme="majorEastAsia" w:cstheme="majorBidi"/>
          <w:b/>
          <w:bCs/>
          <w:kern w:val="2"/>
          <w:sz w:val="32"/>
          <w:szCs w:val="32"/>
          <w:lang w:val="en-US" w:eastAsia="zh-CN" w:bidi="ar-SA"/>
        </w:rPr>
      </w:pPr>
      <w:bookmarkStart w:id="62" w:name="_Toc952530461"/>
      <w:bookmarkStart w:id="63" w:name="_Toc15396611"/>
      <w:bookmarkStart w:id="64" w:name="_Toc15377219"/>
      <w:r>
        <w:rPr>
          <w:rFonts w:hint="eastAsia" w:asciiTheme="majorHAnsi" w:hAnsiTheme="majorHAnsi" w:eastAsiaTheme="majorEastAsia" w:cstheme="majorBidi"/>
          <w:b/>
          <w:bCs/>
          <w:kern w:val="2"/>
          <w:sz w:val="32"/>
          <w:szCs w:val="32"/>
          <w:lang w:val="en-US" w:eastAsia="zh-CN" w:bidi="ar-SA"/>
        </w:rPr>
        <w:t>九、国有资本经营预算支出决算情况说明</w:t>
      </w:r>
      <w:bookmarkEnd w:id="62"/>
      <w:bookmarkEnd w:id="63"/>
      <w:bookmarkEnd w:id="64"/>
    </w:p>
    <w:p>
      <w:pPr>
        <w:spacing w:line="600" w:lineRule="exact"/>
        <w:ind w:firstLine="640"/>
        <w:rPr>
          <w:rFonts w:hint="default" w:ascii="方正小标宋简体" w:hAnsi="方正小标宋简体" w:eastAsia="仿宋_GB2312" w:cs="方正小标宋简体"/>
          <w:sz w:val="44"/>
          <w:szCs w:val="44"/>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highlight w:val="none"/>
          <w:lang w:eastAsia="zh-CN"/>
        </w:rPr>
        <w:t>与</w:t>
      </w:r>
      <w:r>
        <w:rPr>
          <w:rFonts w:hint="eastAsia" w:ascii="仿宋_GB2312" w:eastAsia="仿宋_GB2312"/>
          <w:sz w:val="32"/>
          <w:szCs w:val="32"/>
          <w:highlight w:val="none"/>
          <w:lang w:val="en-US" w:eastAsia="zh-CN"/>
        </w:rPr>
        <w:t>2024年</w:t>
      </w:r>
      <w:r>
        <w:rPr>
          <w:rFonts w:hint="eastAsia" w:ascii="仿宋_GB2312" w:eastAsia="仿宋_GB2312"/>
          <w:sz w:val="32"/>
          <w:szCs w:val="32"/>
          <w:highlight w:val="none"/>
        </w:rPr>
        <w:t>度</w:t>
      </w:r>
      <w:r>
        <w:rPr>
          <w:rFonts w:hint="eastAsia" w:ascii="仿宋_GB2312" w:eastAsia="仿宋_GB2312"/>
          <w:sz w:val="32"/>
          <w:szCs w:val="32"/>
          <w:highlight w:val="none"/>
          <w:lang w:eastAsia="zh-CN"/>
        </w:rPr>
        <w:t>国有资本经营预算</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Fonts w:hint="eastAsia" w:asciiTheme="majorHAnsi" w:hAnsiTheme="majorHAnsi" w:eastAsiaTheme="majorEastAsia" w:cstheme="majorBidi"/>
          <w:b/>
          <w:bCs/>
          <w:kern w:val="2"/>
          <w:sz w:val="32"/>
          <w:szCs w:val="32"/>
          <w:lang w:val="en-US" w:eastAsia="zh-CN" w:bidi="ar-SA"/>
        </w:rPr>
      </w:pPr>
      <w:bookmarkStart w:id="65" w:name="_Toc1695904658"/>
      <w:bookmarkStart w:id="66" w:name="_Toc15377221"/>
      <w:bookmarkStart w:id="67" w:name="_Toc15396612"/>
      <w:r>
        <w:rPr>
          <w:rFonts w:hint="eastAsia" w:asciiTheme="majorHAnsi" w:hAnsiTheme="majorHAnsi" w:eastAsiaTheme="majorEastAsia" w:cstheme="majorBidi"/>
          <w:b/>
          <w:bCs/>
          <w:kern w:val="2"/>
          <w:sz w:val="32"/>
          <w:szCs w:val="32"/>
          <w:lang w:val="en-US" w:eastAsia="zh-CN" w:bidi="ar-SA"/>
        </w:rPr>
        <w:t>十、其他重要事项的情况说明</w:t>
      </w:r>
      <w:bookmarkEnd w:id="65"/>
      <w:bookmarkEnd w:id="66"/>
      <w:bookmarkEnd w:id="67"/>
    </w:p>
    <w:p>
      <w:pPr>
        <w:pStyle w:val="4"/>
        <w:bidi w:val="0"/>
        <w:rPr>
          <w:rFonts w:hint="eastAsia" w:eastAsia="宋体"/>
        </w:rPr>
      </w:pPr>
      <w:bookmarkStart w:id="68" w:name="_Toc15377222"/>
      <w:r>
        <w:rPr>
          <w:rFonts w:hint="eastAsia" w:eastAsia="宋体"/>
        </w:rPr>
        <w:t>（一）机关运行经费支出情况</w:t>
      </w:r>
      <w:bookmarkEnd w:id="68"/>
    </w:p>
    <w:p>
      <w:pPr>
        <w:spacing w:line="600" w:lineRule="exact"/>
        <w:ind w:firstLine="640" w:firstLineChars="200"/>
        <w:rPr>
          <w:rFonts w:hint="eastAsia" w:ascii="仿宋_GB2312" w:eastAsia="仿宋_GB2312"/>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中共阿坝州若尔盖县党史研究和地方志编纂中心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14.31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highlight w:val="none"/>
          <w:lang w:val="en-US" w:eastAsia="zh-CN"/>
        </w:rPr>
        <w:t>比2024年度增加2.61万元，增加18.23%。主要原因是单位业务增加，开支随之增加</w:t>
      </w:r>
      <w:r>
        <w:rPr>
          <w:rFonts w:hint="eastAsia" w:ascii="仿宋_GB2312" w:eastAsia="仿宋_GB2312"/>
          <w:sz w:val="32"/>
          <w:szCs w:val="32"/>
          <w:highlight w:val="none"/>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bidi w:val="0"/>
        <w:rPr>
          <w:rFonts w:hint="eastAsia" w:eastAsia="宋体"/>
        </w:rPr>
      </w:pPr>
      <w:bookmarkStart w:id="69" w:name="_Toc15377223"/>
      <w:r>
        <w:rPr>
          <w:rFonts w:hint="eastAsia" w:eastAsia="宋体"/>
        </w:rPr>
        <w:t>（二）政府采购支出情况</w:t>
      </w:r>
      <w:bookmarkEnd w:id="69"/>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中共阿坝州若尔盖县党史研究和地方志编纂中心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sz w:val="32"/>
          <w:szCs w:val="32"/>
          <w:highlight w:val="none"/>
        </w:rPr>
        <w:t>其中：政府采购货物支出</w:t>
      </w:r>
      <w:r>
        <w:rPr>
          <w:rFonts w:hint="eastAsia" w:ascii="仿宋" w:eastAsia="仿宋"/>
          <w:b/>
          <w:sz w:val="32"/>
          <w:szCs w:val="32"/>
          <w:highlight w:val="none"/>
        </w:rPr>
        <w:t>0</w:t>
      </w:r>
      <w:r>
        <w:rPr>
          <w:rFonts w:hint="eastAsia" w:ascii="仿宋_GB2312" w:eastAsia="仿宋_GB2312"/>
          <w:sz w:val="32"/>
          <w:szCs w:val="32"/>
          <w:highlight w:val="none"/>
        </w:rPr>
        <w:t>万元、政府采购工程支出</w:t>
      </w:r>
      <w:r>
        <w:rPr>
          <w:rFonts w:hint="eastAsia" w:ascii="仿宋" w:eastAsia="仿宋"/>
          <w:b/>
          <w:sz w:val="32"/>
          <w:szCs w:val="32"/>
          <w:highlight w:val="none"/>
        </w:rPr>
        <w:t>0</w:t>
      </w:r>
      <w:r>
        <w:rPr>
          <w:rFonts w:hint="eastAsia" w:ascii="仿宋_GB2312" w:eastAsia="仿宋_GB2312"/>
          <w:sz w:val="32"/>
          <w:szCs w:val="32"/>
          <w:highlight w:val="none"/>
        </w:rPr>
        <w:t>万元、政府采购服务支出</w:t>
      </w:r>
      <w:r>
        <w:rPr>
          <w:rFonts w:hint="eastAsia" w:ascii="仿宋" w:eastAsia="仿宋"/>
          <w:b/>
          <w:sz w:val="32"/>
          <w:szCs w:val="32"/>
          <w:highlight w:val="none"/>
        </w:rPr>
        <w:t>0</w:t>
      </w:r>
      <w:r>
        <w:rPr>
          <w:rFonts w:hint="eastAsia" w:ascii="仿宋_GB2312" w:eastAsia="仿宋_GB2312"/>
          <w:sz w:val="32"/>
          <w:szCs w:val="32"/>
          <w:highlight w:val="none"/>
        </w:rPr>
        <w:t>万元。授予中小企业合同金额</w:t>
      </w:r>
      <w:r>
        <w:rPr>
          <w:rFonts w:hint="eastAsia" w:ascii="仿宋" w:eastAsia="仿宋"/>
          <w:b/>
          <w:sz w:val="32"/>
          <w:szCs w:val="32"/>
          <w:highlight w:val="none"/>
        </w:rPr>
        <w:t>0</w:t>
      </w:r>
      <w:r>
        <w:rPr>
          <w:rFonts w:hint="eastAsia" w:ascii="仿宋_GB2312" w:eastAsia="仿宋_GB2312"/>
          <w:sz w:val="32"/>
          <w:szCs w:val="32"/>
          <w:highlight w:val="none"/>
        </w:rPr>
        <w:t>万元，占政府采购支出总额的0%，其中：授予小微企业合同金额</w:t>
      </w:r>
      <w:r>
        <w:rPr>
          <w:rFonts w:hint="eastAsia" w:ascii="仿宋" w:eastAsia="仿宋"/>
          <w:b/>
          <w:sz w:val="32"/>
          <w:szCs w:val="32"/>
          <w:highlight w:val="none"/>
        </w:rPr>
        <w:t>0</w:t>
      </w:r>
      <w:r>
        <w:rPr>
          <w:rFonts w:hint="eastAsia" w:ascii="仿宋_GB2312" w:eastAsia="仿宋_GB2312"/>
          <w:sz w:val="32"/>
          <w:szCs w:val="32"/>
          <w:highlight w:val="none"/>
        </w:rPr>
        <w:t>万元，占政府采购支出总额的</w:t>
      </w:r>
      <w:r>
        <w:rPr>
          <w:rFonts w:hint="eastAsia" w:ascii="仿宋_GB2312" w:eastAsia="仿宋_GB2312"/>
          <w:b/>
          <w:sz w:val="32"/>
          <w:szCs w:val="32"/>
          <w:highlight w:val="none"/>
        </w:rPr>
        <w:t>0</w:t>
      </w:r>
      <w:r>
        <w:rPr>
          <w:rFonts w:hint="eastAsia" w:ascii="仿宋_GB2312" w:eastAsia="仿宋_GB2312"/>
          <w:sz w:val="32"/>
          <w:szCs w:val="32"/>
          <w:highlight w:val="none"/>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4"/>
        <w:bidi w:val="0"/>
        <w:rPr>
          <w:rFonts w:hint="eastAsia" w:eastAsia="宋体"/>
        </w:rPr>
      </w:pPr>
      <w:bookmarkStart w:id="70" w:name="_Toc15377224"/>
      <w:r>
        <w:rPr>
          <w:rFonts w:hint="eastAsia" w:eastAsia="宋体"/>
        </w:rPr>
        <w:t>（三）国有资产占有使用情况</w:t>
      </w:r>
      <w:bookmarkEnd w:id="70"/>
    </w:p>
    <w:p>
      <w:pPr>
        <w:spacing w:line="600" w:lineRule="exact"/>
        <w:ind w:firstLine="640"/>
        <w:rPr>
          <w:rFonts w:hint="eastAsia" w:ascii="仿宋_GB2312" w:eastAsia="仿宋_GB2312"/>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中共阿坝州若尔盖县党史研究和地方志编纂中心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ascii="仿宋_GB2312" w:eastAsia="仿宋_GB2312"/>
          <w:sz w:val="32"/>
          <w:szCs w:val="32"/>
          <w:highlight w:val="none"/>
        </w:rPr>
        <w:t>其中：</w:t>
      </w:r>
      <w:r>
        <w:rPr>
          <w:rFonts w:hint="eastAsia" w:ascii="仿宋_GB2312" w:eastAsia="仿宋_GB2312"/>
          <w:sz w:val="32"/>
          <w:szCs w:val="32"/>
          <w:highlight w:val="none"/>
          <w:lang w:eastAsia="zh-CN"/>
        </w:rPr>
        <w:t>公务</w:t>
      </w:r>
      <w:r>
        <w:rPr>
          <w:rFonts w:hint="eastAsia" w:ascii="仿宋_GB2312" w:eastAsia="仿宋_GB2312"/>
          <w:sz w:val="32"/>
          <w:szCs w:val="32"/>
          <w:highlight w:val="none"/>
        </w:rPr>
        <w:t>用车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辆。单价100万元以上设备（不含车辆）</w:t>
      </w:r>
      <w:r>
        <w:rPr>
          <w:rFonts w:hint="eastAsia" w:ascii="仿宋_GB2312" w:eastAsia="仿宋_GB2312"/>
          <w:b/>
          <w:sz w:val="32"/>
          <w:szCs w:val="32"/>
          <w:highlight w:val="none"/>
        </w:rPr>
        <w:t>0</w:t>
      </w:r>
      <w:r>
        <w:rPr>
          <w:rFonts w:hint="eastAsia" w:ascii="仿宋_GB2312" w:eastAsia="仿宋_GB2312"/>
          <w:sz w:val="32"/>
          <w:szCs w:val="32"/>
          <w:highlight w:val="none"/>
        </w:rPr>
        <w:t>台（套）。</w:t>
      </w:r>
    </w:p>
    <w:p>
      <w:pPr>
        <w:spacing w:line="600" w:lineRule="exact"/>
        <w:ind w:firstLine="640"/>
        <w:rPr>
          <w:rFonts w:hint="eastAsia" w:ascii="仿宋_GB2312" w:eastAsia="仿宋_GB2312"/>
          <w:sz w:val="32"/>
          <w:szCs w:val="32"/>
          <w:highlight w:val="none"/>
          <w:lang w:val="en-US" w:eastAsia="zh-CN"/>
        </w:rPr>
      </w:pPr>
    </w:p>
    <w:p>
      <w:pPr>
        <w:pStyle w:val="4"/>
        <w:bidi w:val="0"/>
        <w:rPr>
          <w:rFonts w:hint="eastAsia" w:eastAsia="宋体"/>
        </w:rPr>
      </w:pPr>
      <w:r>
        <w:rPr>
          <w:rFonts w:hint="eastAsia" w:eastAsia="宋体"/>
        </w:rPr>
        <w:t>（四）预算绩效管理情况</w:t>
      </w:r>
    </w:p>
    <w:p>
      <w:pPr>
        <w:spacing w:line="600" w:lineRule="exact"/>
        <w:ind w:firstLine="640" w:firstLineChars="200"/>
        <w:rPr>
          <w:rFonts w:hint="eastAsia" w:ascii="仿宋_GB2312" w:eastAsia="仿宋_GB2312"/>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sz w:val="32"/>
          <w:szCs w:val="32"/>
          <w:highlight w:val="none"/>
        </w:rPr>
        <w:t>本单位在202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年度预算编制阶段，组织对</w:t>
      </w:r>
      <w:r>
        <w:rPr>
          <w:rFonts w:hint="eastAsia" w:ascii="仿宋_GB2312" w:eastAsia="仿宋_GB2312"/>
          <w:sz w:val="32"/>
          <w:szCs w:val="32"/>
          <w:highlight w:val="none"/>
          <w:lang w:eastAsia="zh-CN"/>
        </w:rPr>
        <w:t>《若尔盖年鉴（</w:t>
      </w:r>
      <w:r>
        <w:rPr>
          <w:rFonts w:hint="eastAsia" w:ascii="仿宋_GB2312" w:eastAsia="仿宋_GB2312"/>
          <w:sz w:val="32"/>
          <w:szCs w:val="32"/>
          <w:highlight w:val="none"/>
          <w:lang w:val="en-US" w:eastAsia="zh-CN"/>
        </w:rPr>
        <w:t>2025</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项目等</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个项目开展了预算事前绩效评估，对</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个项目编制了绩效目标</w:t>
      </w:r>
      <w:r>
        <w:rPr>
          <w:rFonts w:hint="eastAsia" w:ascii="仿宋_GB2312" w:eastAsia="仿宋_GB2312"/>
          <w:sz w:val="32"/>
          <w:szCs w:val="32"/>
          <w:highlight w:val="none"/>
          <w:lang w:eastAsia="zh-CN"/>
        </w:rPr>
        <w:t>，在</w:t>
      </w:r>
      <w:r>
        <w:rPr>
          <w:rFonts w:hint="eastAsia" w:ascii="仿宋_GB2312" w:eastAsia="仿宋_GB2312"/>
          <w:sz w:val="32"/>
          <w:szCs w:val="32"/>
          <w:highlight w:val="none"/>
        </w:rPr>
        <w:t>预算执行过程中，选取</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个项目开展绩效监控，组织对</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个项目开展绩效自评，</w:t>
      </w:r>
      <w:r>
        <w:rPr>
          <w:rFonts w:hint="eastAsia" w:ascii="仿宋_GB2312" w:eastAsia="仿宋_GB2312"/>
          <w:sz w:val="32"/>
          <w:szCs w:val="32"/>
          <w:highlight w:val="none"/>
          <w:lang w:val="en-US" w:eastAsia="zh-CN"/>
        </w:rPr>
        <w:t>2025年《部门整体绩效自评报告》</w:t>
      </w:r>
      <w:r>
        <w:rPr>
          <w:rFonts w:hint="eastAsia" w:ascii="仿宋_GB2312" w:eastAsia="仿宋_GB2312"/>
          <w:sz w:val="32"/>
          <w:szCs w:val="32"/>
          <w:highlight w:val="none"/>
        </w:rPr>
        <w:t>详见第四部分附件。</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pStyle w:val="2"/>
        <w:bidi w:val="0"/>
        <w:jc w:val="center"/>
        <w:rPr>
          <w:rFonts w:hint="eastAsia" w:eastAsia="宋体"/>
        </w:rPr>
      </w:pPr>
      <w:bookmarkStart w:id="71" w:name="_Toc15396613"/>
      <w:bookmarkStart w:id="72" w:name="_Toc15377225"/>
      <w:bookmarkStart w:id="73" w:name="_Toc750427114"/>
      <w:r>
        <w:rPr>
          <w:rFonts w:hint="eastAsia" w:eastAsia="宋体"/>
        </w:rPr>
        <w:t>第</w:t>
      </w:r>
      <w:r>
        <w:rPr>
          <w:rFonts w:hint="eastAsia" w:eastAsia="宋体"/>
          <w:lang w:eastAsia="zh-CN"/>
        </w:rPr>
        <w:t>三</w:t>
      </w:r>
      <w:r>
        <w:rPr>
          <w:rFonts w:hint="eastAsia" w:eastAsia="宋体"/>
        </w:rPr>
        <w:t>部分</w:t>
      </w:r>
      <w:r>
        <w:rPr>
          <w:rFonts w:hint="eastAsia" w:eastAsia="宋体"/>
          <w:lang w:val="en-US" w:eastAsia="zh-CN"/>
        </w:rPr>
        <w:t xml:space="preserve">  </w:t>
      </w:r>
      <w:r>
        <w:rPr>
          <w:rFonts w:hint="eastAsia" w:eastAsia="宋体"/>
        </w:rPr>
        <w:t>名词解释</w:t>
      </w:r>
      <w:bookmarkEnd w:id="71"/>
      <w:bookmarkEnd w:id="72"/>
      <w:bookmarkEnd w:id="73"/>
    </w:p>
    <w:p>
      <w:pPr>
        <w:spacing w:line="600" w:lineRule="exact"/>
        <w:jc w:val="left"/>
        <w:rPr>
          <w:rFonts w:ascii="Times New Roman" w:hAnsi="Times New Roman"/>
          <w:b/>
          <w:color w:val="auto"/>
          <w:sz w:val="44"/>
          <w:szCs w:val="44"/>
          <w:highlight w:val="none"/>
        </w:rPr>
      </w:pP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outlineLvl w:val="9"/>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1.财政拨款收入：指单位从同级财政部门取得的财政预算资金。</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shd w:val="clear" w:color="auto" w:fill="FFFFFF"/>
        </w:rPr>
      </w:pPr>
      <w:r>
        <w:rPr>
          <w:rFonts w:hint="eastAsia" w:ascii="仿宋_GB2312" w:eastAsia="仿宋_GB2312"/>
          <w:kern w:val="0"/>
          <w:sz w:val="32"/>
          <w:szCs w:val="32"/>
          <w:highlight w:val="none"/>
          <w:shd w:val="clear" w:color="auto" w:fill="FFFFFF"/>
        </w:rPr>
        <w:t>2.事业收入：指事业单位开展专业业务活动及辅助活动取得的收入。</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shd w:val="clear" w:color="auto" w:fill="FFFFFF"/>
        </w:rPr>
      </w:pPr>
      <w:r>
        <w:rPr>
          <w:rFonts w:hint="eastAsia" w:ascii="仿宋_GB2312" w:eastAsia="仿宋_GB2312"/>
          <w:kern w:val="0"/>
          <w:sz w:val="32"/>
          <w:szCs w:val="32"/>
          <w:highlight w:val="none"/>
          <w:shd w:val="clear" w:color="auto" w:fill="FFFFFF"/>
        </w:rPr>
        <w:t>3.经营收入：指事业单位在专业业务活动及其辅助活动之外开展非独立核算经营活动取得的收入。</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outlineLvl w:val="9"/>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4.其他收入：指单位取得的除上述收入以外的各项收入。</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5.年初结转和结余：指以前年度尚未完成、结转到本年按有关规定继续使用的资金。</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lang w:eastAsia="zh-CN"/>
        </w:rPr>
        <w:t>6.</w:t>
      </w:r>
      <w:r>
        <w:rPr>
          <w:rFonts w:hint="eastAsia" w:ascii="仿宋_GB2312" w:eastAsia="仿宋_GB2312"/>
          <w:kern w:val="0"/>
          <w:sz w:val="32"/>
          <w:szCs w:val="32"/>
          <w:highlight w:val="none"/>
          <w:shd w:val="clear" w:color="auto" w:fill="FFFFFF"/>
        </w:rPr>
        <w:t>年末结转和结余：指单位按有关规定结转到下年或以后年度继续使用的资金。</w:t>
      </w:r>
    </w:p>
    <w:p>
      <w:pPr>
        <w:keepNext w:val="0"/>
        <w:keepLines w:val="0"/>
        <w:pageBreakBefore w:val="0"/>
        <w:widowControl/>
        <w:suppressLineNumbers w:val="0"/>
        <w:suppressAutoHyphens w:val="0"/>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7.一般公共服务2013101：</w:t>
      </w:r>
      <w:r>
        <w:rPr>
          <w:rFonts w:hint="eastAsia" w:ascii="仿宋_GB2312" w:eastAsia="仿宋_GB2312"/>
          <w:kern w:val="0"/>
          <w:sz w:val="32"/>
          <w:szCs w:val="32"/>
          <w:highlight w:val="none"/>
        </w:rPr>
        <w:t>指主要用于单位正常工作运转支出，包括人员工资、日常公务支出</w:t>
      </w:r>
      <w:r>
        <w:rPr>
          <w:rFonts w:hint="eastAsia" w:ascii="仿宋_GB2312" w:eastAsia="仿宋_GB2312"/>
          <w:kern w:val="0"/>
          <w:sz w:val="32"/>
          <w:szCs w:val="32"/>
          <w:highlight w:val="none"/>
          <w:lang w:eastAsia="zh-CN"/>
        </w:rPr>
        <w:t>等。</w:t>
      </w:r>
    </w:p>
    <w:p>
      <w:pPr>
        <w:keepNext w:val="0"/>
        <w:keepLines w:val="0"/>
        <w:pageBreakBefore w:val="0"/>
        <w:widowControl/>
        <w:suppressLineNumbers w:val="0"/>
        <w:suppressAutoHyphens w:val="0"/>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8.社会保障和就业2013101：指主要用于社会保障缴费。</w:t>
      </w:r>
    </w:p>
    <w:p>
      <w:pPr>
        <w:keepNext w:val="0"/>
        <w:keepLines w:val="0"/>
        <w:pageBreakBefore w:val="0"/>
        <w:widowControl/>
        <w:suppressLineNumbers w:val="0"/>
        <w:suppressAutoHyphens w:val="0"/>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9.医疗卫生健康2013101：</w:t>
      </w:r>
      <w:r>
        <w:rPr>
          <w:rFonts w:hint="eastAsia" w:ascii="仿宋_GB2312" w:eastAsia="仿宋_GB2312"/>
          <w:kern w:val="0"/>
          <w:sz w:val="32"/>
          <w:szCs w:val="32"/>
          <w:highlight w:val="none"/>
        </w:rPr>
        <w:t>指单位职工用于缴纳单位基本医疗保险支出。</w:t>
      </w:r>
    </w:p>
    <w:p>
      <w:pPr>
        <w:keepNext w:val="0"/>
        <w:keepLines w:val="0"/>
        <w:pageBreakBefore w:val="0"/>
        <w:widowControl/>
        <w:suppressLineNumbers w:val="0"/>
        <w:suppressAutoHyphens w:val="0"/>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10.住房保障2013101：</w:t>
      </w:r>
      <w:r>
        <w:rPr>
          <w:rFonts w:hint="eastAsia" w:ascii="仿宋_GB2312" w:eastAsia="仿宋_GB2312"/>
          <w:kern w:val="0"/>
          <w:sz w:val="32"/>
          <w:szCs w:val="32"/>
          <w:highlight w:val="none"/>
        </w:rPr>
        <w:t>指单位职工按规定缴存的住房公积金支出等。</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11.基本支出：指为保障机构正常运转、完成日常工作任务而发生的人员支出和公用支出。</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left"/>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12.项目支出：指在基本支出之外为完成特定行政任务和事业发展目标所发生的支出。</w:t>
      </w:r>
    </w:p>
    <w:p>
      <w:pPr>
        <w:pStyle w:val="35"/>
        <w:keepNext w:val="0"/>
        <w:keepLines w:val="0"/>
        <w:pageBreakBefore w:val="0"/>
        <w:widowControl/>
        <w:suppressLineNumbers w:val="0"/>
        <w:suppressAutoHyphens w:val="0"/>
        <w:kinsoku/>
        <w:wordWrap/>
        <w:overflowPunct/>
        <w:topLinePunct w:val="0"/>
        <w:autoSpaceDE/>
        <w:autoSpaceDN/>
        <w:spacing w:before="0" w:beforeAutospacing="0"/>
        <w:ind w:left="0"/>
        <w:jc w:val="both"/>
        <w:rPr>
          <w:rFonts w:hint="eastAsia" w:ascii="仿宋_GB2312" w:eastAsia="仿宋_GB2312"/>
          <w:kern w:val="0"/>
          <w:sz w:val="32"/>
          <w:szCs w:val="32"/>
          <w:highlight w:val="none"/>
        </w:rPr>
      </w:pPr>
      <w:r>
        <w:rPr>
          <w:rFonts w:hint="eastAsia" w:ascii="仿宋_GB2312" w:eastAsia="仿宋_GB2312"/>
          <w:kern w:val="0"/>
          <w:sz w:val="32"/>
          <w:szCs w:val="32"/>
          <w:highlight w:val="none"/>
          <w:shd w:val="clear" w:color="auto" w:fill="FFFFFF"/>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kern w:val="0"/>
          <w:sz w:val="32"/>
          <w:szCs w:val="32"/>
          <w:highlight w:val="none"/>
          <w:shd w:val="clear" w:color="auto" w:fill="FFFFFF"/>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bidi w:val="0"/>
        <w:jc w:val="center"/>
        <w:rPr>
          <w:rStyle w:val="28"/>
          <w:rFonts w:hint="eastAsia" w:ascii="Times New Roman" w:hAnsi="Times New Roman" w:eastAsia="黑体"/>
          <w:b w:val="0"/>
          <w:bCs/>
          <w:color w:val="auto"/>
          <w:highlight w:val="none"/>
          <w:lang w:eastAsia="zh-CN"/>
        </w:rPr>
      </w:pPr>
      <w:bookmarkStart w:id="74"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5" w:name="_Toc15396614"/>
      <w:bookmarkStart w:id="76" w:name="_Toc529992921"/>
      <w:r>
        <w:rPr>
          <w:rFonts w:hint="eastAsia" w:eastAsia="宋体"/>
        </w:rPr>
        <w:t>第四部分</w:t>
      </w:r>
      <w:r>
        <w:rPr>
          <w:rFonts w:hint="eastAsia" w:eastAsia="宋体"/>
          <w:lang w:val="en-US" w:eastAsia="zh-CN"/>
        </w:rPr>
        <w:t xml:space="preserve"> </w:t>
      </w:r>
      <w:r>
        <w:rPr>
          <w:rFonts w:hint="eastAsia" w:eastAsia="宋体"/>
        </w:rPr>
        <w:t xml:space="preserve"> 附件</w:t>
      </w:r>
      <w:bookmarkEnd w:id="75"/>
      <w:bookmarkEnd w:id="7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pStyle w:val="3"/>
        <w:bidi w:val="0"/>
        <w:rPr>
          <w:rFonts w:hint="eastAsia"/>
          <w:lang w:val="en-US" w:eastAsia="zh-CN"/>
        </w:rPr>
      </w:pPr>
      <w:bookmarkStart w:id="77" w:name="_Toc464964933"/>
      <w:r>
        <w:rPr>
          <w:rFonts w:hint="eastAsia"/>
        </w:rPr>
        <w:t>附件</w:t>
      </w:r>
      <w:r>
        <w:rPr>
          <w:rFonts w:hint="eastAsia"/>
          <w:lang w:val="en-US" w:eastAsia="zh-CN"/>
        </w:rPr>
        <w:t>1</w:t>
      </w:r>
      <w:bookmarkEnd w:id="77"/>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sz w:val="32"/>
          <w:szCs w:val="32"/>
          <w:lang w:val="zh-CN" w:eastAsia="zh-CN"/>
        </w:rPr>
        <w:t>若尔盖县党史研究和地方志编纂中心无二级下属单位。</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color w:val="333333"/>
          <w:kern w:val="0"/>
          <w:sz w:val="32"/>
          <w:szCs w:val="32"/>
          <w:highlight w:val="none"/>
          <w:shd w:val="clear" w:color="auto" w:fill="FFFFFF"/>
        </w:rPr>
        <w:t>贯彻落实中央和省、</w:t>
      </w:r>
      <w:r>
        <w:rPr>
          <w:rFonts w:hint="eastAsia" w:ascii="仿宋_GB2312" w:eastAsia="仿宋_GB2312"/>
          <w:color w:val="333333"/>
          <w:kern w:val="0"/>
          <w:sz w:val="32"/>
          <w:szCs w:val="32"/>
          <w:highlight w:val="none"/>
          <w:shd w:val="clear" w:color="auto" w:fill="FFFFFF"/>
          <w:lang w:eastAsia="zh-CN"/>
        </w:rPr>
        <w:t>州</w:t>
      </w:r>
      <w:r>
        <w:rPr>
          <w:rFonts w:hint="eastAsia" w:ascii="仿宋_GB2312" w:eastAsia="仿宋_GB2312"/>
          <w:color w:val="333333"/>
          <w:kern w:val="0"/>
          <w:sz w:val="32"/>
          <w:szCs w:val="32"/>
          <w:highlight w:val="none"/>
          <w:shd w:val="clear" w:color="auto" w:fill="FFFFFF"/>
        </w:rPr>
        <w:t>、</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有关史志工作的方针、政策</w:t>
      </w:r>
      <w:r>
        <w:rPr>
          <w:rFonts w:hint="eastAsia" w:ascii="仿宋_GB2312" w:eastAsia="仿宋_GB2312"/>
          <w:color w:val="333333"/>
          <w:kern w:val="0"/>
          <w:sz w:val="32"/>
          <w:szCs w:val="32"/>
          <w:highlight w:val="none"/>
          <w:shd w:val="clear" w:color="auto" w:fill="FFFFFF"/>
          <w:lang w:eastAsia="zh-CN"/>
        </w:rPr>
        <w:t>，</w:t>
      </w:r>
      <w:r>
        <w:rPr>
          <w:rFonts w:hint="eastAsia" w:ascii="仿宋_GB2312" w:eastAsia="仿宋_GB2312"/>
          <w:color w:val="333333"/>
          <w:kern w:val="0"/>
          <w:sz w:val="32"/>
          <w:szCs w:val="32"/>
          <w:highlight w:val="none"/>
          <w:shd w:val="clear" w:color="auto" w:fill="FFFFFF"/>
        </w:rPr>
        <w:t>制定全县史志工作规划并组织实施。负责征集、整理、编纂</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重要史志资料，收集整理重要口述历史资料，重要党史人物回忆录，收集、整理和研究有关地方史志的信息资料。对征集到的各种资料认真考证、核实、整理、分类编目立卷，实行科学管理。研究、编撰地方史志专著，编辑出版重要史志书刊，如：《若尔盖县年鉴</w:t>
      </w:r>
      <w:r>
        <w:rPr>
          <w:rFonts w:hint="eastAsia" w:ascii="仿宋_GB2312" w:eastAsia="仿宋_GB2312"/>
          <w:color w:val="333333"/>
          <w:kern w:val="0"/>
          <w:sz w:val="32"/>
          <w:szCs w:val="32"/>
          <w:highlight w:val="none"/>
          <w:shd w:val="clear" w:color="auto" w:fill="FFFFFF"/>
          <w:lang w:eastAsia="zh-CN"/>
        </w:rPr>
        <w:t>》《</w:t>
      </w:r>
      <w:r>
        <w:rPr>
          <w:rFonts w:hint="eastAsia" w:ascii="仿宋_GB2312" w:eastAsia="仿宋_GB2312"/>
          <w:color w:val="333333"/>
          <w:kern w:val="0"/>
          <w:sz w:val="32"/>
          <w:szCs w:val="32"/>
          <w:highlight w:val="none"/>
          <w:shd w:val="clear" w:color="auto" w:fill="FFFFFF"/>
        </w:rPr>
        <w:t>执政实录》等。对党的地方历史和县委党史重要人物等进行综合研究，总结历史经验，为党的建设和</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决策提供历史借鉴。发挥“资政育人”职能，用史志研究成果开展爱国主义和革命传统宣传教育活动，围绕</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中心工作，进行专题调查研究，为若尔盖经济社会的更快发展服务。审核拟公开发表或出版的本县以地方史志为主要内容的重要文章、书报、刊物及影视作品；</w:t>
      </w:r>
      <w:r>
        <w:rPr>
          <w:rFonts w:hint="eastAsia" w:ascii="仿宋_GB2312" w:eastAsia="仿宋_GB2312"/>
          <w:color w:val="333333"/>
          <w:kern w:val="0"/>
          <w:sz w:val="32"/>
          <w:szCs w:val="32"/>
          <w:shd w:val="clear" w:color="auto" w:fill="FFFFFF"/>
        </w:rPr>
        <w:t>审查本县涉及</w:t>
      </w:r>
      <w:r>
        <w:rPr>
          <w:rFonts w:hint="eastAsia" w:ascii="仿宋_GB2312" w:eastAsia="仿宋_GB2312"/>
          <w:color w:val="333333"/>
          <w:kern w:val="0"/>
          <w:sz w:val="32"/>
          <w:szCs w:val="32"/>
          <w:highlight w:val="none"/>
          <w:shd w:val="clear" w:color="auto" w:fill="FFFFFF"/>
        </w:rPr>
        <w:t>党史、革命史及革命英烈的展览、纪念馆等。完成</w:t>
      </w:r>
      <w:r>
        <w:rPr>
          <w:rFonts w:hint="eastAsia" w:ascii="仿宋_GB2312" w:eastAsia="仿宋_GB2312"/>
          <w:color w:val="333333"/>
          <w:kern w:val="0"/>
          <w:sz w:val="32"/>
          <w:szCs w:val="32"/>
          <w:highlight w:val="none"/>
          <w:shd w:val="clear" w:color="auto" w:fill="FFFFFF"/>
          <w:lang w:eastAsia="zh-CN"/>
        </w:rPr>
        <w:t>县委、县政府</w:t>
      </w:r>
      <w:r>
        <w:rPr>
          <w:rFonts w:hint="eastAsia" w:ascii="仿宋_GB2312" w:eastAsia="仿宋_GB2312"/>
          <w:color w:val="333333"/>
          <w:kern w:val="0"/>
          <w:sz w:val="32"/>
          <w:szCs w:val="32"/>
          <w:highlight w:val="none"/>
          <w:shd w:val="clear" w:color="auto" w:fill="FFFFFF"/>
        </w:rPr>
        <w:t>和上级史志部门交办的各项工作</w:t>
      </w:r>
      <w:r>
        <w:rPr>
          <w:rFonts w:hint="eastAsia" w:ascii="仿宋_GB2312" w:eastAsia="仿宋_GB2312"/>
          <w:color w:val="333333"/>
          <w:kern w:val="0"/>
          <w:sz w:val="32"/>
          <w:szCs w:val="32"/>
          <w:highlight w:val="none"/>
          <w:shd w:val="clear" w:color="auto" w:fill="FFFFFF"/>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zh-CN" w:eastAsia="zh-CN"/>
        </w:rPr>
        <w:t>本单位人事核定有行政编制8人，其中公务员（参公人员）7人，工勤1人，是独立核算的机构，是独立编报预算的单位，现在职8人，其中公务员（参公人员）7人，工勤1人。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spacing w:line="600" w:lineRule="exact"/>
        <w:ind w:firstLine="642" w:firstLineChars="200"/>
        <w:outlineLvl w:val="9"/>
        <w:rPr>
          <w:rFonts w:hint="eastAsia" w:ascii="仿宋" w:hAnsi="Times New Roman" w:eastAsia="仿宋" w:cs="Times New Roman"/>
          <w:sz w:val="32"/>
          <w:szCs w:val="32"/>
          <w:highlight w:val="none"/>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 w:hAnsi="Times New Roman" w:eastAsia="仿宋" w:cs="Times New Roman"/>
          <w:sz w:val="32"/>
          <w:szCs w:val="32"/>
          <w:highlight w:val="none"/>
        </w:rPr>
        <w:t>202</w:t>
      </w:r>
      <w:r>
        <w:rPr>
          <w:rFonts w:hint="eastAsia" w:ascii="仿宋" w:hAnsi="Times New Roman" w:eastAsia="仿宋" w:cs="Times New Roman"/>
          <w:sz w:val="32"/>
          <w:szCs w:val="32"/>
          <w:highlight w:val="none"/>
          <w:lang w:val="en-US" w:eastAsia="zh-CN"/>
        </w:rPr>
        <w:t>5</w:t>
      </w:r>
      <w:r>
        <w:rPr>
          <w:rFonts w:hint="eastAsia" w:ascii="仿宋" w:hAnsi="Times New Roman" w:eastAsia="仿宋" w:cs="Times New Roman"/>
          <w:sz w:val="32"/>
          <w:szCs w:val="32"/>
          <w:highlight w:val="none"/>
        </w:rPr>
        <w:t>年度本年收入合计</w:t>
      </w:r>
      <w:r>
        <w:rPr>
          <w:rFonts w:hint="eastAsia" w:ascii="仿宋" w:hAnsi="Times New Roman" w:eastAsia="仿宋" w:cs="Times New Roman"/>
          <w:b/>
          <w:sz w:val="32"/>
          <w:szCs w:val="32"/>
          <w:highlight w:val="none"/>
          <w:lang w:val="en-US" w:eastAsia="zh-CN"/>
        </w:rPr>
        <w:t>219.74</w:t>
      </w:r>
      <w:r>
        <w:rPr>
          <w:rFonts w:hint="eastAsia" w:ascii="仿宋" w:hAnsi="Times New Roman" w:eastAsia="仿宋" w:cs="Times New Roman"/>
          <w:sz w:val="32"/>
          <w:szCs w:val="32"/>
          <w:highlight w:val="none"/>
        </w:rPr>
        <w:t>万元，其中：一般公共预算财政拨款收入</w:t>
      </w:r>
      <w:r>
        <w:rPr>
          <w:rFonts w:hint="eastAsia" w:ascii="仿宋" w:hAnsi="Times New Roman" w:eastAsia="仿宋" w:cs="Times New Roman"/>
          <w:b/>
          <w:sz w:val="32"/>
          <w:szCs w:val="32"/>
          <w:highlight w:val="none"/>
          <w:lang w:val="en-US" w:eastAsia="zh-CN"/>
        </w:rPr>
        <w:t>219.74</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100%</w:t>
      </w:r>
      <w:r>
        <w:rPr>
          <w:rFonts w:hint="eastAsia" w:ascii="仿宋" w:hAnsi="Times New Roman" w:eastAsia="仿宋" w:cs="Times New Roman"/>
          <w:sz w:val="32"/>
          <w:szCs w:val="32"/>
          <w:highlight w:val="none"/>
        </w:rPr>
        <w:t>；政府性基金预算财政拨款收入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%；国有资本经营预算财政拨款收入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%；上级补助收入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万元，占0%；事业收入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%；经营收入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%；附属单位上缴收入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%；其他收入</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万元，占</w:t>
      </w:r>
      <w:r>
        <w:rPr>
          <w:rFonts w:hint="eastAsia" w:ascii="仿宋" w:hAnsi="Times New Roman" w:eastAsia="仿宋" w:cs="Times New Roman"/>
          <w:b/>
          <w:sz w:val="32"/>
          <w:szCs w:val="32"/>
          <w:highlight w:val="none"/>
        </w:rPr>
        <w:t>0</w:t>
      </w:r>
      <w:r>
        <w:rPr>
          <w:rFonts w:hint="eastAsia" w:ascii="仿宋" w:hAnsi="Times New Roman" w:eastAsia="仿宋" w:cs="Times New Roman"/>
          <w:sz w:val="32"/>
          <w:szCs w:val="32"/>
          <w:highlight w:val="none"/>
        </w:rPr>
        <w:t>%</w:t>
      </w:r>
      <w:r>
        <w:rPr>
          <w:rFonts w:hint="eastAsia" w:ascii="仿宋" w:hAnsi="Times New Roman" w:eastAsia="仿宋" w:cs="Times New Roman"/>
          <w:sz w:val="32"/>
          <w:szCs w:val="32"/>
          <w:highlight w:val="none"/>
          <w:lang w:eastAsia="zh-CN"/>
        </w:rPr>
        <w:t>。</w:t>
      </w:r>
    </w:p>
    <w:p>
      <w:pPr>
        <w:spacing w:line="600" w:lineRule="exact"/>
        <w:ind w:firstLine="642" w:firstLineChars="200"/>
        <w:outlineLvl w:val="9"/>
        <w:rPr>
          <w:rFonts w:hint="eastAsia" w:ascii="仿宋" w:eastAsia="仿宋"/>
          <w:sz w:val="32"/>
          <w:szCs w:val="32"/>
          <w:highlight w:val="none"/>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 w:eastAsia="仿宋"/>
          <w:sz w:val="32"/>
          <w:szCs w:val="32"/>
          <w:highlight w:val="none"/>
        </w:rPr>
        <w:t>202</w:t>
      </w:r>
      <w:r>
        <w:rPr>
          <w:rFonts w:hint="eastAsia" w:ascii="仿宋" w:eastAsia="仿宋"/>
          <w:sz w:val="32"/>
          <w:szCs w:val="32"/>
          <w:highlight w:val="none"/>
          <w:lang w:val="en-US" w:eastAsia="zh-CN"/>
        </w:rPr>
        <w:t>5</w:t>
      </w:r>
      <w:r>
        <w:rPr>
          <w:rFonts w:hint="eastAsia" w:ascii="仿宋" w:eastAsia="仿宋"/>
          <w:sz w:val="32"/>
          <w:szCs w:val="32"/>
          <w:highlight w:val="none"/>
        </w:rPr>
        <w:t>年度本年支出合计</w:t>
      </w:r>
      <w:r>
        <w:rPr>
          <w:rFonts w:hint="eastAsia" w:ascii="仿宋" w:eastAsia="仿宋"/>
          <w:b/>
          <w:sz w:val="32"/>
          <w:szCs w:val="32"/>
          <w:highlight w:val="none"/>
          <w:lang w:val="en-US" w:eastAsia="zh-CN"/>
        </w:rPr>
        <w:t>491.25</w:t>
      </w:r>
      <w:r>
        <w:rPr>
          <w:rFonts w:hint="eastAsia" w:ascii="仿宋" w:eastAsia="仿宋"/>
          <w:sz w:val="32"/>
          <w:szCs w:val="32"/>
          <w:highlight w:val="none"/>
        </w:rPr>
        <w:t>万元，其中：基本支出</w:t>
      </w:r>
      <w:r>
        <w:rPr>
          <w:rFonts w:hint="eastAsia" w:ascii="仿宋" w:eastAsia="仿宋"/>
          <w:sz w:val="32"/>
          <w:szCs w:val="32"/>
          <w:highlight w:val="none"/>
          <w:lang w:val="en-US" w:eastAsia="zh-CN"/>
        </w:rPr>
        <w:t>219.74</w:t>
      </w:r>
      <w:r>
        <w:rPr>
          <w:rFonts w:hint="eastAsia" w:ascii="仿宋" w:eastAsia="仿宋"/>
          <w:sz w:val="32"/>
          <w:szCs w:val="32"/>
          <w:highlight w:val="none"/>
        </w:rPr>
        <w:t>万元，占</w:t>
      </w:r>
      <w:r>
        <w:rPr>
          <w:rFonts w:hint="eastAsia" w:ascii="仿宋" w:eastAsia="仿宋"/>
          <w:b/>
          <w:sz w:val="32"/>
          <w:szCs w:val="32"/>
          <w:highlight w:val="none"/>
          <w:lang w:val="en-US" w:eastAsia="zh-CN"/>
        </w:rPr>
        <w:t>44.73</w:t>
      </w:r>
      <w:r>
        <w:rPr>
          <w:rFonts w:hint="eastAsia" w:ascii="仿宋" w:eastAsia="仿宋"/>
          <w:sz w:val="32"/>
          <w:szCs w:val="32"/>
          <w:highlight w:val="none"/>
        </w:rPr>
        <w:t>%；项目支出</w:t>
      </w:r>
      <w:r>
        <w:rPr>
          <w:rFonts w:hint="eastAsia" w:ascii="仿宋" w:eastAsia="仿宋"/>
          <w:b/>
          <w:sz w:val="32"/>
          <w:szCs w:val="32"/>
          <w:highlight w:val="none"/>
          <w:lang w:val="en-US" w:eastAsia="zh-CN"/>
        </w:rPr>
        <w:t>271.51</w:t>
      </w:r>
      <w:r>
        <w:rPr>
          <w:rFonts w:hint="eastAsia" w:ascii="仿宋" w:eastAsia="仿宋"/>
          <w:sz w:val="32"/>
          <w:szCs w:val="32"/>
          <w:highlight w:val="none"/>
        </w:rPr>
        <w:t>万元，占</w:t>
      </w:r>
      <w:r>
        <w:rPr>
          <w:rFonts w:hint="eastAsia" w:ascii="仿宋" w:eastAsia="仿宋"/>
          <w:b/>
          <w:sz w:val="32"/>
          <w:szCs w:val="32"/>
          <w:highlight w:val="none"/>
          <w:lang w:val="en-US" w:eastAsia="zh-CN"/>
        </w:rPr>
        <w:t>55.27</w:t>
      </w:r>
      <w:r>
        <w:rPr>
          <w:rFonts w:hint="eastAsia" w:ascii="仿宋" w:eastAsia="仿宋"/>
          <w:sz w:val="32"/>
          <w:szCs w:val="32"/>
          <w:highlight w:val="none"/>
        </w:rPr>
        <w:t>%；上缴上级支出</w:t>
      </w:r>
      <w:r>
        <w:rPr>
          <w:rFonts w:hint="eastAsia" w:ascii="仿宋" w:eastAsia="仿宋"/>
          <w:b/>
          <w:sz w:val="32"/>
          <w:szCs w:val="32"/>
          <w:highlight w:val="none"/>
        </w:rPr>
        <w:t>0</w:t>
      </w:r>
      <w:r>
        <w:rPr>
          <w:rFonts w:hint="eastAsia" w:ascii="仿宋" w:eastAsia="仿宋"/>
          <w:sz w:val="32"/>
          <w:szCs w:val="32"/>
          <w:highlight w:val="none"/>
        </w:rPr>
        <w:t>万元，占</w:t>
      </w:r>
      <w:r>
        <w:rPr>
          <w:rFonts w:hint="eastAsia" w:ascii="仿宋" w:eastAsia="仿宋"/>
          <w:b/>
          <w:sz w:val="32"/>
          <w:szCs w:val="32"/>
          <w:highlight w:val="none"/>
        </w:rPr>
        <w:t>0</w:t>
      </w:r>
      <w:r>
        <w:rPr>
          <w:rFonts w:hint="eastAsia" w:ascii="仿宋" w:eastAsia="仿宋"/>
          <w:sz w:val="32"/>
          <w:szCs w:val="32"/>
          <w:highlight w:val="none"/>
        </w:rPr>
        <w:t>%；经营支出</w:t>
      </w:r>
      <w:r>
        <w:rPr>
          <w:rFonts w:hint="eastAsia" w:ascii="仿宋" w:eastAsia="仿宋"/>
          <w:b/>
          <w:sz w:val="32"/>
          <w:szCs w:val="32"/>
          <w:highlight w:val="none"/>
        </w:rPr>
        <w:t>0</w:t>
      </w:r>
      <w:r>
        <w:rPr>
          <w:rFonts w:hint="eastAsia" w:ascii="仿宋" w:eastAsia="仿宋"/>
          <w:sz w:val="32"/>
          <w:szCs w:val="32"/>
          <w:highlight w:val="none"/>
        </w:rPr>
        <w:t>万元，占</w:t>
      </w:r>
      <w:r>
        <w:rPr>
          <w:rFonts w:hint="eastAsia" w:ascii="仿宋" w:eastAsia="仿宋"/>
          <w:b/>
          <w:sz w:val="32"/>
          <w:szCs w:val="32"/>
          <w:highlight w:val="none"/>
        </w:rPr>
        <w:t>0</w:t>
      </w:r>
      <w:r>
        <w:rPr>
          <w:rFonts w:hint="eastAsia" w:ascii="仿宋" w:eastAsia="仿宋"/>
          <w:sz w:val="32"/>
          <w:szCs w:val="32"/>
          <w:highlight w:val="none"/>
        </w:rPr>
        <w:t>%；对附属单位补助支出</w:t>
      </w:r>
      <w:r>
        <w:rPr>
          <w:rFonts w:hint="eastAsia" w:ascii="仿宋" w:eastAsia="仿宋"/>
          <w:b/>
          <w:sz w:val="32"/>
          <w:szCs w:val="32"/>
          <w:highlight w:val="none"/>
        </w:rPr>
        <w:t>0</w:t>
      </w:r>
      <w:r>
        <w:rPr>
          <w:rFonts w:hint="eastAsia" w:ascii="仿宋" w:eastAsia="仿宋"/>
          <w:sz w:val="32"/>
          <w:szCs w:val="32"/>
          <w:highlight w:val="none"/>
        </w:rPr>
        <w:t>万元，占</w:t>
      </w:r>
      <w:r>
        <w:rPr>
          <w:rFonts w:hint="eastAsia" w:ascii="仿宋" w:eastAsia="仿宋"/>
          <w:b/>
          <w:sz w:val="32"/>
          <w:szCs w:val="32"/>
          <w:highlight w:val="none"/>
        </w:rPr>
        <w:t>0</w:t>
      </w:r>
      <w:r>
        <w:rPr>
          <w:rFonts w:hint="eastAsia" w:ascii="仿宋" w:eastAsia="仿宋"/>
          <w:sz w:val="32"/>
          <w:szCs w:val="32"/>
          <w:highlight w:val="none"/>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若尔盖县党史研究和地方志编纂中心无结转结余</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本单位为财政全额拨款事业单位，主要承担地方党史、地方志、执政实录、年鉴编纂，</w:t>
      </w:r>
      <w:r>
        <w:rPr>
          <w:rFonts w:hint="eastAsia" w:eastAsia="仿宋_GB2312" w:cs="仿宋_GB2312"/>
          <w:color w:val="auto"/>
          <w:kern w:val="2"/>
          <w:sz w:val="32"/>
          <w:szCs w:val="32"/>
          <w:highlight w:val="none"/>
          <w:lang w:val="zh-CN" w:eastAsia="zh-CN" w:bidi="ar-SA"/>
        </w:rPr>
        <w:t>党史学习教育</w:t>
      </w:r>
      <w:r>
        <w:rPr>
          <w:rFonts w:hint="default" w:ascii="Times New Roman" w:hAnsi="Times New Roman" w:eastAsia="仿宋_GB2312" w:cs="仿宋_GB2312"/>
          <w:color w:val="auto"/>
          <w:kern w:val="2"/>
          <w:sz w:val="32"/>
          <w:szCs w:val="32"/>
          <w:highlight w:val="none"/>
          <w:lang w:val="zh-CN" w:eastAsia="zh-CN" w:bidi="ar-SA"/>
        </w:rPr>
        <w:t>（党史“七进”）、红色史料征集保管、史志资料开发利用等工作职责。本年度部门预算围绕史志编纂、史料征集、党史宣讲、阵地建设、办公运行等项目编制，严格落实预算绩效管理要求，做到绩效目标与部门职责匹配。全年预算资金基本保障单位正常运转和重点史志项目实施，预算绩效总体达到预期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履职效能。部门整体绩效目标中选定3-5个核心职能目标，对职能目标完成效果情况绩效分析。聚焦主责主业，</w:t>
      </w:r>
      <w:r>
        <w:rPr>
          <w:rFonts w:hint="eastAsia" w:ascii="Times New Roman" w:hAnsi="Times New Roman" w:eastAsia="仿宋_GB2312" w:cs="仿宋_GB2312"/>
          <w:b w:val="0"/>
          <w:bCs w:val="0"/>
          <w:kern w:val="0"/>
          <w:position w:val="0"/>
          <w:sz w:val="32"/>
          <w:szCs w:val="32"/>
          <w:highlight w:val="none"/>
          <w:lang w:val="zh-CN" w:eastAsia="zh-CN" w:bidi="ar-SA"/>
        </w:rPr>
        <w:t>党史“七进”宣教、</w:t>
      </w:r>
      <w:r>
        <w:rPr>
          <w:rFonts w:hint="eastAsia" w:ascii="Times New Roman" w:hAnsi="Times New Roman" w:eastAsia="仿宋_GB2312" w:cs="仿宋_GB2312"/>
          <w:color w:val="auto"/>
          <w:kern w:val="2"/>
          <w:sz w:val="32"/>
          <w:szCs w:val="32"/>
          <w:highlight w:val="none"/>
          <w:lang w:val="zh-CN" w:eastAsia="zh-CN" w:bidi="ar-SA"/>
        </w:rPr>
        <w:t>年鉴、执政实录编纂；持续开展党史“七进”宣讲、红色史料征集、口述历史采集重点工作，按计划完成书籍审稿、图片审核、基层宣讲、资料归档等年度任务，红色文化宣传覆盖面持续扩大，较好完成年度履职目标，服务全县党史学习教育、铸牢中华民族共同体意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是部分项目受基层统筹协调、下乡调研周期影响，个别子项目实施进度不均衡；二是绩效产出偏重于完成活动场次、书籍数量，效益类指标（群众满意度、红色资源利用转化成效）量化不足；三是党史宣讲、史料征集等项目成果转化深度有待提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。严格执行预算编制、绩效目标申报、预算执行、绩效监控流程，按规定开展绩效运行监控，及时跟踪项目资金支出进度；重大项目事前设置绩效目标，资金拨付按财政流程办理，无无预算、超预算支出情况。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是部分项目前期调研不够充分，个别项目预算编制精细化程度有待加强；二是项目资金执行进度存在前慢后快现象，绩效监控分析深度不足，对执行偏差预警不够及时；三是绩效自评质量有待提升，指标设置可量化程度不够。</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。严格执行《政府会计制度》及财经纪律，规范会计核算、费用报销、凭证审核；落实资金专款专用，项目资金与日常运行经费分开核算；按时完成账务处理、部门决算、财务公开，财务审批流程完整规范。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一是财务与业务股室联动不够紧密，业务项目实施计划与资金支出计划衔接不够；二是财务绩效分析偏重于数据统计，对项目资金投入产出效益分析不够深入；三是财务档案精细化管理仍有提升空间。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落实行政事业单位国有资产管理规定，建立资产台账，做好办公设备、电脑、相机、图书史料、影像设备等资产登记、领用管理；定期开展资产盘点，资产处置、调拨按规定报批，做到账实基本相符，资产主要用于史志编纂、史料拍摄、日常办公。</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一是部分老旧资产使用效能评估不足；二是图书、珍贵史料等特殊资产分类管理、数字化登记不够完善；三是资产共享共用机制不健全，闲置资产盘活利用不足。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。严格执行政府采购法律法规，展板制作、资料印刷、设备购置、服务外包等采购事项，按采购目录及限额标准实施采购，履行采购报批流程，采购程序合规；采购项目按合同约定验收、付款。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一是部分零星采购计划前瞻性不足，采购计划编制不够细化；二是采购项目履约验收指标偏重于数量验收，对服务质量、成果质量的绩效验收不够细化；三是采购档案归集整理有待进一步规范。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47</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159</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项目决策。本年度实施</w:t>
      </w:r>
      <w:r>
        <w:rPr>
          <w:rFonts w:hint="eastAsia" w:ascii="Times New Roman" w:hAnsi="Times New Roman" w:eastAsia="仿宋_GB2312" w:cs="仿宋_GB2312"/>
          <w:b w:val="0"/>
          <w:bCs w:val="0"/>
          <w:kern w:val="0"/>
          <w:position w:val="0"/>
          <w:sz w:val="32"/>
          <w:szCs w:val="32"/>
          <w:highlight w:val="none"/>
          <w:lang w:val="zh-CN" w:eastAsia="zh-CN" w:bidi="ar-SA"/>
        </w:rPr>
        <w:t>党史“七进”宣教、</w:t>
      </w:r>
      <w:r>
        <w:rPr>
          <w:rFonts w:hint="eastAsia" w:eastAsia="仿宋_GB2312" w:cs="仿宋_GB2312"/>
          <w:color w:val="auto"/>
          <w:kern w:val="2"/>
          <w:sz w:val="32"/>
          <w:szCs w:val="32"/>
          <w:highlight w:val="none"/>
          <w:lang w:val="zh-CN" w:eastAsia="zh-CN" w:bidi="ar-SA"/>
        </w:rPr>
        <w:t>若尔盖县执政实录</w:t>
      </w:r>
      <w:r>
        <w:rPr>
          <w:rFonts w:hint="eastAsia" w:ascii="Times New Roman" w:hAnsi="Times New Roman" w:eastAsia="仿宋_GB2312" w:cs="仿宋_GB2312"/>
          <w:color w:val="auto"/>
          <w:kern w:val="2"/>
          <w:sz w:val="32"/>
          <w:szCs w:val="32"/>
          <w:highlight w:val="none"/>
          <w:lang w:val="zh-CN" w:eastAsia="zh-CN" w:bidi="ar-SA"/>
        </w:rPr>
        <w:t>、年鉴编纂、口述历史</w:t>
      </w:r>
      <w:r>
        <w:rPr>
          <w:rFonts w:hint="eastAsia" w:eastAsia="仿宋_GB2312" w:cs="仿宋_GB2312"/>
          <w:color w:val="auto"/>
          <w:kern w:val="2"/>
          <w:sz w:val="32"/>
          <w:szCs w:val="32"/>
          <w:highlight w:val="none"/>
          <w:lang w:val="zh-CN" w:eastAsia="zh-CN" w:bidi="ar-SA"/>
        </w:rPr>
        <w:t>拍摄</w:t>
      </w:r>
      <w:r>
        <w:rPr>
          <w:rFonts w:hint="eastAsia" w:ascii="Times New Roman" w:hAnsi="Times New Roman" w:eastAsia="仿宋_GB2312" w:cs="仿宋_GB2312"/>
          <w:color w:val="auto"/>
          <w:kern w:val="2"/>
          <w:sz w:val="32"/>
          <w:szCs w:val="32"/>
          <w:highlight w:val="none"/>
          <w:lang w:val="zh-CN" w:eastAsia="zh-CN" w:bidi="ar-SA"/>
        </w:rPr>
        <w:t>等项目，各项目立项均依据《党史学习教育工作条例》《地方志工作条例》及省、州、县相关工作安排，立项依据充分，契合县史志中心法定职能。项目前期开展业务需求调研，所有项目均经单位班子会议集体研究审议，履行内部决策程序，决策流程规范。各项目按要求设置绩效目标，绩效目标与项目任务基本匹配。</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存在问题：部分项目前期可行性论证深度不足，社会效益类指标量化难度大；个别项目对实施过程中不确定因素预判不足。</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。本年度</w:t>
      </w:r>
      <w:r>
        <w:rPr>
          <w:rFonts w:hint="eastAsia" w:eastAsia="仿宋_GB2312" w:cs="仿宋_GB2312"/>
          <w:color w:val="auto"/>
          <w:kern w:val="2"/>
          <w:sz w:val="32"/>
          <w:szCs w:val="32"/>
          <w:highlight w:val="none"/>
          <w:lang w:val="zh-CN" w:eastAsia="zh-CN" w:bidi="ar-SA"/>
        </w:rPr>
        <w:t>实施执政实录编纂</w:t>
      </w:r>
      <w:r>
        <w:rPr>
          <w:rFonts w:hint="eastAsia" w:ascii="Times New Roman" w:hAnsi="Times New Roman" w:eastAsia="仿宋_GB2312" w:cs="仿宋_GB2312"/>
          <w:color w:val="auto"/>
          <w:kern w:val="2"/>
          <w:sz w:val="32"/>
          <w:szCs w:val="32"/>
          <w:highlight w:val="none"/>
          <w:lang w:val="zh-CN" w:eastAsia="zh-CN" w:bidi="ar-SA"/>
        </w:rPr>
        <w:t>、《若尔盖年鉴》编纂、口述历史采集等项目，均成立项目工作专班，明确责任股室、责任人及时间节点，建立工作台账统筹推进项目实施。项目严格按照实施方案、采购合同约定内容组织开展，落实编审、保密、史实审核等质量管控机制，项目实施过程规范。项目资金按照预算用途执行，专款专用，资金拨付履行审批程序。各项目基本按照年度计划推进，大部分任务按期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存在不足：一是个别项目受下乡调研、多部门协同等因素影响，阶段性进度不均衡；二是项目过程资料收集归集不够及时，影像、佐证资料整理不够系统；三是项目动态跟踪管控力度有待加强，对实施过程中的风险预判和应对措施不够完善。</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目标实现。各项目总体完成年度绩效目标，</w:t>
      </w:r>
      <w:r>
        <w:rPr>
          <w:rFonts w:hint="eastAsia" w:eastAsia="仿宋_GB2312" w:cs="仿宋_GB2312"/>
          <w:color w:val="auto"/>
          <w:kern w:val="2"/>
          <w:sz w:val="32"/>
          <w:szCs w:val="32"/>
          <w:highlight w:val="none"/>
          <w:lang w:val="zh-CN" w:eastAsia="zh-CN" w:bidi="ar-SA"/>
        </w:rPr>
        <w:t>目标未偏离，</w:t>
      </w:r>
      <w:r>
        <w:rPr>
          <w:rFonts w:hint="eastAsia" w:ascii="Times New Roman" w:hAnsi="Times New Roman" w:eastAsia="仿宋_GB2312" w:cs="仿宋_GB2312"/>
          <w:color w:val="auto"/>
          <w:kern w:val="2"/>
          <w:sz w:val="32"/>
          <w:szCs w:val="32"/>
          <w:highlight w:val="none"/>
          <w:lang w:val="zh-CN" w:eastAsia="zh-CN" w:bidi="ar-SA"/>
        </w:rPr>
        <w:t>按计划完成</w:t>
      </w:r>
      <w:r>
        <w:rPr>
          <w:rFonts w:hint="eastAsia" w:eastAsia="仿宋_GB2312" w:cs="仿宋_GB2312"/>
          <w:color w:val="auto"/>
          <w:kern w:val="2"/>
          <w:sz w:val="32"/>
          <w:szCs w:val="32"/>
          <w:highlight w:val="none"/>
          <w:lang w:val="zh-CN" w:eastAsia="zh-CN" w:bidi="ar-SA"/>
        </w:rPr>
        <w:t>执政实录和</w:t>
      </w:r>
      <w:r>
        <w:rPr>
          <w:rFonts w:hint="eastAsia" w:ascii="Times New Roman" w:hAnsi="Times New Roman" w:eastAsia="仿宋_GB2312" w:cs="仿宋_GB2312"/>
          <w:color w:val="auto"/>
          <w:kern w:val="2"/>
          <w:sz w:val="32"/>
          <w:szCs w:val="32"/>
          <w:highlight w:val="none"/>
          <w:lang w:val="zh-CN" w:eastAsia="zh-CN" w:bidi="ar-SA"/>
        </w:rPr>
        <w:t>年鉴编纂、口述</w:t>
      </w:r>
      <w:r>
        <w:rPr>
          <w:rFonts w:hint="eastAsia" w:eastAsia="仿宋_GB2312" w:cs="仿宋_GB2312"/>
          <w:color w:val="auto"/>
          <w:kern w:val="2"/>
          <w:sz w:val="32"/>
          <w:szCs w:val="32"/>
          <w:highlight w:val="none"/>
          <w:lang w:val="zh-CN" w:eastAsia="zh-CN" w:bidi="ar-SA"/>
        </w:rPr>
        <w:t>历史片拍摄</w:t>
      </w:r>
      <w:r>
        <w:rPr>
          <w:rFonts w:hint="eastAsia" w:ascii="Times New Roman" w:hAnsi="Times New Roman" w:eastAsia="仿宋_GB2312" w:cs="仿宋_GB2312"/>
          <w:color w:val="auto"/>
          <w:kern w:val="2"/>
          <w:sz w:val="32"/>
          <w:szCs w:val="32"/>
          <w:highlight w:val="none"/>
          <w:lang w:val="zh-CN" w:eastAsia="zh-CN" w:bidi="ar-SA"/>
        </w:rPr>
        <w:t>等任务，项目产出基本达标，实现预期社会效益。存在社会效益指标量化困难，成果深度转化不足，满意度佐证材料不够充分等问题。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2025年，我单位不存在</w:t>
      </w:r>
      <w:r>
        <w:rPr>
          <w:rFonts w:hint="default" w:ascii="Times New Roman" w:hAnsi="Times New Roman" w:eastAsia="仿宋_GB2312" w:cs="仿宋_GB2312"/>
          <w:color w:val="auto"/>
          <w:kern w:val="2"/>
          <w:sz w:val="32"/>
          <w:szCs w:val="32"/>
          <w:highlight w:val="none"/>
          <w:lang w:val="en-US" w:eastAsia="zh-CN" w:bidi="ar-SA"/>
        </w:rPr>
        <w:t>省级部门一般公共预算、政府性基金预算、国有资本经营预算安排的常年项目</w:t>
      </w:r>
      <w:r>
        <w:rPr>
          <w:rFonts w:hint="eastAsia" w:eastAsia="仿宋_GB2312" w:cs="仿宋_GB2312"/>
          <w:color w:val="auto"/>
          <w:kern w:val="2"/>
          <w:sz w:val="32"/>
          <w:szCs w:val="32"/>
          <w:highlight w:val="none"/>
          <w:lang w:val="en-US" w:eastAsia="zh-CN" w:bidi="ar-SA"/>
        </w:rPr>
        <w:t>和</w:t>
      </w:r>
      <w:r>
        <w:rPr>
          <w:rFonts w:hint="default" w:ascii="Times New Roman" w:hAnsi="Times New Roman" w:eastAsia="仿宋_GB2312" w:cs="仿宋_GB2312"/>
          <w:color w:val="auto"/>
          <w:kern w:val="2"/>
          <w:sz w:val="32"/>
          <w:szCs w:val="32"/>
          <w:highlight w:val="none"/>
          <w:lang w:val="en-US" w:eastAsia="zh-CN" w:bidi="ar-SA"/>
        </w:rPr>
        <w:t>阶段项目</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应用于内部预算编制、业务股室工作管理，为后续项目立项、绩效指标优化提供支撑；按财政要求开展绩效信息公开，落实保密审查；针对绩效评价发现问题建立整改台账，及时反馈业务股室，逐项落实整改。存在绩效结果与预算联动不够紧密，整改回头看机制有待完善等不足。</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spacing w:line="560" w:lineRule="exact"/>
        <w:ind w:firstLine="642" w:firstLineChars="200"/>
        <w:rPr>
          <w:rFonts w:hint="default" w:ascii="仿宋" w:eastAsia="仿宋"/>
          <w:sz w:val="32"/>
          <w:szCs w:val="32"/>
          <w:highlight w:val="none"/>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 w:eastAsia="仿宋"/>
          <w:sz w:val="32"/>
          <w:szCs w:val="32"/>
          <w:highlight w:val="none"/>
        </w:rPr>
        <w:t>我单位部门预算执行情况良好，无不良记录及违规违纪行为，预算支出和决算支出情况相符。</w:t>
      </w:r>
      <w:r>
        <w:rPr>
          <w:rFonts w:hint="eastAsia" w:ascii="仿宋" w:eastAsia="仿宋"/>
          <w:sz w:val="32"/>
          <w:szCs w:val="32"/>
          <w:highlight w:val="none"/>
          <w:lang w:eastAsia="zh-CN"/>
        </w:rPr>
        <w:t>从</w:t>
      </w:r>
      <w:r>
        <w:rPr>
          <w:rFonts w:hint="eastAsia" w:ascii="仿宋" w:eastAsia="仿宋"/>
          <w:sz w:val="32"/>
          <w:szCs w:val="32"/>
          <w:highlight w:val="none"/>
          <w:lang w:val="en-US" w:eastAsia="zh-CN"/>
        </w:rPr>
        <w:t>部门整体成本支出成本、</w:t>
      </w:r>
      <w:r>
        <w:rPr>
          <w:rFonts w:hint="eastAsia" w:ascii="Times New Roman" w:hAnsi="Times New Roman" w:eastAsia="仿宋_GB2312" w:cs="仿宋_GB2312"/>
          <w:b w:val="0"/>
          <w:bCs w:val="0"/>
          <w:kern w:val="0"/>
          <w:position w:val="0"/>
          <w:sz w:val="32"/>
          <w:szCs w:val="32"/>
          <w:highlight w:val="none"/>
          <w:lang w:val="zh-CN" w:eastAsia="zh-CN" w:bidi="ar-SA"/>
        </w:rPr>
        <w:t>党史“七进”宣教</w:t>
      </w:r>
      <w:r>
        <w:rPr>
          <w:rFonts w:hint="eastAsia" w:eastAsia="仿宋_GB2312" w:cs="仿宋_GB2312"/>
          <w:b w:val="0"/>
          <w:bCs w:val="0"/>
          <w:kern w:val="0"/>
          <w:position w:val="0"/>
          <w:sz w:val="32"/>
          <w:szCs w:val="32"/>
          <w:highlight w:val="none"/>
          <w:lang w:val="zh-CN" w:eastAsia="zh-CN" w:bidi="ar-SA"/>
        </w:rPr>
        <w:t>次数，</w:t>
      </w:r>
      <w:r>
        <w:rPr>
          <w:rFonts w:hint="eastAsia" w:ascii="仿宋" w:eastAsia="仿宋"/>
          <w:sz w:val="32"/>
          <w:szCs w:val="32"/>
          <w:highlight w:val="none"/>
          <w:lang w:val="en-US" w:eastAsia="zh-CN"/>
        </w:rPr>
        <w:t>《年鉴》《中国共产党执政实录》数量、口述历史拍摄数量、预算编制准确率、按时按量完成拨付计划、提升全县群众地方史志认知率、受益群体满意度7个方面进行了评价。</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eastAsia="仿宋"/>
          <w:sz w:val="32"/>
          <w:szCs w:val="32"/>
          <w:highlight w:val="none"/>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 w:eastAsia="仿宋"/>
          <w:sz w:val="32"/>
          <w:szCs w:val="32"/>
          <w:highlight w:val="none"/>
          <w:lang w:val="zh-CN" w:eastAsia="zh-CN"/>
        </w:rPr>
        <w:t>受众群体满意度未达到理想值</w:t>
      </w:r>
      <w:r>
        <w:rPr>
          <w:rFonts w:hint="eastAsia" w:ascii="仿宋" w:eastAsia="仿宋"/>
          <w:sz w:val="32"/>
          <w:szCs w:val="32"/>
          <w:highlight w:val="none"/>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8" w:name="_Hlk110546638"/>
      <w:r>
        <w:rPr>
          <w:rFonts w:hint="eastAsia" w:ascii="仿宋" w:eastAsia="仿宋"/>
          <w:sz w:val="32"/>
          <w:szCs w:val="32"/>
          <w:highlight w:val="none"/>
          <w:lang w:val="zh-CN" w:eastAsia="zh-CN"/>
        </w:rPr>
        <w:t>了解群众需求，增加满意度。</w:t>
      </w:r>
    </w:p>
    <w:bookmarkEnd w:id="78"/>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5"/>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3"/>
        <w:bidi w:val="0"/>
        <w:rPr>
          <w:rFonts w:hint="eastAsia"/>
          <w:lang w:val="en-US" w:eastAsia="zh-CN"/>
        </w:rPr>
      </w:pPr>
      <w:bookmarkStart w:id="79" w:name="_Toc1259667458"/>
      <w:r>
        <w:rPr>
          <w:rFonts w:hint="eastAsia"/>
          <w:lang w:val="zh-CN"/>
        </w:rPr>
        <w:t>附件</w:t>
      </w:r>
      <w:r>
        <w:rPr>
          <w:rFonts w:hint="eastAsia"/>
          <w:lang w:val="en-US" w:eastAsia="zh-CN"/>
        </w:rPr>
        <w:t>2</w:t>
      </w:r>
      <w:bookmarkEnd w:id="79"/>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zh-CN" w:eastAsia="zh-CN" w:bidi="ar-SA"/>
        </w:rPr>
        <w:t>若尔盖县是红军长征过草地核心区域，红色历史底蕴厚重，地方党史、地方志资源丰富。为持续贯彻落实《党史学习教育工作条例》《地方志工作条例》，推进党史学习教育常态化长效化，扎实做好地方史志编纂、红色史料抢救保护、</w:t>
      </w:r>
      <w:r>
        <w:rPr>
          <w:rFonts w:hint="eastAsia" w:eastAsia="仿宋_GB2312" w:cs="仿宋_GB2312"/>
          <w:b w:val="0"/>
          <w:bCs w:val="0"/>
          <w:kern w:val="0"/>
          <w:position w:val="0"/>
          <w:sz w:val="32"/>
          <w:szCs w:val="32"/>
          <w:highlight w:val="none"/>
          <w:lang w:val="zh-CN" w:eastAsia="zh-CN" w:bidi="ar-SA"/>
        </w:rPr>
        <w:t>党史学习教育</w:t>
      </w:r>
      <w:r>
        <w:rPr>
          <w:rFonts w:hint="eastAsia" w:ascii="Times New Roman" w:hAnsi="Times New Roman" w:eastAsia="仿宋_GB2312" w:cs="仿宋_GB2312"/>
          <w:b w:val="0"/>
          <w:bCs w:val="0"/>
          <w:kern w:val="0"/>
          <w:position w:val="0"/>
          <w:sz w:val="32"/>
          <w:szCs w:val="32"/>
          <w:highlight w:val="none"/>
          <w:lang w:val="zh-CN" w:eastAsia="zh-CN" w:bidi="ar-SA"/>
        </w:rPr>
        <w:t>等法定工作，传承弘扬长征精神、铸牢中华民族共同体意识。县史志中心立足职能职责，组织实施党史“七进”宣传教育、《若尔盖年鉴》编纂、党史史料征集、红色口述历史采集等专项工作，用好《中国共产党若尔盖历史（1935—1978）》本土党史成果，系统记录全县经济社会发展历程，抢救挖掘濒临失传的红色口述史料，面向全社会开展本土化藏汉双语党史宣传，充分发挥史志“存史、资政、育人”功能。</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根据《项目资金管理办法》相关规定，规范项目资金使用管理，提高财政资金使用效益。立足县史志中心法定职能，依托若尔盖红军长征过草地红色资源，扎实推进党史“七进”宣传教育、《若尔盖年鉴》编纂、党史史料征集、红色口述历史采集等工作。系统抢救保护本土红色史料，持续开展藏汉双语党史宣传，客观记录全县经济社会发展历程，发挥史志存史、资政、育人功能，弘扬长征精神，铸牢中华民族共同体意识。同时健全项目全过程管理机制，严格资金支出审核、绩效监控、成果验收，确保财政资金专款专用、安全规范，切实保障项目任务落地见效。</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本年度项目预算万元，资金来源于县级一般公共预算。按照《项目资金管理办法》，结合党史“七进”、年鉴编纂、史料征集、口述历史采集任务统筹分配资金，专款专用。严格落实资金审批、支付、绩效监控及政府采购管理，规范财务核算，资金全部用于项目既定工作内容，杜绝挤占挪用，接受财政、审计监督。</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结合年度工作任务与《项目资金管理办法》设置项目绩效目标，匹配项目预算及实施内容。总体目标为完成党史“七进”宣教、年鉴编纂、史料征集、口述历史采集工作，保护红色史料，发挥史志资政育人作用。产出指标设置宣讲场次、史料征集数量、编审完成时限、成本控制等；效益指标重点体现红色文化传承、铸牢中华民族共同体意识等社会效益；满意度指标≥90%。存在社会效益指标量化难度较大，指标精细化程度有待提升。</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eastAsia="仿宋_GB2312" w:cs="仿宋_GB2312"/>
          <w:b w:val="0"/>
          <w:bCs w:val="0"/>
          <w:kern w:val="0"/>
          <w:position w:val="0"/>
          <w:sz w:val="32"/>
          <w:szCs w:val="32"/>
          <w:highlight w:val="none"/>
          <w:lang w:val="en-US" w:eastAsia="zh-CN" w:bidi="ar-SA"/>
        </w:rPr>
        <w:t>产出类专用指标</w:t>
      </w:r>
      <w:r>
        <w:rPr>
          <w:rFonts w:hint="eastAsia" w:ascii="Times New Roman" w:hAnsi="Times New Roman" w:eastAsia="仿宋_GB2312" w:cs="仿宋_GB2312"/>
          <w:b w:val="0"/>
          <w:bCs w:val="0"/>
          <w:kern w:val="0"/>
          <w:position w:val="0"/>
          <w:sz w:val="32"/>
          <w:szCs w:val="32"/>
          <w:highlight w:val="none"/>
          <w:lang w:val="en-US" w:eastAsia="zh-CN" w:bidi="ar-SA"/>
        </w:rPr>
        <w:t>。围绕</w:t>
      </w:r>
      <w:r>
        <w:rPr>
          <w:rFonts w:hint="eastAsia" w:eastAsia="仿宋_GB2312" w:cs="仿宋_GB2312"/>
          <w:b w:val="0"/>
          <w:bCs w:val="0"/>
          <w:kern w:val="0"/>
          <w:position w:val="0"/>
          <w:sz w:val="32"/>
          <w:szCs w:val="32"/>
          <w:highlight w:val="none"/>
          <w:lang w:val="en-US" w:eastAsia="zh-CN" w:bidi="ar-SA"/>
        </w:rPr>
        <w:t>业务数量、质量指标、时效</w:t>
      </w:r>
      <w:r>
        <w:rPr>
          <w:rFonts w:hint="eastAsia" w:ascii="Times New Roman" w:hAnsi="Times New Roman" w:eastAsia="仿宋_GB2312" w:cs="仿宋_GB2312"/>
          <w:b w:val="0"/>
          <w:bCs w:val="0"/>
          <w:kern w:val="0"/>
          <w:position w:val="0"/>
          <w:sz w:val="32"/>
          <w:szCs w:val="32"/>
          <w:highlight w:val="none"/>
          <w:lang w:val="en-US" w:eastAsia="zh-CN" w:bidi="ar-SA"/>
        </w:rPr>
        <w:t>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eastAsia="仿宋_GB2312" w:cs="仿宋_GB2312"/>
          <w:b w:val="0"/>
          <w:bCs w:val="0"/>
          <w:kern w:val="0"/>
          <w:position w:val="0"/>
          <w:sz w:val="32"/>
          <w:szCs w:val="32"/>
          <w:highlight w:val="none"/>
          <w:lang w:val="en-US" w:eastAsia="zh-CN" w:bidi="ar-SA"/>
        </w:rPr>
        <w:t>效益类专用指标</w:t>
      </w:r>
      <w:r>
        <w:rPr>
          <w:rFonts w:hint="eastAsia" w:ascii="Times New Roman" w:hAnsi="Times New Roman" w:eastAsia="仿宋_GB2312" w:cs="仿宋_GB2312"/>
          <w:b w:val="0"/>
          <w:bCs w:val="0"/>
          <w:kern w:val="0"/>
          <w:position w:val="0"/>
          <w:sz w:val="32"/>
          <w:szCs w:val="32"/>
          <w:highlight w:val="none"/>
          <w:lang w:val="zh-CN"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围绕</w:t>
      </w:r>
      <w:r>
        <w:rPr>
          <w:rFonts w:hint="eastAsia" w:eastAsia="仿宋_GB2312" w:cs="仿宋_GB2312"/>
          <w:b w:val="0"/>
          <w:bCs w:val="0"/>
          <w:kern w:val="0"/>
          <w:position w:val="0"/>
          <w:sz w:val="32"/>
          <w:szCs w:val="32"/>
          <w:highlight w:val="none"/>
          <w:lang w:val="en-US" w:eastAsia="zh-CN" w:bidi="ar-SA"/>
        </w:rPr>
        <w:t>史志中心核心职能</w:t>
      </w:r>
      <w:r>
        <w:rPr>
          <w:rFonts w:hint="eastAsia" w:ascii="Times New Roman" w:hAnsi="Times New Roman" w:eastAsia="仿宋_GB2312" w:cs="仿宋_GB2312"/>
          <w:b w:val="0"/>
          <w:bCs w:val="0"/>
          <w:kern w:val="0"/>
          <w:position w:val="0"/>
          <w:sz w:val="32"/>
          <w:szCs w:val="32"/>
          <w:highlight w:val="none"/>
          <w:lang w:val="en-US" w:eastAsia="zh-CN" w:bidi="ar-SA"/>
        </w:rPr>
        <w:t>、群众满意度进行绩效分析。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通过对党史“七进”宣传教育、《若尔盖年鉴》编纂、党史史料征集、红色口述历史采集项目开展绩效自评，对照预算绩效评价通用指标及史志业务专用指标综合研判：项目立项依据充分，决策程序规范；项目组织实施有序，资金管理总体合规，严格执行专款专用、政府采购、财务审批以及史实、保密审查相关制度；项目基本完成年度设定的各项绩效目标，产出任务落实到位，有效抢救保护本地红色史料，持续开展藏汉双语党史宣教，发挥史志存史、资政、育人职能，取得良好社会效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实施仍存在短板：项目前期论证深度不足，部分社会效益指标量化难度较大；个别项目阶段性推进不均衡，过程佐证资料归集不够及时；史志成果转化利用水平有待提升，绩效结果与预算安排联动、整改长效机制仍需完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强化项目前期论证，优化绩效指标；加强项目过程管控，规范资料归档；推动史志成果转化；落实绩效整改回头看，规范资金采购管理，提高资金使用效益。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pStyle w:val="2"/>
        <w:bidi w:val="0"/>
        <w:jc w:val="center"/>
        <w:rPr>
          <w:rFonts w:hint="eastAsia" w:eastAsia="宋体"/>
        </w:rPr>
      </w:pPr>
      <w:bookmarkStart w:id="81" w:name="_Toc512787009"/>
      <w:r>
        <w:rPr>
          <w:rFonts w:hint="eastAsia" w:eastAsia="宋体"/>
        </w:rPr>
        <w:t>第五部分 附表</w:t>
      </w:r>
      <w:bookmarkEnd w:id="74"/>
      <w:bookmarkEnd w:id="80"/>
      <w:bookmarkEnd w:id="81"/>
      <w:bookmarkStart w:id="82"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3"/>
        <w:bidi w:val="0"/>
        <w:rPr>
          <w:rFonts w:hint="eastAsia"/>
        </w:rPr>
      </w:pPr>
      <w:bookmarkStart w:id="83" w:name="_Toc575528441"/>
      <w:r>
        <w:rPr>
          <w:rFonts w:hint="eastAsia"/>
        </w:rPr>
        <w:t>一、收入支出决算总表</w:t>
      </w:r>
      <w:bookmarkEnd w:id="82"/>
      <w:bookmarkEnd w:id="83"/>
    </w:p>
    <w:p>
      <w:pPr>
        <w:pStyle w:val="3"/>
        <w:bidi w:val="0"/>
        <w:rPr>
          <w:rFonts w:hint="eastAsia"/>
        </w:rPr>
      </w:pPr>
      <w:bookmarkStart w:id="84" w:name="_Toc15396620"/>
      <w:bookmarkStart w:id="85" w:name="_Toc1694140904"/>
      <w:r>
        <w:rPr>
          <w:rFonts w:hint="eastAsia"/>
        </w:rPr>
        <w:t>二、收入决算表</w:t>
      </w:r>
      <w:bookmarkEnd w:id="84"/>
      <w:bookmarkEnd w:id="85"/>
    </w:p>
    <w:p>
      <w:pPr>
        <w:pStyle w:val="3"/>
        <w:bidi w:val="0"/>
        <w:rPr>
          <w:rFonts w:hint="eastAsia"/>
        </w:rPr>
      </w:pPr>
      <w:bookmarkStart w:id="86" w:name="_Toc15396621"/>
      <w:bookmarkStart w:id="87" w:name="_Toc1138570760"/>
      <w:r>
        <w:rPr>
          <w:rFonts w:hint="eastAsia"/>
        </w:rPr>
        <w:t>三、支出决算表</w:t>
      </w:r>
      <w:bookmarkEnd w:id="86"/>
      <w:bookmarkEnd w:id="87"/>
    </w:p>
    <w:p>
      <w:pPr>
        <w:pStyle w:val="3"/>
        <w:bidi w:val="0"/>
        <w:rPr>
          <w:rFonts w:hint="eastAsia"/>
        </w:rPr>
      </w:pPr>
      <w:bookmarkStart w:id="88" w:name="_Toc175527533"/>
      <w:bookmarkStart w:id="89" w:name="_Toc15396622"/>
      <w:r>
        <w:rPr>
          <w:rFonts w:hint="eastAsia"/>
        </w:rPr>
        <w:t>四、财政拨款收入支出决算总表</w:t>
      </w:r>
      <w:bookmarkEnd w:id="88"/>
      <w:bookmarkEnd w:id="89"/>
    </w:p>
    <w:p>
      <w:pPr>
        <w:pStyle w:val="3"/>
        <w:bidi w:val="0"/>
        <w:rPr>
          <w:rFonts w:hint="eastAsia"/>
        </w:rPr>
      </w:pPr>
      <w:bookmarkStart w:id="90" w:name="_Toc15396623"/>
      <w:bookmarkStart w:id="91" w:name="_Toc371438317"/>
      <w:r>
        <w:rPr>
          <w:rFonts w:hint="eastAsia"/>
        </w:rPr>
        <w:t>五、财政拨款支出决算明细表</w:t>
      </w:r>
      <w:bookmarkEnd w:id="90"/>
      <w:bookmarkEnd w:id="91"/>
      <w:bookmarkStart w:id="92" w:name="_Toc15396624"/>
    </w:p>
    <w:p>
      <w:pPr>
        <w:pStyle w:val="3"/>
        <w:bidi w:val="0"/>
        <w:rPr>
          <w:rFonts w:hint="eastAsia"/>
        </w:rPr>
      </w:pPr>
      <w:bookmarkStart w:id="93" w:name="_Toc1003161535"/>
      <w:r>
        <w:rPr>
          <w:rFonts w:hint="eastAsia"/>
        </w:rPr>
        <w:t>六、一般公共预算财政拨款支出决算表</w:t>
      </w:r>
      <w:bookmarkEnd w:id="92"/>
      <w:bookmarkEnd w:id="93"/>
    </w:p>
    <w:p>
      <w:pPr>
        <w:pStyle w:val="3"/>
        <w:bidi w:val="0"/>
        <w:rPr>
          <w:rFonts w:hint="eastAsia"/>
        </w:rPr>
      </w:pPr>
      <w:bookmarkStart w:id="94" w:name="_Toc15396625"/>
      <w:bookmarkStart w:id="95" w:name="_Toc491777408"/>
      <w:r>
        <w:rPr>
          <w:rFonts w:hint="eastAsia"/>
        </w:rPr>
        <w:t>七、一般公共预算财政拨款支出决算明细表</w:t>
      </w:r>
      <w:bookmarkEnd w:id="94"/>
      <w:bookmarkEnd w:id="95"/>
    </w:p>
    <w:p>
      <w:pPr>
        <w:pStyle w:val="3"/>
        <w:bidi w:val="0"/>
        <w:rPr>
          <w:rFonts w:hint="eastAsia"/>
        </w:rPr>
      </w:pPr>
      <w:bookmarkStart w:id="96" w:name="_Toc15396626"/>
      <w:bookmarkStart w:id="97" w:name="_Toc1967331295"/>
      <w:r>
        <w:rPr>
          <w:rFonts w:hint="eastAsia"/>
        </w:rPr>
        <w:t>八、一般公共预算财政拨款基本支出决算表</w:t>
      </w:r>
      <w:bookmarkEnd w:id="96"/>
      <w:bookmarkEnd w:id="97"/>
    </w:p>
    <w:p>
      <w:pPr>
        <w:pStyle w:val="3"/>
        <w:bidi w:val="0"/>
        <w:rPr>
          <w:rFonts w:hint="eastAsia"/>
        </w:rPr>
      </w:pPr>
      <w:bookmarkStart w:id="98" w:name="_Toc15396627"/>
      <w:bookmarkStart w:id="99" w:name="_Toc1960072925"/>
      <w:r>
        <w:rPr>
          <w:rFonts w:hint="eastAsia"/>
        </w:rPr>
        <w:t>九、一般公共预算财政拨款项目支出决算表</w:t>
      </w:r>
      <w:bookmarkEnd w:id="98"/>
      <w:bookmarkEnd w:id="99"/>
    </w:p>
    <w:p>
      <w:pPr>
        <w:pStyle w:val="3"/>
        <w:bidi w:val="0"/>
        <w:rPr>
          <w:rFonts w:hint="eastAsia"/>
        </w:rPr>
      </w:pPr>
      <w:bookmarkStart w:id="100" w:name="_Toc15396628"/>
      <w:bookmarkStart w:id="101" w:name="_Toc644045707"/>
      <w:r>
        <w:rPr>
          <w:rFonts w:hint="eastAsia"/>
        </w:rPr>
        <w:t>十、</w:t>
      </w:r>
      <w:bookmarkEnd w:id="100"/>
      <w:r>
        <w:rPr>
          <w:rFonts w:hint="eastAsia"/>
        </w:rPr>
        <w:t>政府性基金预算财政拨款收入支出决算表</w:t>
      </w:r>
      <w:bookmarkEnd w:id="101"/>
    </w:p>
    <w:p>
      <w:pPr>
        <w:pStyle w:val="3"/>
        <w:bidi w:val="0"/>
        <w:rPr>
          <w:rFonts w:hint="eastAsia"/>
        </w:rPr>
      </w:pPr>
      <w:bookmarkStart w:id="102" w:name="_Toc15396629"/>
      <w:bookmarkStart w:id="103" w:name="_Toc96635300"/>
      <w:r>
        <w:rPr>
          <w:rFonts w:hint="eastAsia"/>
        </w:rPr>
        <w:t>十一、</w:t>
      </w:r>
      <w:bookmarkEnd w:id="102"/>
      <w:r>
        <w:rPr>
          <w:rFonts w:hint="eastAsia"/>
        </w:rPr>
        <w:t>国有资本经营预算</w:t>
      </w:r>
      <w:r>
        <w:rPr>
          <w:rFonts w:hint="eastAsia"/>
          <w:lang w:eastAsia="zh-CN"/>
        </w:rPr>
        <w:t>财政拨款收入</w:t>
      </w:r>
      <w:r>
        <w:rPr>
          <w:rFonts w:hint="eastAsia"/>
        </w:rPr>
        <w:t>支出决算表</w:t>
      </w:r>
      <w:bookmarkEnd w:id="103"/>
    </w:p>
    <w:p>
      <w:pPr>
        <w:pStyle w:val="3"/>
        <w:bidi w:val="0"/>
        <w:rPr>
          <w:rFonts w:hint="eastAsia"/>
        </w:rPr>
      </w:pPr>
      <w:bookmarkStart w:id="104" w:name="_Toc15396630"/>
      <w:bookmarkStart w:id="105" w:name="_Toc2007275319"/>
      <w:r>
        <w:rPr>
          <w:rFonts w:hint="eastAsia"/>
        </w:rPr>
        <w:t>十二、</w:t>
      </w:r>
      <w:bookmarkEnd w:id="104"/>
      <w:r>
        <w:rPr>
          <w:rFonts w:hint="eastAsia"/>
          <w:lang w:eastAsia="zh-CN"/>
        </w:rPr>
        <w:t>国有资本经营预算财政拨款支出决算表</w:t>
      </w:r>
      <w:bookmarkEnd w:id="105"/>
    </w:p>
    <w:p>
      <w:pPr>
        <w:pStyle w:val="3"/>
        <w:bidi w:val="0"/>
        <w:rPr>
          <w:rFonts w:hint="eastAsia"/>
          <w:lang w:eastAsia="zh-CN"/>
        </w:rPr>
      </w:pPr>
      <w:bookmarkStart w:id="106" w:name="_Toc15396631"/>
      <w:bookmarkStart w:id="107" w:name="_Toc2098771070"/>
      <w:r>
        <w:rPr>
          <w:rFonts w:hint="eastAsia"/>
        </w:rPr>
        <w:t>十三、</w:t>
      </w:r>
      <w:bookmarkEnd w:id="106"/>
      <w:r>
        <w:rPr>
          <w:rFonts w:hint="eastAsia"/>
          <w:lang w:eastAsia="zh-CN"/>
        </w:rPr>
        <w:t>财政拨款“三公”经费支出决算表</w:t>
      </w:r>
      <w:bookmarkEnd w:id="107"/>
    </w:p>
    <w:p>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BqVKztYAAAAGAQAADwAAAAAA&#10;AAABACAAAAA4AAAAZHJzL2Rvd25yZXYueG1sUEsBAhQAFAAAAAgAh07iQBqAz/I4AgAAbQQAAA4A&#10;AAAAAAAAAQAgAAAAOwEAAGRycy9lMm9Eb2MueG1sUEsFBgAAAAAGAAYAWQEAAOUFAAAAAA==&#10;">
              <v:fill on="f" focussize="0,0"/>
              <v:stroke on="f" weight="0.5pt"/>
              <v:imagedata o:title=""/>
              <o:lock v:ext="edit" aspectratio="f"/>
              <v:textbox inset="16pt,0mm,16pt,0mm" style="mso-fit-shape-to-text:t;">
                <w:txbxContent>
                  <w:p>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EB0EA9"/>
    <w:multiLevelType w:val="singleLevel"/>
    <w:tmpl w:val="EFEB0EA9"/>
    <w:lvl w:ilvl="0" w:tentative="0">
      <w:start w:val="2"/>
      <w:numFmt w:val="decimal"/>
      <w:lvlText w:val="%1."/>
      <w:lvlJc w:val="left"/>
      <w:pPr>
        <w:tabs>
          <w:tab w:val="left" w:pos="312"/>
        </w:tabs>
      </w:pPr>
    </w:lvl>
  </w:abstractNum>
  <w:abstractNum w:abstractNumId="1">
    <w:nsid w:val="7BDB4207"/>
    <w:multiLevelType w:val="singleLevel"/>
    <w:tmpl w:val="7BDB420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3B3D6A"/>
    <w:rsid w:val="29FD04D3"/>
    <w:rsid w:val="2BB00E92"/>
    <w:rsid w:val="2BFF7BC6"/>
    <w:rsid w:val="2C8A61B5"/>
    <w:rsid w:val="2D2E01CF"/>
    <w:rsid w:val="2DF04E50"/>
    <w:rsid w:val="2DFF5EEF"/>
    <w:rsid w:val="2E9545B0"/>
    <w:rsid w:val="2F040D46"/>
    <w:rsid w:val="2FAE5751"/>
    <w:rsid w:val="2FB1A395"/>
    <w:rsid w:val="2FD9A7D8"/>
    <w:rsid w:val="319F7F4E"/>
    <w:rsid w:val="321B2544"/>
    <w:rsid w:val="3304709D"/>
    <w:rsid w:val="33FE52EE"/>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BE18C6"/>
    <w:rsid w:val="3BF5BC2F"/>
    <w:rsid w:val="3CEBA265"/>
    <w:rsid w:val="3D98207C"/>
    <w:rsid w:val="3D9B0D99"/>
    <w:rsid w:val="3DEE7CF3"/>
    <w:rsid w:val="3DF02244"/>
    <w:rsid w:val="3E78745D"/>
    <w:rsid w:val="3FF4CAE0"/>
    <w:rsid w:val="3FF7B227"/>
    <w:rsid w:val="3FFB792E"/>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572A67"/>
    <w:rsid w:val="4F833267"/>
    <w:rsid w:val="4FE9BD67"/>
    <w:rsid w:val="4FFB052F"/>
    <w:rsid w:val="53083A92"/>
    <w:rsid w:val="537E6D0A"/>
    <w:rsid w:val="53AF27A2"/>
    <w:rsid w:val="53F74C96"/>
    <w:rsid w:val="56E47B74"/>
    <w:rsid w:val="5778274B"/>
    <w:rsid w:val="57BD3DD4"/>
    <w:rsid w:val="5AF92295"/>
    <w:rsid w:val="5BDD79E6"/>
    <w:rsid w:val="5BF561CA"/>
    <w:rsid w:val="5BFF5DFC"/>
    <w:rsid w:val="5CD71FC4"/>
    <w:rsid w:val="5D1F11B5"/>
    <w:rsid w:val="5DAE1B18"/>
    <w:rsid w:val="5DE7D9E5"/>
    <w:rsid w:val="5ECEC941"/>
    <w:rsid w:val="5F3B5AB7"/>
    <w:rsid w:val="5F493CB7"/>
    <w:rsid w:val="5FBF9FF3"/>
    <w:rsid w:val="5FCD4E2C"/>
    <w:rsid w:val="5FD15F49"/>
    <w:rsid w:val="5FEF394A"/>
    <w:rsid w:val="5FF67715"/>
    <w:rsid w:val="62BF3928"/>
    <w:rsid w:val="647F5392"/>
    <w:rsid w:val="664B1D71"/>
    <w:rsid w:val="67AA3209"/>
    <w:rsid w:val="681C4F0D"/>
    <w:rsid w:val="69046D0F"/>
    <w:rsid w:val="698D0931"/>
    <w:rsid w:val="69CFF5E7"/>
    <w:rsid w:val="69EC851E"/>
    <w:rsid w:val="6A993CED"/>
    <w:rsid w:val="6B053271"/>
    <w:rsid w:val="6BCE6674"/>
    <w:rsid w:val="6C4A05C8"/>
    <w:rsid w:val="6C8742B8"/>
    <w:rsid w:val="6C8A170F"/>
    <w:rsid w:val="6CB54609"/>
    <w:rsid w:val="6DBF5E93"/>
    <w:rsid w:val="6DBF86E2"/>
    <w:rsid w:val="6DDE153E"/>
    <w:rsid w:val="6DFF077E"/>
    <w:rsid w:val="6E7E3605"/>
    <w:rsid w:val="6E7FDCC7"/>
    <w:rsid w:val="6ED6A62E"/>
    <w:rsid w:val="6EE00B15"/>
    <w:rsid w:val="6F544B20"/>
    <w:rsid w:val="6F6FB3EB"/>
    <w:rsid w:val="6F784160"/>
    <w:rsid w:val="6F8731EA"/>
    <w:rsid w:val="6FBFE5E3"/>
    <w:rsid w:val="6FCE6052"/>
    <w:rsid w:val="6FD57C00"/>
    <w:rsid w:val="6FEFFFD8"/>
    <w:rsid w:val="6FF5CC65"/>
    <w:rsid w:val="6FFB47EC"/>
    <w:rsid w:val="6FFF034A"/>
    <w:rsid w:val="70496804"/>
    <w:rsid w:val="712A28F1"/>
    <w:rsid w:val="715C0E4B"/>
    <w:rsid w:val="72233669"/>
    <w:rsid w:val="72734D90"/>
    <w:rsid w:val="7332FE48"/>
    <w:rsid w:val="736FDAA8"/>
    <w:rsid w:val="73AB61DA"/>
    <w:rsid w:val="73AD73D5"/>
    <w:rsid w:val="73B6EB34"/>
    <w:rsid w:val="73FA497D"/>
    <w:rsid w:val="744731E5"/>
    <w:rsid w:val="74527205"/>
    <w:rsid w:val="74BBD01D"/>
    <w:rsid w:val="74ED5379"/>
    <w:rsid w:val="74FC2395"/>
    <w:rsid w:val="75DEEEC2"/>
    <w:rsid w:val="76BFBC59"/>
    <w:rsid w:val="76E3355F"/>
    <w:rsid w:val="76FF5125"/>
    <w:rsid w:val="776F6FFA"/>
    <w:rsid w:val="778769C8"/>
    <w:rsid w:val="77DC22F5"/>
    <w:rsid w:val="79086DAD"/>
    <w:rsid w:val="79974F09"/>
    <w:rsid w:val="79D7FD79"/>
    <w:rsid w:val="79EE5BA4"/>
    <w:rsid w:val="7A894339"/>
    <w:rsid w:val="7AFF7572"/>
    <w:rsid w:val="7B4C6750"/>
    <w:rsid w:val="7B6C7DFB"/>
    <w:rsid w:val="7BBFBED0"/>
    <w:rsid w:val="7BC3E394"/>
    <w:rsid w:val="7BEF2D9A"/>
    <w:rsid w:val="7C1F3737"/>
    <w:rsid w:val="7CBFC87B"/>
    <w:rsid w:val="7CFE0F48"/>
    <w:rsid w:val="7D7EC23E"/>
    <w:rsid w:val="7D916348"/>
    <w:rsid w:val="7E8ADEBF"/>
    <w:rsid w:val="7EEF11D3"/>
    <w:rsid w:val="7EF5458D"/>
    <w:rsid w:val="7EFDBD92"/>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6F9F7"/>
    <w:rsid w:val="7FF93490"/>
    <w:rsid w:val="7FF96CBE"/>
    <w:rsid w:val="7FFF46FD"/>
    <w:rsid w:val="8F7B65DA"/>
    <w:rsid w:val="8FFEE3D3"/>
    <w:rsid w:val="99FF2014"/>
    <w:rsid w:val="A6DD0D7F"/>
    <w:rsid w:val="ABEFC9DA"/>
    <w:rsid w:val="ADC6F725"/>
    <w:rsid w:val="AE5BE3B0"/>
    <w:rsid w:val="B7BF377C"/>
    <w:rsid w:val="B7CF06AB"/>
    <w:rsid w:val="B7CFA926"/>
    <w:rsid w:val="B7F8786B"/>
    <w:rsid w:val="BABB6AA1"/>
    <w:rsid w:val="BB2F4199"/>
    <w:rsid w:val="BD079C78"/>
    <w:rsid w:val="BD733540"/>
    <w:rsid w:val="BF3735D5"/>
    <w:rsid w:val="BF7F09AC"/>
    <w:rsid w:val="BFD475C3"/>
    <w:rsid w:val="BFDE5EA6"/>
    <w:rsid w:val="BFFD3DCC"/>
    <w:rsid w:val="C2DD32B5"/>
    <w:rsid w:val="C73F03E7"/>
    <w:rsid w:val="CF6FC6F3"/>
    <w:rsid w:val="CFD3D3D7"/>
    <w:rsid w:val="CFDF1009"/>
    <w:rsid w:val="D7D7B16A"/>
    <w:rsid w:val="D8D6DB89"/>
    <w:rsid w:val="DB6F4CAB"/>
    <w:rsid w:val="DB777682"/>
    <w:rsid w:val="DD1FB521"/>
    <w:rsid w:val="DDC792EF"/>
    <w:rsid w:val="DEFBFEAE"/>
    <w:rsid w:val="DF1F3B80"/>
    <w:rsid w:val="DF6F9789"/>
    <w:rsid w:val="DFB7702D"/>
    <w:rsid w:val="DFE7C655"/>
    <w:rsid w:val="DFFFA9E8"/>
    <w:rsid w:val="E5F4E9DC"/>
    <w:rsid w:val="E70FE695"/>
    <w:rsid w:val="ECFED1BC"/>
    <w:rsid w:val="ED131A03"/>
    <w:rsid w:val="ED1D69BB"/>
    <w:rsid w:val="ED7FD312"/>
    <w:rsid w:val="ED975A81"/>
    <w:rsid w:val="EF53993F"/>
    <w:rsid w:val="EF6FD633"/>
    <w:rsid w:val="EFBFB2F4"/>
    <w:rsid w:val="EFBFFA21"/>
    <w:rsid w:val="EFDF91D4"/>
    <w:rsid w:val="F2BEBCB8"/>
    <w:rsid w:val="F36FB518"/>
    <w:rsid w:val="F3DE1A04"/>
    <w:rsid w:val="F3F722E5"/>
    <w:rsid w:val="F6EC5CB4"/>
    <w:rsid w:val="F779102A"/>
    <w:rsid w:val="F97D2AE2"/>
    <w:rsid w:val="FA5F1E70"/>
    <w:rsid w:val="FA5FDB97"/>
    <w:rsid w:val="FB7F486A"/>
    <w:rsid w:val="FBF5AAA4"/>
    <w:rsid w:val="FBFF5B2E"/>
    <w:rsid w:val="FD7FFE2B"/>
    <w:rsid w:val="FDEE196B"/>
    <w:rsid w:val="FDF36D87"/>
    <w:rsid w:val="FDFE6575"/>
    <w:rsid w:val="FDFECEA9"/>
    <w:rsid w:val="FE6F4480"/>
    <w:rsid w:val="FE7C2808"/>
    <w:rsid w:val="FEDF8838"/>
    <w:rsid w:val="FEDFDDC2"/>
    <w:rsid w:val="FEED32F6"/>
    <w:rsid w:val="FEF781DD"/>
    <w:rsid w:val="FEFF6B67"/>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普通(网站) Char"/>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rFonts w:ascii="宋体" w:eastAsia="宋体"/>
      <w:snapToGrid/>
      <w:color w:val="auto"/>
      <w:spacing w:val="0"/>
      <w:w w:val="100"/>
      <w:kern w:val="0"/>
      <w:position w:val="0"/>
      <w:sz w:val="24"/>
      <w:szCs w:val="24"/>
      <w:u w:val="none" w:color="auto"/>
      <w:vertAlign w:val="baseline"/>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chart" Target="charts/chart1.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353958928328573"/>
          <c:y val="0.353525741029641"/>
          <c:w val="0.288546171630627"/>
          <c:h val="0.551658866354654"/>
        </c:manualLayout>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0.00%</c:formatCode>
                <c:ptCount val="5"/>
                <c:pt idx="0">
                  <c:v>0.4352</c:v>
                </c:pt>
                <c:pt idx="1">
                  <c:v>0.5647</c:v>
                </c:pt>
                <c:pt idx="2" c:formatCode="0%">
                  <c:v>0</c:v>
                </c:pt>
                <c:pt idx="3" c:formatCode="0%">
                  <c:v>0</c:v>
                </c:pt>
                <c:pt idx="4" c:formatCode="0%">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30</Pages>
  <Words>1299</Words>
  <Characters>7410</Characters>
  <Lines>61</Lines>
  <Paragraphs>17</Paragraphs>
  <TotalTime>23</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user</cp:lastModifiedBy>
  <cp:lastPrinted>2026-08-04T09:27:00Z</cp:lastPrinted>
  <dcterms:modified xsi:type="dcterms:W3CDTF">2026-10-13T16:16:52Z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400D301575C74348A5277D00A7902E06</vt:lpwstr>
  </property>
</Properties>
</file>