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6"/>
        <w:rPr>
          <w:rFonts w:ascii="Times New Roman" w:eastAsia="方正小标宋简体" w:cs="Times New Roman" w:hAnsi="Times New Roman" w:hint="eastAsia"/>
          <w:color w:val="auto"/>
          <w:kern w:val="2"/>
          <w:sz w:val="72"/>
          <w:szCs w:val="72"/>
          <w:lang w:val="en-US" w:eastAsia="zh-CN" w:bidi="ar-SA"/>
          <w:highlight w:val="auto"/>
        </w:rPr>
      </w:pPr>
      <w:bookmarkStart w:id="0" w:name="_Toc15306267"/>
      <w:bookmarkStart w:id="1" w:name="_Toc15378441"/>
      <w:bookmarkStart w:id="2" w:name="_Toc15377425"/>
      <w:bookmarkStart w:id="3" w:name="_Toc15396597"/>
      <w:bookmarkStart w:id="4" w:name="_Toc15396475"/>
      <w:bookmarkStart w:id="5" w:name="_Toc15377193"/>
    </w:p>
    <w:p>
      <w:pPr>
        <w:pStyle w:val="16"/>
        <w:rPr>
          <w:rFonts w:ascii="Times New Roman" w:eastAsia="方正小标宋简体" w:cs="Times New Roman" w:hAnsi="Times New Roman" w:hint="eastAsia"/>
          <w:color w:val="auto"/>
          <w:kern w:val="2"/>
          <w:sz w:val="72"/>
          <w:szCs w:val="72"/>
          <w:lang w:val="en-US" w:eastAsia="zh-CN" w:bidi="ar-SA"/>
          <w:highlight w:val="auto"/>
        </w:rPr>
      </w:pPr>
    </w:p>
    <w:p>
      <w:pPr>
        <w:pStyle w:val="16"/>
        <w:rPr>
          <w:rFonts w:ascii="Times New Roman" w:eastAsia="方正小标宋简体" w:cs="Times New Roman" w:hAnsi="Times New Roman" w:hint="eastAsia"/>
          <w:color w:val="auto"/>
          <w:kern w:val="2"/>
          <w:sz w:val="72"/>
          <w:szCs w:val="72"/>
          <w:lang w:val="en-US" w:eastAsia="zh-CN" w:bidi="ar-SA"/>
          <w:highlight w:val="auto"/>
        </w:rPr>
      </w:pPr>
    </w:p>
    <w:p>
      <w:pPr>
        <w:pStyle w:val="16"/>
        <w:rPr>
          <w:rFonts w:ascii="Times New Roman" w:eastAsia="方正小标宋简体" w:cs="Times New Roman" w:hAnsi="Times New Roman" w:hint="eastAsia"/>
          <w:color w:val="auto"/>
          <w:kern w:val="2"/>
          <w:sz w:val="72"/>
          <w:szCs w:val="72"/>
          <w:lang w:val="en-US" w:eastAsia="zh-CN" w:bidi="ar-SA"/>
          <w:highlight w:val="auto"/>
        </w:rPr>
      </w:pPr>
    </w:p>
    <w:p>
      <w:pPr>
        <w:spacing w:line="600" w:lineRule="exact"/>
        <w:jc w:val="center"/>
        <w:outlineLvl w:val="0"/>
        <w:rPr>
          <w:rFonts w:eastAsia="方正小标宋简体"/>
          <w:sz w:val="44"/>
          <w:szCs w:val="44"/>
        </w:rPr>
      </w:pPr>
      <w:r>
        <w:rPr>
          <w:rFonts w:eastAsia="方正小标宋简体" w:hint="eastAsia"/>
          <w:sz w:val="44"/>
          <w:szCs w:val="44"/>
        </w:rPr>
        <w:t>202</w:t>
      </w:r>
      <w:r>
        <w:rPr>
          <w:rFonts w:eastAsia="方正小标宋简体" w:hint="eastAsia"/>
          <w:sz w:val="44"/>
          <w:szCs w:val="44"/>
          <w:lang w:val="en-US" w:eastAsia="zh-CN"/>
        </w:rPr>
        <w:t>5</w:t>
      </w:r>
      <w:r>
        <w:rPr>
          <w:rFonts w:eastAsia="方正小标宋简体" w:hint="eastAsia"/>
          <w:sz w:val="44"/>
          <w:szCs w:val="44"/>
        </w:rPr>
        <w:t>年度阿坝州若尔盖县</w:t>
      </w:r>
    </w:p>
    <w:p>
      <w:pPr>
        <w:spacing w:line="600" w:lineRule="exact"/>
        <w:jc w:val="center"/>
        <w:outlineLvl w:val="0"/>
        <w:rPr>
          <w:rFonts w:eastAsia="方正小标宋简体"/>
          <w:sz w:val="44"/>
          <w:szCs w:val="44"/>
        </w:rPr>
      </w:pPr>
      <w:r>
        <w:rPr>
          <w:rFonts w:eastAsia="方正小标宋简体" w:hint="eastAsia"/>
          <w:sz w:val="44"/>
          <w:szCs w:val="44"/>
        </w:rPr>
        <w:t>城乡居民养老保险事业管理局部门决算</w:t>
      </w:r>
    </w:p>
    <w:p>
      <w:pPr>
        <w:spacing w:line="600" w:lineRule="exact"/>
        <w:jc w:val="center"/>
        <w:outlineLvl w:val="0"/>
        <w:rPr>
          <w:rFonts w:eastAsia="方正小标宋简体"/>
          <w:sz w:val="44"/>
          <w:szCs w:val="44"/>
        </w:rPr>
      </w:pPr>
    </w:p>
    <w:p>
      <w:pPr>
        <w:spacing w:line="600" w:lineRule="exact"/>
        <w:jc w:val="center"/>
        <w:outlineLvl w:val="0"/>
        <w:rPr>
          <w:rFonts w:ascii="Times New Roman" w:eastAsia="方正小标宋简体" w:hAnsi="Times New Roman"/>
          <w:color w:val="auto"/>
          <w:sz w:val="72"/>
          <w:szCs w:val="72"/>
          <w:highlight w:val="auto"/>
        </w:rPr>
      </w:pPr>
    </w:p>
    <w:p>
      <w:pPr>
        <w:pStyle w:val="15"/>
        <w:rPr>
          <w:rFonts w:ascii="Times New Roman" w:eastAsia="方正小标宋简体" w:hAnsi="Times New Roman"/>
          <w:color w:val="auto"/>
          <w:sz w:val="72"/>
          <w:szCs w:val="72"/>
          <w:highlight w:val="auto"/>
        </w:rPr>
      </w:pPr>
    </w:p>
    <w:p>
      <w:pPr>
        <w:rPr>
          <w:rFonts w:ascii="Times New Roman" w:eastAsia="方正小标宋简体" w:hAnsi="Times New Roman"/>
          <w:color w:val="auto"/>
          <w:sz w:val="72"/>
          <w:szCs w:val="72"/>
          <w:highlight w:val="auto"/>
        </w:rPr>
      </w:pPr>
    </w:p>
    <w:p>
      <w:pPr>
        <w:pStyle w:val="15"/>
        <w:rPr>
          <w:rFonts w:ascii="Times New Roman" w:eastAsia="方正小标宋简体" w:hAnsi="Times New Roman"/>
          <w:color w:val="auto"/>
          <w:sz w:val="72"/>
          <w:szCs w:val="72"/>
          <w:highlight w:val="auto"/>
        </w:rPr>
      </w:pPr>
    </w:p>
    <w:p>
      <w:pPr>
        <w:rPr>
          <w:rFonts w:ascii="Times New Roman" w:eastAsia="方正小标宋简体" w:hAnsi="Times New Roman"/>
          <w:color w:val="auto"/>
          <w:sz w:val="72"/>
          <w:szCs w:val="72"/>
          <w:highlight w:val="auto"/>
        </w:rPr>
      </w:pPr>
    </w:p>
    <w:p>
      <w:pPr>
        <w:pStyle w:val="15"/>
        <w:rPr>
          <w:rFonts w:ascii="Times New Roman" w:eastAsia="方正小标宋简体" w:hAnsi="Times New Roman"/>
          <w:color w:val="auto"/>
          <w:sz w:val="72"/>
          <w:szCs w:val="72"/>
          <w:highlight w:val="auto"/>
        </w:rPr>
      </w:pPr>
    </w:p>
    <w:p>
      <w:pPr>
        <w:pStyle w:val="15"/>
      </w:pPr>
    </w:p>
    <w:p>
      <w:pPr>
        <w:widowControl/>
        <w:spacing w:line="540" w:lineRule="exact"/>
        <w:jc w:val="center"/>
        <w:rPr>
          <w:rFonts w:ascii="Times New Roman" w:hAnsi="Times New Roman"/>
        </w:rPr>
        <w:sectPr>
          <w:headerReference w:type="default" r:id="rId2"/>
          <w:footerReference w:type="default" r:id="rId3"/>
          <w:footerReference w:type="first" r:id="rId4"/>
          <w:pgSz w:w="11906" w:h="16838"/>
          <w:pgMar w:top="1440" w:right="1800" w:bottom="1440" w:left="1800" w:header="851" w:footer="992" w:gutter="0"/>
          <w:pgNumType w:start="1"/>
          <w:titlePg/>
          <w:docGrid w:type="lines" w:linePitch="312" w:charSpace="0"/>
        </w:sectPr>
      </w:pPr>
      <w:r>
        <w:rPr>
          <w:rFonts w:ascii="仿宋" w:eastAsia="仿宋" w:cs="方正小标宋简体" w:hint="eastAsia"/>
          <w:sz w:val="28"/>
          <w:szCs w:val="28"/>
        </w:rPr>
        <w:t>已经保密审查、内容审定、同意对外公开</w:t>
      </w:r>
    </w:p>
    <w:p>
      <w:pPr>
        <w:widowControl/>
        <w:jc w:val="center"/>
        <w:rPr>
          <w:rFonts w:eastAsia="黑体"/>
          <w:sz w:val="48"/>
          <w:szCs w:val="48"/>
        </w:rPr>
      </w:pPr>
      <w:bookmarkStart w:id="6" w:name="_Toc15396599"/>
      <w:bookmarkStart w:id="7" w:name="_Toc15377196"/>
      <w:bookmarkEnd w:id="0"/>
      <w:bookmarkEnd w:id="1"/>
      <w:bookmarkEnd w:id="2"/>
      <w:bookmarkEnd w:id="3"/>
      <w:bookmarkEnd w:id="4"/>
      <w:bookmarkEnd w:id="5"/>
      <w:r>
        <w:rPr>
          <w:rFonts w:eastAsia="黑体" w:hint="eastAsia"/>
          <w:sz w:val="48"/>
          <w:szCs w:val="48"/>
        </w:rPr>
        <w:t>目录</w:t>
      </w:r>
    </w:p>
    <w:p>
      <w:pPr>
        <w:widowControl/>
        <w:jc w:val="center"/>
        <w:rPr>
          <w:rFonts w:eastAsia="黑体" w:cs="Arial"/>
          <w:sz w:val="28"/>
          <w:szCs w:val="28"/>
        </w:rPr>
      </w:pPr>
    </w:p>
    <w:p>
      <w:pPr>
        <w:pStyle w:val="23"/>
        <w:tabs>
          <w:tab w:val="right" w:leader="dot" w:pos="8296"/>
        </w:tabs>
        <w:jc w:val="center"/>
        <w:rPr>
          <w:rFonts w:ascii="Times New Roman" w:eastAsia="仿宋_GB2312" w:cs="仿宋_GB2312" w:hAnsi="Times New Roman"/>
          <w:sz w:val="32"/>
          <w:szCs w:val="32"/>
        </w:rPr>
      </w:pPr>
      <w:r>
        <w:rPr>
          <w:rFonts w:ascii="Times New Roman" w:eastAsia="仿宋_GB2312" w:cs="仿宋_GB2312" w:hAnsi="Times New Roman" w:hint="eastAsia"/>
          <w:sz w:val="32"/>
          <w:szCs w:val="32"/>
        </w:rPr>
        <w:t>公开时间：202</w:t>
      </w:r>
      <w:r>
        <w:rPr>
          <w:rFonts w:ascii="Times New Roman" w:eastAsia="仿宋_GB2312" w:cs="仿宋_GB2312" w:hAnsi="Times New Roman" w:hint="eastAsia"/>
          <w:sz w:val="32"/>
          <w:szCs w:val="32"/>
          <w:lang w:val="en-US" w:eastAsia="zh-CN"/>
        </w:rPr>
        <w:t>6</w:t>
      </w:r>
      <w:r>
        <w:rPr>
          <w:rFonts w:ascii="Times New Roman" w:eastAsia="仿宋_GB2312" w:cs="仿宋_GB2312" w:hAnsi="Times New Roman" w:hint="eastAsia"/>
          <w:sz w:val="32"/>
          <w:szCs w:val="32"/>
        </w:rPr>
        <w:t>年10 月</w:t>
      </w:r>
      <w:r>
        <w:rPr>
          <w:rFonts w:ascii="Times New Roman" w:eastAsia="仿宋_GB2312" w:cs="仿宋_GB2312" w:hAnsi="Times New Roman" w:hint="eastAsia"/>
          <w:sz w:val="32"/>
          <w:szCs w:val="32"/>
          <w:lang w:val="en-US" w:eastAsia="zh-CN"/>
        </w:rPr>
        <w:t>10</w:t>
      </w:r>
      <w:r>
        <w:rPr>
          <w:rFonts w:ascii="Times New Roman" w:eastAsia="仿宋_GB2312" w:cs="仿宋_GB2312" w:hAnsi="Times New Roman" w:hint="eastAsia"/>
          <w:sz w:val="32"/>
          <w:szCs w:val="32"/>
        </w:rPr>
        <w:t>日</w:t>
      </w:r>
    </w:p>
    <w:p>
      <w:pPr>
        <w:jc w:val="center"/>
      </w:pPr>
    </w:p>
    <w:p>
      <w:pPr>
        <w:pStyle w:val="23"/>
        <w:tabs>
          <w:tab w:val="right" w:leader="dot" w:pos="8296"/>
        </w:tabs>
        <w:adjustRightInd w:val="0"/>
        <w:snapToGrid w:val="0"/>
        <w:spacing w:before="0" w:line="560" w:lineRule="exact"/>
        <w:jc w:val="left"/>
        <w:rPr>
          <w:rFonts w:ascii="Times New Roman" w:eastAsia="黑体" w:cs="黑体" w:hAnsi="Times New Roman"/>
          <w:sz w:val="32"/>
          <w:szCs w:val="32"/>
        </w:rPr>
      </w:pPr>
      <w:r>
        <w:rPr>
          <w:rFonts w:ascii="Times New Roman" w:eastAsia="黑体" w:cs="黑体" w:hAnsi="Times New Roman" w:hint="eastAsia"/>
          <w:sz w:val="32"/>
          <w:szCs w:val="32"/>
        </w:rPr>
        <w:t>第一部分 部门概况</w:t>
      </w:r>
    </w:p>
    <w:p>
      <w:pPr>
        <w:pStyle w:val="25"/>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一、部门职责.......................................................................</w:t>
      </w:r>
      <w:r>
        <w:rPr>
          <w:rFonts w:eastAsia="仿宋_GB2312" w:cs="仿宋_GB2312" w:hint="eastAsia"/>
          <w:sz w:val="32"/>
          <w:szCs w:val="32"/>
          <w:lang w:val="en-US" w:eastAsia="zh-CN"/>
        </w:rPr>
        <w:t>4</w:t>
      </w:r>
      <w:r>
        <w:rPr>
          <w:rFonts w:eastAsia="仿宋_GB2312" w:cs="仿宋_GB2312" w:hint="eastAsia"/>
          <w:sz w:val="32"/>
          <w:szCs w:val="32"/>
        </w:rPr>
        <w:t xml:space="preserve">                     </w:t>
      </w:r>
    </w:p>
    <w:p>
      <w:pPr>
        <w:pStyle w:val="25"/>
        <w:tabs>
          <w:tab w:val="right" w:leader="dot" w:pos="8296"/>
        </w:tabs>
        <w:adjustRightInd w:val="0"/>
        <w:snapToGrid w:val="0"/>
        <w:spacing w:line="560" w:lineRule="exact"/>
        <w:ind w:leftChars="0" w:left="0" w:firstLineChars="200" w:firstLine="640"/>
        <w:jc w:val="left"/>
        <w:rPr>
          <w:rFonts w:eastAsia="仿宋_GB2312" w:cs="仿宋_GB2312" w:hint="eastAsia"/>
          <w:sz w:val="32"/>
          <w:szCs w:val="32"/>
          <w:lang w:eastAsia="zh-CN"/>
        </w:rPr>
      </w:pPr>
      <w:r>
        <w:rPr>
          <w:rFonts w:eastAsia="仿宋_GB2312" w:cs="仿宋_GB2312" w:hint="eastAsia"/>
          <w:sz w:val="32"/>
          <w:szCs w:val="32"/>
        </w:rPr>
        <w:t>二、机构设置......................................................................</w:t>
      </w:r>
      <w:r>
        <w:rPr>
          <w:rFonts w:eastAsia="仿宋_GB2312" w:cs="仿宋_GB2312" w:hint="eastAsia"/>
          <w:sz w:val="32"/>
          <w:szCs w:val="32"/>
          <w:lang w:val="en-US" w:eastAsia="zh-CN"/>
        </w:rPr>
        <w:t>4</w:t>
      </w:r>
    </w:p>
    <w:p>
      <w:pPr>
        <w:pStyle w:val="23"/>
        <w:tabs>
          <w:tab w:val="right" w:leader="dot" w:pos="8296"/>
        </w:tabs>
        <w:adjustRightInd w:val="0"/>
        <w:snapToGrid w:val="0"/>
        <w:spacing w:before="0" w:line="560" w:lineRule="exact"/>
        <w:jc w:val="left"/>
        <w:rPr>
          <w:rFonts w:ascii="Times New Roman" w:eastAsia="黑体" w:cs="黑体" w:hAnsi="Times New Roman"/>
          <w:sz w:val="32"/>
          <w:szCs w:val="32"/>
        </w:rPr>
      </w:pPr>
      <w:r>
        <w:rPr>
          <w:rFonts w:ascii="Times New Roman" w:eastAsia="黑体" w:cs="黑体" w:hAnsi="Times New Roman" w:hint="eastAsia"/>
          <w:sz w:val="32"/>
          <w:szCs w:val="32"/>
        </w:rPr>
        <w:t>第二部分 2024年度部门决算情况说明</w:t>
      </w:r>
    </w:p>
    <w:p>
      <w:pPr>
        <w:pStyle w:val="25"/>
        <w:tabs>
          <w:tab w:val="right" w:leader="dot" w:pos="8296"/>
        </w:tabs>
        <w:adjustRightInd w:val="0"/>
        <w:snapToGrid w:val="0"/>
        <w:spacing w:line="560" w:lineRule="exact"/>
        <w:ind w:leftChars="0" w:left="0" w:firstLineChars="200" w:firstLine="640"/>
        <w:jc w:val="left"/>
        <w:rPr>
          <w:rFonts w:eastAsia="仿宋_GB2312" w:cs="仿宋_GB2312" w:hint="eastAsia"/>
          <w:sz w:val="32"/>
          <w:szCs w:val="32"/>
          <w:lang w:eastAsia="zh-CN"/>
        </w:rPr>
      </w:pPr>
      <w:r>
        <w:rPr>
          <w:rFonts w:eastAsia="仿宋_GB2312" w:cs="仿宋_GB2312" w:hint="eastAsia"/>
          <w:sz w:val="32"/>
          <w:szCs w:val="32"/>
        </w:rPr>
        <w:t>一、收入支出决算总体情况说明.....................................</w:t>
      </w:r>
      <w:r>
        <w:rPr>
          <w:rFonts w:eastAsia="仿宋_GB2312" w:cs="仿宋_GB2312" w:hint="eastAsia"/>
          <w:sz w:val="32"/>
          <w:szCs w:val="32"/>
          <w:lang w:val="en-US" w:eastAsia="zh-CN"/>
        </w:rPr>
        <w:t>5</w:t>
      </w:r>
    </w:p>
    <w:p>
      <w:pPr>
        <w:pStyle w:val="25"/>
        <w:tabs>
          <w:tab w:val="right" w:leader="dot" w:pos="8296"/>
        </w:tabs>
        <w:adjustRightInd w:val="0"/>
        <w:snapToGrid w:val="0"/>
        <w:spacing w:line="560" w:lineRule="exact"/>
        <w:ind w:leftChars="304" w:left="638" w:firstLine="0"/>
        <w:jc w:val="left"/>
        <w:rPr>
          <w:rFonts w:eastAsia="仿宋_GB2312" w:cs="仿宋_GB2312" w:hint="eastAsia"/>
          <w:sz w:val="32"/>
          <w:szCs w:val="32"/>
          <w:lang w:eastAsia="zh-CN"/>
        </w:rPr>
      </w:pPr>
      <w:r>
        <w:rPr>
          <w:rFonts w:eastAsia="仿宋_GB2312" w:cs="仿宋_GB2312" w:hint="eastAsia"/>
          <w:sz w:val="32"/>
          <w:szCs w:val="32"/>
        </w:rPr>
        <w:t>二、收入决算情况说明.....................................................</w:t>
      </w:r>
      <w:r>
        <w:rPr>
          <w:rFonts w:eastAsia="仿宋_GB2312" w:cs="仿宋_GB2312" w:hint="eastAsia"/>
          <w:sz w:val="32"/>
          <w:szCs w:val="32"/>
          <w:lang w:val="en-US" w:eastAsia="zh-CN"/>
        </w:rPr>
        <w:t>5</w:t>
      </w:r>
      <w:r>
        <w:rPr>
          <w:rFonts w:eastAsia="仿宋_GB2312" w:cs="仿宋_GB2312" w:hint="eastAsia"/>
          <w:sz w:val="32"/>
          <w:szCs w:val="32"/>
        </w:rPr>
        <w:t>三、支出决算情况说明.....................................................</w:t>
      </w:r>
      <w:r>
        <w:rPr>
          <w:rFonts w:eastAsia="仿宋_GB2312" w:cs="仿宋_GB2312" w:hint="eastAsia"/>
          <w:sz w:val="32"/>
          <w:szCs w:val="32"/>
          <w:lang w:val="en-US" w:eastAsia="zh-CN"/>
        </w:rPr>
        <w:t>6</w:t>
      </w:r>
    </w:p>
    <w:p>
      <w:pPr>
        <w:pStyle w:val="25"/>
        <w:tabs>
          <w:tab w:val="right" w:leader="dot" w:pos="8296"/>
        </w:tabs>
        <w:adjustRightInd w:val="0"/>
        <w:snapToGrid w:val="0"/>
        <w:spacing w:line="560" w:lineRule="exact"/>
        <w:ind w:leftChars="0" w:left="0" w:firstLineChars="200" w:firstLine="640"/>
        <w:jc w:val="left"/>
        <w:rPr>
          <w:rFonts w:eastAsia="仿宋_GB2312" w:cs="仿宋_GB2312" w:hint="eastAsia"/>
          <w:sz w:val="32"/>
          <w:szCs w:val="32"/>
          <w:lang w:eastAsia="zh-CN"/>
        </w:rPr>
      </w:pPr>
      <w:r>
        <w:rPr>
          <w:rFonts w:eastAsia="仿宋_GB2312" w:cs="仿宋_GB2312" w:hint="eastAsia"/>
          <w:sz w:val="32"/>
          <w:szCs w:val="32"/>
        </w:rPr>
        <w:t>四、财政拨款收入支出决算总体情况说明.....................</w:t>
      </w:r>
      <w:r>
        <w:rPr>
          <w:rFonts w:eastAsia="仿宋_GB2312" w:cs="仿宋_GB2312" w:hint="eastAsia"/>
          <w:sz w:val="32"/>
          <w:szCs w:val="32"/>
          <w:lang w:val="en-US" w:eastAsia="zh-CN"/>
        </w:rPr>
        <w:t>7</w:t>
      </w:r>
    </w:p>
    <w:p>
      <w:pPr>
        <w:pStyle w:val="25"/>
        <w:tabs>
          <w:tab w:val="right" w:leader="dot" w:pos="8296"/>
        </w:tabs>
        <w:adjustRightInd w:val="0"/>
        <w:snapToGrid w:val="0"/>
        <w:spacing w:line="560" w:lineRule="exact"/>
        <w:ind w:leftChars="0" w:left="0" w:firstLineChars="200" w:firstLine="640"/>
        <w:jc w:val="left"/>
        <w:rPr>
          <w:rFonts w:eastAsia="仿宋_GB2312" w:cs="仿宋_GB2312" w:hint="eastAsia"/>
          <w:sz w:val="32"/>
          <w:szCs w:val="32"/>
          <w:lang w:eastAsia="zh-CN"/>
        </w:rPr>
      </w:pPr>
      <w:r>
        <w:rPr>
          <w:rFonts w:eastAsia="仿宋_GB2312" w:cs="仿宋_GB2312" w:hint="eastAsia"/>
          <w:sz w:val="32"/>
          <w:szCs w:val="32"/>
        </w:rPr>
        <w:t>五、一般公共预算财政拨款支出决算情况说明.............</w:t>
      </w:r>
      <w:r>
        <w:rPr>
          <w:rFonts w:eastAsia="仿宋_GB2312" w:cs="仿宋_GB2312" w:hint="eastAsia"/>
          <w:sz w:val="32"/>
          <w:szCs w:val="32"/>
          <w:lang w:val="en-US" w:eastAsia="zh-CN"/>
        </w:rPr>
        <w:t>7</w:t>
      </w:r>
    </w:p>
    <w:p>
      <w:pPr>
        <w:pStyle w:val="25"/>
        <w:tabs>
          <w:tab w:val="right" w:leader="dot" w:pos="8296"/>
        </w:tabs>
        <w:adjustRightInd w:val="0"/>
        <w:snapToGrid w:val="0"/>
        <w:spacing w:line="560" w:lineRule="exact"/>
        <w:ind w:leftChars="0" w:left="0" w:firstLineChars="200" w:firstLine="640"/>
        <w:jc w:val="left"/>
        <w:rPr>
          <w:rFonts w:eastAsia="仿宋_GB2312" w:cs="仿宋_GB2312" w:hint="eastAsia"/>
          <w:sz w:val="32"/>
          <w:szCs w:val="32"/>
          <w:lang w:eastAsia="zh-CN"/>
        </w:rPr>
      </w:pPr>
      <w:r>
        <w:rPr>
          <w:rFonts w:eastAsia="仿宋_GB2312" w:cs="仿宋_GB2312" w:hint="eastAsia"/>
          <w:sz w:val="32"/>
          <w:szCs w:val="32"/>
        </w:rPr>
        <w:t>六、一般公共预算财政拨款基本支出决算情况说明.....</w:t>
      </w:r>
      <w:r>
        <w:rPr>
          <w:rFonts w:eastAsia="仿宋_GB2312" w:cs="仿宋_GB2312" w:hint="eastAsia"/>
          <w:sz w:val="32"/>
          <w:szCs w:val="32"/>
          <w:lang w:val="en-US" w:eastAsia="zh-CN"/>
        </w:rPr>
        <w:t>9</w:t>
      </w:r>
    </w:p>
    <w:p>
      <w:pPr>
        <w:pStyle w:val="25"/>
        <w:tabs>
          <w:tab w:val="right" w:leader="dot" w:pos="8296"/>
        </w:tabs>
        <w:adjustRightInd w:val="0"/>
        <w:snapToGrid w:val="0"/>
        <w:spacing w:line="560" w:lineRule="exact"/>
        <w:ind w:leftChars="304" w:left="638" w:firstLine="0"/>
        <w:jc w:val="left"/>
        <w:rPr>
          <w:rFonts w:eastAsia="仿宋_GB2312" w:cs="仿宋_GB2312" w:hint="eastAsia"/>
          <w:sz w:val="32"/>
          <w:szCs w:val="32"/>
          <w:lang w:eastAsia="zh-CN"/>
        </w:rPr>
      </w:pPr>
      <w:r>
        <w:rPr>
          <w:rFonts w:eastAsia="仿宋_GB2312" w:cs="仿宋_GB2312" w:hint="eastAsia"/>
          <w:sz w:val="32"/>
          <w:szCs w:val="32"/>
        </w:rPr>
        <w:t>七、财政拨款“三公”经费支出决算情况说明..............</w:t>
      </w:r>
      <w:r>
        <w:rPr>
          <w:rFonts w:eastAsia="仿宋_GB2312" w:cs="仿宋_GB2312" w:hint="eastAsia"/>
          <w:sz w:val="32"/>
          <w:szCs w:val="32"/>
          <w:lang w:val="en-US" w:eastAsia="zh-CN"/>
        </w:rPr>
        <w:t>10</w:t>
      </w:r>
      <w:r>
        <w:rPr>
          <w:rFonts w:eastAsia="仿宋_GB2312" w:cs="仿宋_GB2312" w:hint="eastAsia"/>
          <w:sz w:val="32"/>
          <w:szCs w:val="32"/>
        </w:rPr>
        <w:t>八、政府性基金预算支出决算情况说明.........................1</w:t>
      </w:r>
      <w:r>
        <w:rPr>
          <w:rFonts w:eastAsia="仿宋_GB2312" w:cs="仿宋_GB2312" w:hint="eastAsia"/>
          <w:sz w:val="32"/>
          <w:szCs w:val="32"/>
          <w:lang w:val="en-US" w:eastAsia="zh-CN"/>
        </w:rPr>
        <w:t>1</w:t>
      </w:r>
    </w:p>
    <w:p>
      <w:pPr>
        <w:pStyle w:val="25"/>
        <w:tabs>
          <w:tab w:val="right" w:leader="dot" w:pos="8296"/>
        </w:tabs>
        <w:adjustRightInd w:val="0"/>
        <w:snapToGrid w:val="0"/>
        <w:spacing w:line="560" w:lineRule="exact"/>
        <w:ind w:leftChars="0" w:left="0" w:firstLineChars="200" w:firstLine="640"/>
        <w:jc w:val="left"/>
        <w:rPr>
          <w:rFonts w:eastAsia="仿宋_GB2312" w:cs="仿宋_GB2312" w:hint="eastAsia"/>
          <w:sz w:val="32"/>
          <w:szCs w:val="32"/>
          <w:lang w:eastAsia="zh-CN"/>
        </w:rPr>
      </w:pPr>
      <w:r>
        <w:rPr>
          <w:rFonts w:eastAsia="仿宋_GB2312" w:cs="仿宋_GB2312" w:hint="eastAsia"/>
          <w:sz w:val="32"/>
          <w:szCs w:val="32"/>
        </w:rPr>
        <w:t>九、国有资本经营预算支出决算情况说明....................1</w:t>
      </w:r>
      <w:r>
        <w:rPr>
          <w:rFonts w:eastAsia="仿宋_GB2312" w:cs="仿宋_GB2312" w:hint="eastAsia"/>
          <w:sz w:val="32"/>
          <w:szCs w:val="32"/>
          <w:lang w:val="en-US" w:eastAsia="zh-CN"/>
        </w:rPr>
        <w:t>1</w:t>
      </w:r>
    </w:p>
    <w:p>
      <w:pPr>
        <w:pStyle w:val="25"/>
        <w:tabs>
          <w:tab w:val="right" w:leader="dot" w:pos="8296"/>
        </w:tabs>
        <w:adjustRightInd w:val="0"/>
        <w:snapToGrid w:val="0"/>
        <w:spacing w:line="560" w:lineRule="exact"/>
        <w:ind w:leftChars="0" w:left="0" w:firstLineChars="200" w:firstLine="640"/>
        <w:jc w:val="left"/>
        <w:rPr>
          <w:rFonts w:eastAsia="仿宋_GB2312" w:cs="仿宋_GB2312" w:hint="eastAsia"/>
          <w:sz w:val="32"/>
          <w:szCs w:val="32"/>
          <w:lang w:eastAsia="zh-CN"/>
        </w:rPr>
      </w:pPr>
      <w:r>
        <w:rPr>
          <w:rFonts w:eastAsia="仿宋_GB2312" w:cs="仿宋_GB2312" w:hint="eastAsia"/>
          <w:sz w:val="32"/>
          <w:szCs w:val="32"/>
        </w:rPr>
        <w:t>十、其他重要事项的情况说明.........................................1</w:t>
      </w:r>
      <w:r>
        <w:rPr>
          <w:rFonts w:eastAsia="仿宋_GB2312" w:cs="仿宋_GB2312" w:hint="eastAsia"/>
          <w:sz w:val="32"/>
          <w:szCs w:val="32"/>
          <w:lang w:val="en-US" w:eastAsia="zh-CN"/>
        </w:rPr>
        <w:t>2</w:t>
      </w:r>
    </w:p>
    <w:p>
      <w:pPr>
        <w:pStyle w:val="23"/>
        <w:tabs>
          <w:tab w:val="right" w:leader="dot" w:pos="8296"/>
        </w:tabs>
        <w:adjustRightInd w:val="0"/>
        <w:snapToGrid w:val="0"/>
        <w:spacing w:before="0" w:line="560" w:lineRule="exact"/>
        <w:jc w:val="left"/>
        <w:rPr>
          <w:rFonts w:ascii="Times New Roman" w:eastAsia="黑体" w:cs="黑体" w:hAnsi="Times New Roman" w:hint="eastAsia"/>
          <w:sz w:val="32"/>
          <w:szCs w:val="32"/>
          <w:lang w:eastAsia="zh-CN"/>
        </w:rPr>
      </w:pPr>
      <w:r>
        <w:rPr>
          <w:rFonts w:ascii="Times New Roman" w:eastAsia="黑体" w:cs="黑体" w:hAnsi="Times New Roman" w:hint="eastAsia"/>
          <w:sz w:val="32"/>
          <w:szCs w:val="32"/>
        </w:rPr>
        <w:t>第三部分 名词解释.................................................................1</w:t>
      </w:r>
      <w:r>
        <w:rPr>
          <w:rFonts w:ascii="Times New Roman" w:eastAsia="黑体" w:cs="黑体" w:hAnsi="Times New Roman" w:hint="eastAsia"/>
          <w:sz w:val="32"/>
          <w:szCs w:val="32"/>
          <w:lang w:val="en-US" w:eastAsia="zh-CN"/>
        </w:rPr>
        <w:t>4</w:t>
      </w:r>
    </w:p>
    <w:p>
      <w:pPr>
        <w:pStyle w:val="23"/>
        <w:tabs>
          <w:tab w:val="right" w:leader="dot" w:pos="8296"/>
        </w:tabs>
        <w:adjustRightInd w:val="0"/>
        <w:snapToGrid w:val="0"/>
        <w:spacing w:before="0" w:line="560" w:lineRule="exact"/>
        <w:jc w:val="left"/>
        <w:rPr>
          <w:rFonts w:ascii="Times New Roman" w:eastAsia="黑体" w:cs="黑体" w:hAnsi="Times New Roman" w:hint="eastAsia"/>
          <w:sz w:val="32"/>
          <w:szCs w:val="32"/>
          <w:lang w:eastAsia="zh-CN"/>
        </w:rPr>
      </w:pPr>
      <w:r>
        <w:rPr>
          <w:rFonts w:ascii="Times New Roman" w:eastAsia="黑体" w:cs="黑体" w:hAnsi="Times New Roman" w:hint="eastAsia"/>
          <w:sz w:val="32"/>
          <w:szCs w:val="32"/>
        </w:rPr>
        <w:t>第四部分附件..........................................................</w:t>
      </w:r>
      <w:r>
        <w:rPr>
          <w:rFonts w:ascii="Times New Roman" w:eastAsia="黑体" w:cs="黑体" w:hAnsi="Times New Roman" w:hint="eastAsia"/>
          <w:sz w:val="32"/>
          <w:szCs w:val="32"/>
          <w:lang w:val="en-US" w:eastAsia="zh-CN"/>
        </w:rPr>
        <w:t>..</w:t>
      </w:r>
      <w:r>
        <w:rPr>
          <w:rFonts w:ascii="Times New Roman" w:eastAsia="黑体" w:cs="黑体" w:hAnsi="Times New Roman" w:hint="eastAsia"/>
          <w:sz w:val="32"/>
          <w:szCs w:val="32"/>
        </w:rPr>
        <w:t>...............1</w:t>
      </w:r>
      <w:r>
        <w:rPr>
          <w:rFonts w:ascii="Times New Roman" w:eastAsia="黑体" w:cs="黑体" w:hAnsi="Times New Roman" w:hint="eastAsia"/>
          <w:sz w:val="32"/>
          <w:szCs w:val="32"/>
          <w:lang w:val="en-US" w:eastAsia="zh-CN"/>
        </w:rPr>
        <w:t>6</w:t>
      </w:r>
    </w:p>
    <w:p>
      <w:pPr>
        <w:pStyle w:val="23"/>
        <w:tabs>
          <w:tab w:val="right" w:leader="dot" w:pos="8296"/>
        </w:tabs>
        <w:adjustRightInd w:val="0"/>
        <w:snapToGrid w:val="0"/>
        <w:spacing w:before="0" w:line="560" w:lineRule="exact"/>
        <w:jc w:val="left"/>
        <w:rPr>
          <w:rFonts w:ascii="Times New Roman" w:eastAsia="黑体" w:cs="黑体" w:hAnsi="Times New Roman" w:hint="eastAsia"/>
          <w:sz w:val="32"/>
          <w:szCs w:val="32"/>
          <w:lang w:eastAsia="zh-CN"/>
        </w:rPr>
      </w:pPr>
      <w:r>
        <w:rPr>
          <w:rFonts w:ascii="Times New Roman" w:eastAsia="黑体" w:cs="黑体" w:hAnsi="Times New Roman" w:hint="eastAsia"/>
          <w:sz w:val="32"/>
          <w:szCs w:val="32"/>
        </w:rPr>
        <w:t>第五部分 附表.........................................................................1</w:t>
      </w:r>
      <w:r>
        <w:rPr>
          <w:rFonts w:ascii="Times New Roman" w:eastAsia="黑体" w:cs="黑体" w:hAnsi="Times New Roman" w:hint="eastAsia"/>
          <w:sz w:val="32"/>
          <w:szCs w:val="32"/>
          <w:lang w:val="en-US" w:eastAsia="zh-CN"/>
        </w:rPr>
        <w:t>7</w:t>
      </w:r>
    </w:p>
    <w:p>
      <w:pPr>
        <w:pStyle w:val="25"/>
        <w:tabs>
          <w:tab w:val="right" w:leader="dot" w:pos="8296"/>
        </w:tabs>
        <w:adjustRightInd w:val="0"/>
        <w:snapToGrid w:val="0"/>
        <w:spacing w:line="560" w:lineRule="exact"/>
        <w:ind w:leftChars="304" w:left="638" w:firstLine="0"/>
        <w:jc w:val="left"/>
        <w:rPr>
          <w:rFonts w:eastAsia="仿宋_GB2312" w:cs="仿宋_GB2312" w:hint="eastAsia"/>
          <w:sz w:val="32"/>
          <w:szCs w:val="32"/>
          <w:lang w:eastAsia="zh-CN"/>
        </w:rPr>
      </w:pPr>
      <w:r>
        <w:rPr>
          <w:rFonts w:eastAsia="仿宋_GB2312" w:cs="仿宋_GB2312" w:hint="eastAsia"/>
          <w:sz w:val="32"/>
          <w:szCs w:val="32"/>
        </w:rPr>
        <w:t>一、收入支出决算总表....................................................1</w:t>
      </w:r>
      <w:r>
        <w:rPr>
          <w:rFonts w:eastAsia="仿宋_GB2312" w:cs="仿宋_GB2312" w:hint="eastAsia"/>
          <w:sz w:val="32"/>
          <w:szCs w:val="32"/>
          <w:lang w:val="en-US" w:eastAsia="zh-CN"/>
        </w:rPr>
        <w:t>7</w:t>
      </w:r>
      <w:r>
        <w:rPr>
          <w:rFonts w:eastAsia="仿宋_GB2312" w:cs="仿宋_GB2312" w:hint="eastAsia"/>
          <w:sz w:val="32"/>
          <w:szCs w:val="32"/>
        </w:rPr>
        <w:t>二、收入决算表.................................................................1</w:t>
      </w:r>
      <w:r>
        <w:rPr>
          <w:rFonts w:eastAsia="仿宋_GB2312" w:cs="仿宋_GB2312" w:hint="eastAsia"/>
          <w:sz w:val="32"/>
          <w:szCs w:val="32"/>
          <w:lang w:val="en-US" w:eastAsia="zh-CN"/>
        </w:rPr>
        <w:t>7</w:t>
      </w:r>
    </w:p>
    <w:p>
      <w:pPr>
        <w:pStyle w:val="25"/>
        <w:tabs>
          <w:tab w:val="right" w:leader="dot" w:pos="8296"/>
        </w:tabs>
        <w:adjustRightInd w:val="0"/>
        <w:snapToGrid w:val="0"/>
        <w:spacing w:line="560" w:lineRule="exact"/>
        <w:ind w:leftChars="0" w:left="0" w:firstLineChars="200" w:firstLine="640"/>
        <w:jc w:val="right"/>
        <w:rPr>
          <w:rFonts w:eastAsia="仿宋_GB2312" w:cs="仿宋_GB2312" w:hint="eastAsia"/>
          <w:sz w:val="32"/>
          <w:szCs w:val="32"/>
          <w:lang w:eastAsia="zh-CN"/>
        </w:rPr>
      </w:pPr>
      <w:r>
        <w:rPr>
          <w:rFonts w:eastAsia="仿宋_GB2312" w:cs="仿宋_GB2312" w:hint="eastAsia"/>
          <w:sz w:val="32"/>
          <w:szCs w:val="32"/>
        </w:rPr>
        <w:t>三、支出决算表.................................................................1</w:t>
      </w:r>
      <w:r>
        <w:rPr>
          <w:rFonts w:eastAsia="仿宋_GB2312" w:cs="仿宋_GB2312" w:hint="eastAsia"/>
          <w:sz w:val="32"/>
          <w:szCs w:val="32"/>
          <w:lang w:val="en-US" w:eastAsia="zh-CN"/>
        </w:rPr>
        <w:t xml:space="preserve">7        </w:t>
      </w:r>
      <w:r>
        <w:rPr>
          <w:rFonts w:eastAsia="仿宋_GB2312" w:cs="仿宋_GB2312" w:hint="eastAsia"/>
          <w:sz w:val="32"/>
          <w:szCs w:val="32"/>
        </w:rPr>
        <w:t>四、财政拨款收入支出决算总表............................</w:t>
      </w:r>
      <w:r>
        <w:rPr>
          <w:rFonts w:eastAsia="仿宋_GB2312" w:cs="仿宋_GB2312" w:hint="eastAsia"/>
          <w:sz w:val="32"/>
          <w:szCs w:val="32"/>
          <w:lang w:val="en-US" w:eastAsia="zh-CN"/>
        </w:rPr>
        <w:t>.</w:t>
      </w:r>
      <w:r>
        <w:rPr>
          <w:rFonts w:eastAsia="仿宋_GB2312" w:cs="仿宋_GB2312" w:hint="eastAsia"/>
          <w:sz w:val="32"/>
          <w:szCs w:val="32"/>
        </w:rPr>
        <w:t>.......1</w:t>
      </w:r>
      <w:r>
        <w:rPr>
          <w:rFonts w:eastAsia="仿宋_GB2312" w:cs="仿宋_GB2312" w:hint="eastAsia"/>
          <w:sz w:val="32"/>
          <w:szCs w:val="32"/>
          <w:lang w:val="en-US" w:eastAsia="zh-CN"/>
        </w:rPr>
        <w:t>7</w:t>
      </w:r>
    </w:p>
    <w:p>
      <w:pPr>
        <w:pStyle w:val="25"/>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五、财政拨款支出决算明细表........................................1</w:t>
      </w:r>
      <w:r>
        <w:rPr>
          <w:rFonts w:eastAsia="仿宋_GB2312" w:cs="仿宋_GB2312" w:hint="eastAsia"/>
          <w:sz w:val="32"/>
          <w:szCs w:val="32"/>
          <w:lang w:val="en-US" w:eastAsia="zh-CN"/>
        </w:rPr>
        <w:t>7</w:t>
      </w:r>
    </w:p>
    <w:p>
      <w:pPr>
        <w:pStyle w:val="25"/>
        <w:tabs>
          <w:tab w:val="right" w:leader="dot" w:pos="8296"/>
        </w:tabs>
        <w:adjustRightInd w:val="0"/>
        <w:snapToGrid w:val="0"/>
        <w:spacing w:line="560" w:lineRule="exact"/>
        <w:ind w:leftChars="304" w:left="638" w:firstLine="0"/>
        <w:jc w:val="left"/>
        <w:rPr>
          <w:rFonts w:eastAsia="仿宋_GB2312" w:cs="仿宋_GB2312"/>
          <w:sz w:val="32"/>
          <w:szCs w:val="32"/>
        </w:rPr>
      </w:pPr>
      <w:r>
        <w:rPr>
          <w:rFonts w:eastAsia="仿宋_GB2312" w:cs="仿宋_GB2312" w:hint="eastAsia"/>
          <w:sz w:val="32"/>
          <w:szCs w:val="32"/>
        </w:rPr>
        <w:t>六、一般公共预算财政拨款支出决算表.........................1</w:t>
      </w:r>
      <w:r>
        <w:rPr>
          <w:rFonts w:eastAsia="仿宋_GB2312" w:cs="仿宋_GB2312" w:hint="eastAsia"/>
          <w:sz w:val="32"/>
          <w:szCs w:val="32"/>
          <w:lang w:val="en-US" w:eastAsia="zh-CN"/>
        </w:rPr>
        <w:t>7</w:t>
      </w:r>
      <w:r>
        <w:rPr>
          <w:rFonts w:eastAsia="仿宋_GB2312" w:cs="仿宋_GB2312" w:hint="eastAsia"/>
          <w:sz w:val="32"/>
          <w:szCs w:val="32"/>
        </w:rPr>
        <w:t>七、一般公共预算财政拨款支出决算明细表.................1</w:t>
      </w:r>
      <w:r>
        <w:rPr>
          <w:rFonts w:eastAsia="仿宋_GB2312" w:cs="仿宋_GB2312" w:hint="eastAsia"/>
          <w:sz w:val="32"/>
          <w:szCs w:val="32"/>
          <w:lang w:val="en-US" w:eastAsia="zh-CN"/>
        </w:rPr>
        <w:t>7</w:t>
      </w:r>
    </w:p>
    <w:p>
      <w:pPr>
        <w:pStyle w:val="25"/>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八、一般公共预算财政拨款基本支出决算明细表.........1</w:t>
      </w:r>
      <w:r>
        <w:rPr>
          <w:rFonts w:eastAsia="仿宋_GB2312" w:cs="仿宋_GB2312" w:hint="eastAsia"/>
          <w:sz w:val="32"/>
          <w:szCs w:val="32"/>
          <w:lang w:val="en-US" w:eastAsia="zh-CN"/>
        </w:rPr>
        <w:t>7</w:t>
      </w:r>
    </w:p>
    <w:p>
      <w:pPr>
        <w:pStyle w:val="25"/>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九、一般公共预算财政拨款项目支出决算表.................1</w:t>
      </w:r>
      <w:r>
        <w:rPr>
          <w:rFonts w:eastAsia="仿宋_GB2312" w:cs="仿宋_GB2312" w:hint="eastAsia"/>
          <w:sz w:val="32"/>
          <w:szCs w:val="32"/>
          <w:lang w:val="en-US" w:eastAsia="zh-CN"/>
        </w:rPr>
        <w:t>7</w:t>
      </w:r>
    </w:p>
    <w:p>
      <w:pPr>
        <w:pStyle w:val="25"/>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十、政府性基金预算财政拨款收入支出决算表.............1</w:t>
      </w:r>
      <w:r>
        <w:rPr>
          <w:rFonts w:eastAsia="仿宋_GB2312" w:cs="仿宋_GB2312" w:hint="eastAsia"/>
          <w:sz w:val="32"/>
          <w:szCs w:val="32"/>
          <w:lang w:val="en-US" w:eastAsia="zh-CN"/>
        </w:rPr>
        <w:t>7</w:t>
      </w:r>
    </w:p>
    <w:p>
      <w:pPr>
        <w:pStyle w:val="25"/>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十一、国有资本经营预算财政拨款收入支出决算表.....1</w:t>
      </w:r>
      <w:r>
        <w:rPr>
          <w:rFonts w:eastAsia="仿宋_GB2312" w:cs="仿宋_GB2312" w:hint="eastAsia"/>
          <w:sz w:val="32"/>
          <w:szCs w:val="32"/>
          <w:lang w:val="en-US" w:eastAsia="zh-CN"/>
        </w:rPr>
        <w:t>7</w:t>
      </w:r>
    </w:p>
    <w:p>
      <w:pPr>
        <w:pStyle w:val="25"/>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十二、国有资本经营预算财政拨款支出决算表.............1</w:t>
      </w:r>
      <w:r>
        <w:rPr>
          <w:rFonts w:eastAsia="仿宋_GB2312" w:cs="仿宋_GB2312" w:hint="eastAsia"/>
          <w:sz w:val="32"/>
          <w:szCs w:val="32"/>
          <w:lang w:val="en-US" w:eastAsia="zh-CN"/>
        </w:rPr>
        <w:t>7</w:t>
      </w:r>
    </w:p>
    <w:p>
      <w:pPr>
        <w:pStyle w:val="25"/>
        <w:tabs>
          <w:tab w:val="right" w:leader="dot" w:pos="8296"/>
        </w:tabs>
        <w:adjustRightInd w:val="0"/>
        <w:snapToGrid w:val="0"/>
        <w:spacing w:line="560" w:lineRule="exact"/>
        <w:ind w:leftChars="0" w:left="0" w:firstLineChars="200" w:firstLine="640"/>
        <w:jc w:val="left"/>
        <w:rPr>
          <w:rFonts w:eastAsia="仿宋_GB2312" w:cs="仿宋_GB2312"/>
          <w:sz w:val="32"/>
          <w:szCs w:val="32"/>
        </w:rPr>
      </w:pPr>
      <w:r>
        <w:rPr>
          <w:rFonts w:eastAsia="仿宋_GB2312" w:cs="仿宋_GB2312" w:hint="eastAsia"/>
          <w:sz w:val="32"/>
          <w:szCs w:val="32"/>
        </w:rPr>
        <w:t>十三、财政拨款“三公”经费支出决算表........................1</w:t>
      </w:r>
      <w:r>
        <w:rPr>
          <w:rFonts w:eastAsia="仿宋_GB2312" w:cs="仿宋_GB2312" w:hint="eastAsia"/>
          <w:sz w:val="32"/>
          <w:szCs w:val="32"/>
          <w:lang w:val="en-US" w:eastAsia="zh-CN"/>
        </w:rPr>
        <w:t>7</w:t>
      </w:r>
    </w:p>
    <w:p>
      <w:pPr>
        <w:pStyle w:val="25"/>
        <w:tabs>
          <w:tab w:val="right" w:leader="dot" w:pos="8296"/>
        </w:tabs>
        <w:adjustRightInd w:val="0"/>
        <w:snapToGrid w:val="0"/>
        <w:spacing w:line="560" w:lineRule="exact"/>
        <w:ind w:leftChars="0" w:left="0" w:firstLine="0"/>
        <w:jc w:val="left"/>
        <w:rPr>
          <w:rFonts w:eastAsia="仿宋_GB2312" w:cs="仿宋_GB2312"/>
          <w:b/>
          <w:bCs/>
          <w:sz w:val="32"/>
          <w:szCs w:val="32"/>
        </w:rPr>
      </w:pPr>
    </w:p>
    <w:p>
      <w:pPr>
        <w:widowControl/>
        <w:spacing w:line="560" w:lineRule="exact"/>
        <w:jc w:val="left"/>
        <w:rPr>
          <w:rFonts w:eastAsia="仿宋_GB2312" w:cs="仿宋_GB2312"/>
          <w:bCs/>
          <w:kern w:val="44"/>
          <w:sz w:val="32"/>
          <w:szCs w:val="32"/>
        </w:rPr>
      </w:pPr>
      <w:r>
        <w:rPr>
          <w:rFonts w:eastAsia="仿宋_GB2312" w:cs="仿宋_GB2312" w:hint="eastAsia"/>
          <w:b/>
          <w:sz w:val="32"/>
          <w:szCs w:val="32"/>
        </w:rPr>
        <w:br w:type="page"/>
      </w:r>
    </w:p>
    <w:p>
      <w:pPr>
        <w:pStyle w:val="1"/>
        <w:jc w:val="center"/>
        <w:rPr>
          <w:rStyle w:val="1Char"/>
          <w:rFonts w:eastAsia="方正小标宋简体" w:cs="方正小标宋简体"/>
          <w:b/>
          <w:bCs w:val="0"/>
        </w:rPr>
      </w:pPr>
      <w:bookmarkEnd w:id="6"/>
      <w:bookmarkEnd w:id="7"/>
      <w:r>
        <w:rPr>
          <w:rFonts w:eastAsia="方正小标宋简体" w:cs="方正小标宋简体" w:hint="eastAsia"/>
          <w:b w:val="0"/>
        </w:rPr>
        <w:t>第一部分</w:t>
      </w:r>
      <w:r>
        <w:rPr>
          <w:rStyle w:val="1Char"/>
          <w:rFonts w:eastAsia="方正小标宋简体" w:cs="方正小标宋简体" w:hint="eastAsia"/>
          <w:b w:val="0"/>
          <w:bCs w:val="0"/>
        </w:rPr>
        <w:t>部门概况</w:t>
      </w:r>
    </w:p>
    <w:p>
      <w:pPr>
        <w:pStyle w:val="2"/>
        <w:spacing w:before="0" w:after="0" w:line="540" w:lineRule="exact"/>
        <w:rPr>
          <w:rFonts w:ascii="黑体" w:eastAsia="黑体"/>
          <w:b w:val="0"/>
        </w:rPr>
      </w:pPr>
      <w:r>
        <w:rPr>
          <w:rFonts w:ascii="黑体" w:eastAsia="黑体" w:hint="eastAsia"/>
          <w:b w:val="0"/>
        </w:rPr>
        <w:t xml:space="preserve">    一、部门职责</w:t>
      </w:r>
    </w:p>
    <w:p>
      <w:pPr>
        <w:pStyle w:val="2"/>
        <w:spacing w:before="0" w:after="0" w:line="540" w:lineRule="exact"/>
        <w:ind w:firstLineChars="200" w:firstLine="640"/>
        <w:rPr>
          <w:rFonts w:ascii="仿宋" w:eastAsia="仿宋"/>
          <w:b w:val="0"/>
          <w:shd w:val="clear" w:color="auto" w:fill="FFFFFF"/>
        </w:rPr>
      </w:pPr>
      <w:r>
        <w:rPr>
          <w:rFonts w:ascii="仿宋" w:eastAsia="仿宋" w:hint="eastAsia"/>
          <w:b w:val="0"/>
          <w:shd w:val="clear" w:color="auto" w:fill="FFFFFF"/>
        </w:rPr>
        <w:t>城乡居保局的主要职能是负责全县城乡居民养老保险的参保、缴费、待遇核算、待遇支付等,在维护社会和谐稳定、发展国民经济中具有</w:t>
      </w:r>
      <w:r>
        <w:rPr>
          <w:rFonts w:ascii="仿宋" w:eastAsia="仿宋"/>
          <w:b w:val="0"/>
          <w:shd w:val="clear" w:color="auto" w:fill="FFFFFF"/>
        </w:rPr>
        <w:t>“</w:t>
      </w:r>
      <w:r>
        <w:rPr>
          <w:rFonts w:ascii="仿宋" w:eastAsia="仿宋" w:hint="eastAsia"/>
          <w:b w:val="0"/>
          <w:shd w:val="clear" w:color="auto" w:fill="FFFFFF"/>
        </w:rPr>
        <w:t>稳定器</w:t>
      </w:r>
      <w:r>
        <w:rPr>
          <w:rFonts w:ascii="仿宋" w:eastAsia="仿宋"/>
          <w:b w:val="0"/>
          <w:shd w:val="clear" w:color="auto" w:fill="FFFFFF"/>
        </w:rPr>
        <w:t>”</w:t>
      </w:r>
      <w:r>
        <w:rPr>
          <w:rFonts w:ascii="仿宋" w:eastAsia="仿宋" w:hint="eastAsia"/>
          <w:b w:val="0"/>
          <w:shd w:val="clear" w:color="auto" w:fill="FFFFFF"/>
        </w:rPr>
        <w:t>、</w:t>
      </w:r>
      <w:r>
        <w:rPr>
          <w:rFonts w:ascii="仿宋" w:eastAsia="仿宋"/>
          <w:b w:val="0"/>
          <w:shd w:val="clear" w:color="auto" w:fill="FFFFFF"/>
        </w:rPr>
        <w:t>“</w:t>
      </w:r>
      <w:r>
        <w:rPr>
          <w:rFonts w:ascii="仿宋" w:eastAsia="仿宋" w:hint="eastAsia"/>
          <w:b w:val="0"/>
          <w:shd w:val="clear" w:color="auto" w:fill="FFFFFF"/>
        </w:rPr>
        <w:t>减震器</w:t>
      </w:r>
      <w:r>
        <w:rPr>
          <w:rFonts w:ascii="仿宋" w:eastAsia="仿宋"/>
          <w:b w:val="0"/>
          <w:shd w:val="clear" w:color="auto" w:fill="FFFFFF"/>
        </w:rPr>
        <w:t>”</w:t>
      </w:r>
      <w:r>
        <w:rPr>
          <w:rFonts w:ascii="仿宋" w:eastAsia="仿宋" w:hint="eastAsia"/>
          <w:b w:val="0"/>
          <w:shd w:val="clear" w:color="auto" w:fill="FFFFFF"/>
        </w:rPr>
        <w:t>和</w:t>
      </w:r>
      <w:r>
        <w:rPr>
          <w:rFonts w:ascii="仿宋" w:eastAsia="仿宋"/>
          <w:b w:val="0"/>
          <w:shd w:val="clear" w:color="auto" w:fill="FFFFFF"/>
        </w:rPr>
        <w:t>“</w:t>
      </w:r>
      <w:r>
        <w:rPr>
          <w:rFonts w:ascii="仿宋" w:eastAsia="仿宋" w:hint="eastAsia"/>
          <w:b w:val="0"/>
          <w:shd w:val="clear" w:color="auto" w:fill="FFFFFF"/>
        </w:rPr>
        <w:t>调节器</w:t>
      </w:r>
      <w:r>
        <w:rPr>
          <w:rFonts w:ascii="仿宋" w:eastAsia="仿宋"/>
          <w:b w:val="0"/>
          <w:shd w:val="clear" w:color="auto" w:fill="FFFFFF"/>
        </w:rPr>
        <w:t>”</w:t>
      </w:r>
      <w:r>
        <w:rPr>
          <w:rFonts w:ascii="仿宋" w:eastAsia="仿宋" w:hint="eastAsia"/>
          <w:b w:val="0"/>
          <w:shd w:val="clear" w:color="auto" w:fill="FFFFFF"/>
        </w:rPr>
        <w:t>的重要作用。</w:t>
      </w:r>
      <w:bookmarkStart w:id="8" w:name="_Toc15396601"/>
      <w:bookmarkStart w:id="9" w:name="_Toc15377200"/>
    </w:p>
    <w:p>
      <w:pPr>
        <w:pStyle w:val="2"/>
        <w:spacing w:before="0" w:after="0" w:line="540" w:lineRule="exact"/>
        <w:rPr>
          <w:rFonts w:ascii="仿宋" w:eastAsia="仿宋"/>
          <w:b w:val="0"/>
          <w:color w:val="000000"/>
        </w:rPr>
      </w:pPr>
      <w:r>
        <w:rPr>
          <w:rFonts w:ascii="黑体" w:eastAsia="黑体" w:hint="eastAsia"/>
          <w:b w:val="0"/>
        </w:rPr>
        <w:t xml:space="preserve">    二、机</w:t>
      </w:r>
      <w:r>
        <w:rPr>
          <w:rStyle w:val="2Char"/>
          <w:rFonts w:ascii="黑体" w:eastAsia="黑体" w:hint="eastAsia"/>
          <w:b w:val="0"/>
          <w:bCs w:val="0"/>
        </w:rPr>
        <w:t>构设置</w:t>
      </w:r>
      <w:bookmarkEnd w:id="8"/>
      <w:bookmarkEnd w:id="9"/>
    </w:p>
    <w:p>
      <w:pPr>
        <w:pStyle w:val="36"/>
        <w:widowControl w:val="0"/>
        <w:shd w:val="clear" w:color="auto" w:fill="FFFFFF"/>
        <w:spacing w:before="0" w:beforeAutospacing="0" w:after="0" w:afterAutospacing="0" w:line="540" w:lineRule="exact"/>
        <w:ind w:firstLineChars="200" w:firstLine="640"/>
        <w:jc w:val="both"/>
        <w:rPr>
          <w:rFonts w:ascii="仿宋" w:eastAsia="仿宋"/>
          <w:kern w:val="2"/>
          <w:sz w:val="32"/>
          <w:szCs w:val="32"/>
          <w:shd w:val="clear" w:color="auto" w:fill="FFFFFF"/>
        </w:rPr>
      </w:pPr>
      <w:r>
        <w:rPr>
          <w:rFonts w:ascii="仿宋" w:eastAsia="仿宋" w:hint="eastAsia"/>
          <w:kern w:val="2"/>
          <w:sz w:val="32"/>
          <w:szCs w:val="32"/>
          <w:shd w:val="clear" w:color="auto" w:fill="FFFFFF"/>
        </w:rPr>
        <w:t>本单位本年度纳入本套决算编制范围的独立编制机构数共1个，比上年增加0个；独立核算机构数共1个，比上年增加0个。</w:t>
      </w:r>
    </w:p>
    <w:p>
      <w:pPr>
        <w:spacing w:line="540" w:lineRule="exact"/>
        <w:ind w:firstLineChars="200" w:firstLine="640"/>
        <w:rPr>
          <w:rFonts w:ascii="仿宋" w:eastAsia="仿宋"/>
          <w:sz w:val="32"/>
          <w:szCs w:val="32"/>
          <w:shd w:val="clear" w:color="auto" w:fill="FFFFFF"/>
        </w:rPr>
      </w:pPr>
      <w:r>
        <w:rPr>
          <w:rFonts w:ascii="仿宋" w:eastAsia="仿宋" w:hint="eastAsia"/>
          <w:sz w:val="32"/>
          <w:szCs w:val="32"/>
          <w:shd w:val="clear" w:color="auto" w:fill="FFFFFF"/>
        </w:rPr>
        <w:t>本单位本年度年末实有人数为14人，比上年增加0人；年末实有离退休人数为0人，比上年增加0人。年末实有其他人数为0人，比上年增加0人。</w:t>
      </w:r>
    </w:p>
    <w:p>
      <w:pPr>
        <w:pStyle w:val="24"/>
        <w:rPr>
          <w:rFonts w:ascii="仿宋" w:eastAsia="仿宋"/>
          <w:sz w:val="32"/>
          <w:szCs w:val="32"/>
          <w:shd w:val="clear" w:color="auto" w:fill="FFFFFF"/>
        </w:rPr>
      </w:pPr>
    </w:p>
    <w:p>
      <w:pPr>
        <w:widowControl/>
        <w:jc w:val="left"/>
        <w:rPr>
          <w:rFonts w:ascii="Times New Roman" w:eastAsia="仿宋" w:hAnsi="Times New Roman"/>
          <w:color w:val="auto"/>
          <w:kern w:val="0"/>
          <w:sz w:val="32"/>
          <w:szCs w:val="32"/>
          <w:highlight w:val="auto"/>
        </w:rPr>
      </w:pPr>
      <w:r>
        <w:rPr>
          <w:rFonts w:ascii="Times New Roman" w:eastAsia="仿宋" w:hAnsi="Times New Roman"/>
          <w:color w:val="auto"/>
          <w:sz w:val="32"/>
          <w:szCs w:val="32"/>
          <w:highlight w:val="auto"/>
        </w:rPr>
        <w:br w:type="page"/>
      </w:r>
    </w:p>
    <w:p>
      <w:pPr>
        <w:pStyle w:val="1"/>
        <w:jc w:val="center"/>
        <w:rPr>
          <w:rFonts w:ascii="Times New Roman" w:eastAsia="方正小标宋简体" w:cs="方正小标宋简体" w:hAnsi="Times New Roman" w:hint="eastAsia"/>
          <w:b w:val="0"/>
          <w:color w:val="auto"/>
          <w:highlight w:val="auto"/>
        </w:rPr>
      </w:pPr>
      <w:bookmarkStart w:id="10" w:name="_Toc15377204"/>
      <w:bookmarkStart w:id="11" w:name="_Toc15396602"/>
      <w:r>
        <w:rPr>
          <w:rFonts w:ascii="Times New Roman" w:eastAsia="方正小标宋简体" w:cs="方正小标宋简体" w:hAnsi="Times New Roman" w:hint="eastAsia"/>
          <w:b w:val="0"/>
          <w:color w:val="auto"/>
          <w:highlight w:val="auto"/>
        </w:rPr>
        <w:t>第二部分</w:t>
      </w:r>
      <w:r>
        <w:rPr>
          <w:rFonts w:ascii="Times New Roman" w:eastAsia="方正小标宋简体" w:cs="方正小标宋简体" w:hAnsi="Times New Roman" w:hint="eastAsia"/>
          <w:b w:val="0"/>
          <w:color w:val="auto"/>
          <w:lang w:val="en-US" w:eastAsia="zh-CN"/>
          <w:highlight w:val="auto"/>
        </w:rPr>
        <w:t xml:space="preserve"> </w:t>
      </w:r>
      <w:r>
        <w:rPr>
          <w:rFonts w:ascii="Times New Roman" w:eastAsia="方正小标宋简体" w:cs="方正小标宋简体" w:hAnsi="Times New Roman" w:hint="eastAsia"/>
          <w:b w:val="0"/>
          <w:color w:val="auto"/>
          <w:highlight w:val="auto"/>
        </w:rPr>
        <w:t xml:space="preserve"> </w:t>
      </w:r>
      <w:r>
        <w:rPr>
          <w:rFonts w:eastAsia="方正小标宋简体" w:cs="方正小标宋简体" w:hint="eastAsia"/>
          <w:b w:val="0"/>
          <w:color w:val="auto"/>
          <w:lang w:val="en-US" w:eastAsia="zh-CN"/>
          <w:highlight w:val="auto"/>
        </w:rPr>
        <w:t>2025年度</w:t>
      </w:r>
      <w:r>
        <w:rPr>
          <w:rFonts w:ascii="Times New Roman" w:eastAsia="方正小标宋简体" w:cs="方正小标宋简体" w:hAnsi="Times New Roman" w:hint="eastAsia"/>
          <w:b w:val="0"/>
          <w:color w:val="auto"/>
          <w:highlight w:val="auto"/>
        </w:rPr>
        <w:t>部门决算情况说明</w:t>
      </w:r>
      <w:bookmarkEnd w:id="10"/>
      <w:bookmarkEnd w:id="11"/>
    </w:p>
    <w:p>
      <w:pPr>
        <w:rPr>
          <w:rFonts w:ascii="Times New Roman" w:hAnsi="Times New Roman"/>
          <w:color w:val="auto"/>
          <w:highlight w:val="auto"/>
        </w:rPr>
      </w:pP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12" w:name="_Toc15377205"/>
      <w:bookmarkStart w:id="13" w:name="_Toc15396603"/>
      <w:r>
        <w:rPr>
          <w:rFonts w:ascii="Times New Roman" w:eastAsia="黑体" w:hAnsi="Times New Roman" w:hint="eastAsia"/>
          <w:color w:val="auto"/>
          <w:sz w:val="32"/>
          <w:szCs w:val="32"/>
          <w:lang w:eastAsia="zh-CN"/>
          <w:highlight w:val="auto"/>
        </w:rPr>
        <w:t>一、</w:t>
      </w:r>
      <w:r>
        <w:rPr>
          <w:rFonts w:ascii="Times New Roman" w:eastAsia="黑体" w:hAnsi="Times New Roman" w:hint="eastAsia"/>
          <w:color w:val="auto"/>
          <w:sz w:val="32"/>
          <w:szCs w:val="32"/>
          <w:highlight w:val="auto"/>
        </w:rPr>
        <w:t>收</w:t>
      </w:r>
      <w:r>
        <w:rPr>
          <w:rStyle w:val="2Char"/>
          <w:rFonts w:ascii="Times New Roman" w:eastAsia="黑体" w:hAnsi="Times New Roman" w:hint="eastAsia"/>
          <w:b w:val="0"/>
          <w:color w:val="auto"/>
          <w:highlight w:val="auto"/>
        </w:rPr>
        <w:t>入支出决算总体情况说明</w:t>
      </w:r>
      <w:bookmarkEnd w:id="12"/>
      <w:bookmarkEnd w:id="13"/>
    </w:p>
    <w:p>
      <w:pPr>
        <w:spacing w:line="540" w:lineRule="exact"/>
        <w:ind w:firstLineChars="200" w:firstLine="640"/>
        <w:rPr>
          <w:rFonts w:ascii="Times New Roman" w:eastAsia="仿宋_GB2312" w:cs="仿宋_GB2312" w:hAnsi="Times New Roman" w:hint="eastAsia"/>
          <w:color w:val="auto"/>
          <w:sz w:val="32"/>
          <w:szCs w:val="32"/>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收入</w:t>
      </w:r>
      <w:r>
        <w:rPr>
          <w:rFonts w:ascii="Times New Roman" w:eastAsia="仿宋_GB2312" w:cs="仿宋_GB2312" w:hAnsi="Times New Roman" w:hint="eastAsia"/>
          <w:color w:val="auto"/>
          <w:sz w:val="32"/>
          <w:szCs w:val="32"/>
          <w:highlight w:val="auto"/>
        </w:rPr>
        <w:t>、</w:t>
      </w:r>
      <w:r>
        <w:rPr>
          <w:rFonts w:ascii="Times New Roman" w:eastAsia="仿宋_GB2312" w:cs="仿宋_GB2312" w:hAnsi="Times New Roman" w:hint="eastAsia"/>
          <w:color w:val="auto"/>
          <w:sz w:val="32"/>
          <w:szCs w:val="32"/>
          <w:lang w:eastAsia="zh-CN"/>
          <w:highlight w:val="auto"/>
        </w:rPr>
        <w:t>支出</w:t>
      </w:r>
      <w:r>
        <w:rPr>
          <w:rFonts w:ascii="Times New Roman" w:eastAsia="仿宋_GB2312" w:cs="仿宋_GB2312" w:hAnsi="Times New Roman" w:hint="eastAsia"/>
          <w:color w:val="auto"/>
          <w:sz w:val="32"/>
          <w:szCs w:val="32"/>
          <w:highlight w:val="auto"/>
        </w:rPr>
        <w:t>总计</w:t>
      </w:r>
      <w:r>
        <w:rPr>
          <w:rFonts w:ascii="Times New Roman" w:eastAsia="仿宋_GB2312" w:cs="仿宋_GB2312" w:hAnsi="Times New Roman" w:hint="eastAsia"/>
          <w:color w:val="auto"/>
          <w:sz w:val="32"/>
          <w:szCs w:val="32"/>
          <w:lang w:eastAsia="zh-CN"/>
          <w:highlight w:val="auto"/>
        </w:rPr>
        <w:t>均为</w:t>
      </w:r>
      <w:r>
        <w:rPr>
          <w:rFonts w:ascii="仿宋_GB2312" w:eastAsia="仿宋_GB2312" w:cs="仿宋_GB2312" w:hint="eastAsia"/>
          <w:sz w:val="32"/>
          <w:szCs w:val="32"/>
        </w:rPr>
        <w:t>354.01</w:t>
      </w:r>
      <w:r>
        <w:rPr>
          <w:rFonts w:ascii="Times New Roman" w:eastAsia="仿宋_GB2312" w:cs="仿宋_GB2312" w:hAnsi="Times New Roman" w:hint="eastAsia"/>
          <w:color w:val="auto"/>
          <w:sz w:val="32"/>
          <w:szCs w:val="32"/>
          <w:highlight w:val="auto"/>
        </w:rPr>
        <w:t>万元。</w:t>
      </w:r>
      <w:r>
        <w:rPr>
          <w:rFonts w:eastAsia="仿宋_GB2312" w:cs="仿宋_GB2312" w:hint="eastAsia"/>
          <w:sz w:val="32"/>
          <w:szCs w:val="32"/>
        </w:rPr>
        <w:t>与202</w:t>
      </w:r>
      <w:r>
        <w:rPr>
          <w:rFonts w:eastAsia="仿宋_GB2312" w:cs="仿宋_GB2312" w:hint="eastAsia"/>
          <w:sz w:val="32"/>
          <w:szCs w:val="32"/>
          <w:lang w:val="en-US" w:eastAsia="zh-CN"/>
        </w:rPr>
        <w:t>4</w:t>
      </w:r>
      <w:r>
        <w:rPr>
          <w:rFonts w:eastAsia="仿宋_GB2312" w:cs="仿宋_GB2312" w:hint="eastAsia"/>
          <w:sz w:val="32"/>
          <w:szCs w:val="32"/>
        </w:rPr>
        <w:t>年度相比，收入、支出总计各增长</w:t>
      </w:r>
      <w:r>
        <w:rPr>
          <w:rFonts w:eastAsia="仿宋_GB2312" w:cs="仿宋_GB2312" w:hint="eastAsia"/>
          <w:sz w:val="32"/>
          <w:szCs w:val="32"/>
          <w:lang w:val="en-US" w:eastAsia="zh-CN"/>
        </w:rPr>
        <w:t>26.94</w:t>
      </w:r>
      <w:r>
        <w:rPr>
          <w:rFonts w:eastAsia="仿宋_GB2312" w:cs="仿宋_GB2312" w:hint="eastAsia"/>
          <w:sz w:val="32"/>
          <w:szCs w:val="32"/>
        </w:rPr>
        <w:t>万元，增长</w:t>
      </w:r>
      <w:r>
        <w:rPr>
          <w:rFonts w:eastAsia="仿宋_GB2312" w:cs="仿宋_GB2312" w:hint="eastAsia"/>
          <w:sz w:val="32"/>
          <w:szCs w:val="32"/>
          <w:lang w:val="en-US" w:eastAsia="zh-CN"/>
        </w:rPr>
        <w:t>0.92</w:t>
      </w:r>
      <w:r>
        <w:rPr>
          <w:rFonts w:eastAsia="仿宋_GB2312" w:cs="仿宋_GB2312" w:hint="eastAsia"/>
          <w:sz w:val="32"/>
          <w:szCs w:val="32"/>
        </w:rPr>
        <w:t>%。</w:t>
      </w:r>
      <w:r>
        <w:rPr>
          <w:rFonts w:ascii="仿宋" w:eastAsia="仿宋" w:hint="eastAsia"/>
          <w:sz w:val="32"/>
          <w:szCs w:val="32"/>
          <w:shd w:val="clear" w:color="auto" w:fill="FFFFFF"/>
        </w:rPr>
        <w:t>主要变动原因是</w:t>
      </w:r>
      <w:r>
        <w:rPr>
          <w:rFonts w:ascii="仿宋" w:eastAsia="仿宋"/>
          <w:sz w:val="32"/>
          <w:szCs w:val="32"/>
          <w:shd w:val="clear" w:color="auto" w:fill="FFFFFF"/>
        </w:rPr>
        <w:t>人员</w:t>
      </w:r>
      <w:r>
        <w:rPr>
          <w:rFonts w:ascii="仿宋" w:eastAsia="仿宋" w:hint="eastAsia"/>
          <w:sz w:val="32"/>
          <w:szCs w:val="32"/>
          <w:shd w:val="clear" w:color="auto" w:fill="FFFFFF"/>
        </w:rPr>
        <w:t>职级</w:t>
      </w:r>
      <w:r>
        <w:rPr>
          <w:rFonts w:ascii="仿宋" w:eastAsia="仿宋"/>
          <w:sz w:val="32"/>
          <w:szCs w:val="32"/>
          <w:shd w:val="clear" w:color="auto" w:fill="FFFFFF"/>
        </w:rPr>
        <w:t>晋升、</w:t>
      </w:r>
      <w:r>
        <w:rPr>
          <w:rFonts w:ascii="仿宋" w:eastAsia="仿宋" w:hint="eastAsia"/>
          <w:sz w:val="32"/>
          <w:szCs w:val="32"/>
          <w:shd w:val="clear" w:color="auto" w:fill="FFFFFF"/>
        </w:rPr>
        <w:t>工资上涨、人员经费增加。</w:t>
      </w:r>
    </w:p>
    <w:p>
      <w:pPr>
        <w:keepNext w:val="0"/>
        <w:keepLines w:val="0"/>
        <w:pageBreakBefore w:val="0"/>
        <w:widowControl w:val="0"/>
        <w:kinsoku/>
        <w:wordWrap/>
        <w:overflowPunct/>
        <w:topLinePunct w:val="0"/>
        <w:autoSpaceDE/>
        <w:autoSpaceDN/>
        <w:bidi w:val="0"/>
        <w:adjustRightInd/>
        <w:snapToGrid/>
        <w:ind w:firstLineChars="200" w:firstLine="640"/>
        <w:textAlignment w:val="auto"/>
        <w:rPr>
          <w:rFonts w:ascii="Times New Roman" w:eastAsia="仿宋_GB2312" w:cs="仿宋_GB2312" w:hAnsi="Times New Roman" w:hint="eastAsia"/>
          <w:color w:val="auto"/>
          <w:sz w:val="32"/>
          <w:szCs w:val="32"/>
          <w:highlight w:val="auto"/>
        </w:rPr>
      </w:pPr>
    </w:p>
    <w:p>
      <w:pPr>
        <w:pStyle w:val="15"/>
        <w:rPr>
          <w:rFonts w:ascii="Times New Roman" w:eastAsia="仿宋_GB2312" w:cs="仿宋_GB2312" w:hAnsi="Times New Roman" w:hint="eastAsia"/>
          <w:color w:val="auto"/>
          <w:sz w:val="32"/>
          <w:szCs w:val="32"/>
          <w:highlight w:val="auto"/>
        </w:rPr>
      </w:pPr>
    </w:p>
    <w:p>
      <w:pPr>
        <w:rPr>
          <w:rFonts w:ascii="Times New Roman" w:eastAsia="仿宋_GB2312" w:cs="仿宋_GB2312" w:hAnsi="Times New Roman" w:hint="eastAsia"/>
          <w:color w:val="auto"/>
          <w:sz w:val="32"/>
          <w:szCs w:val="32"/>
          <w:highlight w:val="auto"/>
        </w:rPr>
      </w:pPr>
    </w:p>
    <w:p>
      <w:pPr>
        <w:pStyle w:val="15"/>
        <w:rPr>
          <w:rFonts w:ascii="Times New Roman" w:eastAsia="仿宋_GB2312" w:cs="仿宋_GB2312" w:hAnsi="Times New Roman" w:hint="eastAsia"/>
          <w:color w:val="auto"/>
          <w:sz w:val="32"/>
          <w:szCs w:val="32"/>
          <w:highlight w:val="auto"/>
        </w:rPr>
      </w:pPr>
    </w:p>
    <w:p>
      <w:pPr>
        <w:rPr>
          <w:rFonts w:ascii="Times New Roman" w:eastAsia="仿宋_GB2312" w:cs="仿宋_GB2312" w:hAnsi="Times New Roman" w:hint="eastAsia"/>
          <w:color w:val="auto"/>
          <w:sz w:val="32"/>
          <w:szCs w:val="32"/>
          <w:highlight w:val="auto"/>
        </w:rPr>
      </w:pPr>
    </w:p>
    <w:p>
      <w:pPr>
        <w:pStyle w:val="15"/>
        <w:rPr>
          <w:rFonts w:hint="eastAsia"/>
        </w:rPr>
      </w:pPr>
    </w:p>
    <w:p>
      <w:pPr>
        <w:pStyle w:val="32"/>
        <w:spacing w:line="600" w:lineRule="exact"/>
        <w:ind w:firstLineChars="0" w:firstLine="0"/>
        <w:outlineLvl w:val="1"/>
        <w:rPr>
          <w:rFonts w:eastAsia="仿宋_GB2312" w:cs="仿宋_GB2312"/>
          <w:sz w:val="32"/>
          <w:szCs w:val="32"/>
        </w:rPr>
      </w:pPr>
      <w:r>
        <w:rPr>
          <w:rFonts w:eastAsia="仿宋_GB2312" w:cs="仿宋_GB2312" w:hint="eastAsia"/>
          <w:sz w:val="32"/>
          <w:szCs w:val="32"/>
        </w:rPr>
        <w:drawing>
          <wp:anchor distT="0" distB="0" distL="114300" distR="114300" simplePos="0" relativeHeight="4" behindDoc="1" locked="0" layoutInCell="1" hidden="0" allowOverlap="1">
            <wp:simplePos x="0" y="0"/>
            <wp:positionH relativeFrom="column">
              <wp:posOffset>5080</wp:posOffset>
            </wp:positionH>
            <wp:positionV relativeFrom="paragraph">
              <wp:posOffset>-2700654</wp:posOffset>
            </wp:positionV>
            <wp:extent cx="5256530" cy="2988310"/>
            <wp:effectExtent l="0" t="0" r="0" b="0"/>
            <wp:wrapNone/>
            <wp:docPr id="7" name="图表 10"/>
            <wp:cNvGraphicFramePr>
              <a:graphicFrameLocks noChangeAspect="0"/>
            </wp:cNvGraphicFramePr>
            <a:graphic>
              <a:graphicData uri="http://schemas.openxmlformats.org/drawingml/2006/picture">
                <pic:pic>
                  <pic:nvPicPr>
                    <pic:cNvPr id="9" name="图表 10 9"/>
                    <pic:cNvPicPr/>
                  </pic:nvPicPr>
                  <pic:blipFill>
                    <a:blip r:embed="rId7"/>
                    <a:stretch>
                      <a:fillRect/>
                    </a:stretch>
                  </pic:blipFill>
                  <pic:spPr>
                    <a:xfrm rot="0">
                      <a:off x="0" y="0"/>
                      <a:ext cx="5256530" cy="2988310"/>
                    </a:xfrm>
                    <a:prstGeom prst="rect"/>
                    <a:ln w="9525" cmpd="sng" cap="flat">
                      <a:solidFill>
                        <a:srgbClr val="000000"/>
                      </a:solidFill>
                      <a:prstDash val="solid"/>
                      <a:miter/>
                    </a:ln>
                  </pic:spPr>
                </pic:pic>
              </a:graphicData>
            </a:graphic>
          </wp:anchor>
        </w:drawing>
      </w:r>
    </w:p>
    <w:p>
      <w:pPr>
        <w:ind w:firstLineChars="200" w:firstLine="640"/>
        <w:rPr>
          <w:rFonts w:hint="eastAsia"/>
        </w:rPr>
      </w:pPr>
      <w:r>
        <w:rPr>
          <w:rFonts w:eastAsia="仿宋_GB2312" w:cs="仿宋_GB2312" w:hint="eastAsia"/>
          <w:sz w:val="32"/>
          <w:szCs w:val="32"/>
        </w:rPr>
        <w:t>（图1：收入、支出决算总计变动情况图）（柱状图）</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黑体" w:hAnsi="Times New Roman" w:hint="eastAsia"/>
          <w:color w:val="auto"/>
          <w:sz w:val="32"/>
          <w:szCs w:val="32"/>
          <w:lang w:eastAsia="zh-CN"/>
          <w:highlight w:val="auto"/>
        </w:rPr>
      </w:pPr>
      <w:bookmarkStart w:id="14" w:name="_Toc15377206"/>
      <w:bookmarkStart w:id="15" w:name="_Toc15396604"/>
      <w:r>
        <w:rPr>
          <w:rFonts w:ascii="Times New Roman" w:eastAsia="黑体" w:hAnsi="Times New Roman" w:hint="eastAsia"/>
          <w:color w:val="auto"/>
          <w:sz w:val="32"/>
          <w:szCs w:val="32"/>
          <w:lang w:eastAsia="zh-CN"/>
          <w:highlight w:val="auto"/>
        </w:rPr>
        <w:t>二、收入决算情况说明</w:t>
      </w:r>
      <w:bookmarkEnd w:id="14"/>
      <w:bookmarkEnd w:id="15"/>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b/>
          <w:bCs/>
          <w:color w:val="auto"/>
          <w:sz w:val="32"/>
          <w:szCs w:val="32"/>
          <w:lang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本年收入合计</w:t>
      </w:r>
      <w:r>
        <w:rPr>
          <w:rFonts w:ascii="仿宋_GB2312" w:eastAsia="仿宋_GB2312" w:cs="仿宋_GB2312" w:hint="eastAsia"/>
          <w:sz w:val="32"/>
          <w:szCs w:val="32"/>
          <w:lang w:val="en-US" w:eastAsia="zh-CN"/>
        </w:rPr>
        <w:t>354.01</w:t>
      </w:r>
      <w:r>
        <w:rPr>
          <w:rFonts w:ascii="Times New Roman" w:eastAsia="仿宋_GB2312" w:cs="仿宋_GB2312" w:hAnsi="Times New Roman" w:hint="eastAsia"/>
          <w:color w:val="auto"/>
          <w:sz w:val="32"/>
          <w:szCs w:val="32"/>
          <w:lang w:eastAsia="zh-CN"/>
          <w:highlight w:val="auto"/>
        </w:rPr>
        <w:t>万元，其中：一般公共预算财政拨款收入</w:t>
      </w:r>
      <w:r>
        <w:rPr>
          <w:rFonts w:ascii="仿宋_GB2312" w:eastAsia="仿宋_GB2312" w:cs="仿宋_GB2312" w:hint="eastAsia"/>
          <w:sz w:val="32"/>
          <w:szCs w:val="32"/>
          <w:lang w:val="en-US" w:eastAsia="zh-CN"/>
        </w:rPr>
        <w:t>354.01</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100</w:t>
      </w:r>
      <w:r>
        <w:rPr>
          <w:rFonts w:ascii="Times New Roman" w:eastAsia="仿宋_GB2312" w:cs="仿宋_GB2312" w:hAnsi="Times New Roman" w:hint="eastAsia"/>
          <w:color w:val="auto"/>
          <w:sz w:val="32"/>
          <w:szCs w:val="32"/>
          <w:lang w:eastAsia="zh-CN"/>
          <w:highlight w:val="auto"/>
        </w:rPr>
        <w:t>%；政府性基金预算财政拨款收入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%；国有资本经营预算财政拨款收入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%；上级补助收入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%；事业收入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%；经营收入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%；附属单位上缴收入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%；其他收入</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w:t>
      </w:r>
      <w:r>
        <w:rPr>
          <w:rFonts w:ascii="Times New Roman" w:eastAsia="仿宋_GB2312" w:cs="仿宋_GB2312" w:hAnsi="Times New Roman" w:hint="eastAsia"/>
          <w:b/>
          <w:bCs/>
          <w:color w:val="auto"/>
          <w:sz w:val="32"/>
          <w:szCs w:val="32"/>
          <w:lang w:eastAsia="zh-CN"/>
          <w:highlight w:val="auto"/>
        </w:rPr>
        <w:t>（注：仅罗列本部门涉及的收入）</w:t>
      </w:r>
    </w:p>
    <w:p>
      <w:pPr>
        <w:ind w:firstLineChars="250" w:firstLine="525"/>
        <w:rPr>
          <w:rFonts w:ascii="Times New Roman" w:eastAsia="仿宋_GB2312" w:cs="仿宋_GB2312" w:hAnsi="Times New Roman" w:hint="eastAsia"/>
          <w:color w:val="auto"/>
          <w:sz w:val="32"/>
          <w:szCs w:val="32"/>
          <w:lang w:eastAsia="zh-CN"/>
          <w:highlight w:val="auto"/>
        </w:rPr>
      </w:pPr>
      <w:r>
        <w:drawing>
          <wp:anchor distT="0" distB="0" distL="114300" distR="114300" simplePos="0" relativeHeight="21" behindDoc="0" locked="0" layoutInCell="1" hidden="0" allowOverlap="1">
            <wp:simplePos x="0" y="0"/>
            <wp:positionH relativeFrom="column">
              <wp:posOffset>400050</wp:posOffset>
            </wp:positionH>
            <wp:positionV relativeFrom="paragraph">
              <wp:posOffset>196215</wp:posOffset>
            </wp:positionV>
            <wp:extent cx="3904615" cy="2256790"/>
            <wp:effectExtent l="0" t="0" r="0" b="0"/>
            <wp:wrapNone/>
            <wp:docPr id="10" name="图表 19"/>
            <wp:cNvGraphicFramePr>
              <a:graphicFrameLocks noChangeAspect="0"/>
            </wp:cNvGraphicFramePr>
            <a:graphic>
              <a:graphicData uri="http://schemas.openxmlformats.org/drawingml/2006/picture">
                <pic:pic>
                  <pic:nvPicPr>
                    <pic:cNvPr id="12" name="图表 19 12"/>
                    <pic:cNvPicPr/>
                  </pic:nvPicPr>
                  <pic:blipFill>
                    <a:blip r:embed="rId8"/>
                    <a:stretch>
                      <a:fillRect/>
                    </a:stretch>
                  </pic:blipFill>
                  <pic:spPr>
                    <a:xfrm rot="0">
                      <a:off x="0" y="0"/>
                      <a:ext cx="3904615" cy="2256790"/>
                    </a:xfrm>
                    <a:prstGeom prst="rect"/>
                    <a:ln w="9525" cmpd="sng" cap="flat">
                      <a:solidFill>
                        <a:srgbClr val="000000"/>
                      </a:solidFill>
                      <a:prstDash val="solid"/>
                      <a:miter/>
                    </a:ln>
                  </pic:spPr>
                </pic:pic>
              </a:graphicData>
            </a:graphic>
          </wp:anchor>
        </w:drawing>
      </w:r>
    </w:p>
    <w:p>
      <w:pPr>
        <w:pStyle w:val="15"/>
        <w:rPr>
          <w:rFonts w:ascii="Times New Roman" w:eastAsia="仿宋_GB2312" w:cs="仿宋_GB2312" w:hAnsi="Times New Roman" w:hint="eastAsia"/>
          <w:color w:val="auto"/>
          <w:sz w:val="32"/>
          <w:szCs w:val="32"/>
          <w:lang w:eastAsia="zh-CN"/>
          <w:highlight w:val="auto"/>
        </w:rPr>
      </w:pPr>
    </w:p>
    <w:p>
      <w:pPr>
        <w:rPr>
          <w:rFonts w:ascii="Times New Roman" w:eastAsia="仿宋_GB2312" w:cs="仿宋_GB2312" w:hAnsi="Times New Roman" w:hint="eastAsia"/>
          <w:color w:val="auto"/>
          <w:sz w:val="32"/>
          <w:szCs w:val="32"/>
          <w:lang w:eastAsia="zh-CN"/>
          <w:highlight w:val="auto"/>
        </w:rPr>
      </w:pPr>
    </w:p>
    <w:p>
      <w:pPr>
        <w:pStyle w:val="15"/>
        <w:rPr>
          <w:rFonts w:ascii="Times New Roman" w:eastAsia="仿宋_GB2312" w:cs="仿宋_GB2312" w:hAnsi="Times New Roman" w:hint="eastAsia"/>
          <w:color w:val="auto"/>
          <w:sz w:val="32"/>
          <w:szCs w:val="32"/>
          <w:lang w:eastAsia="zh-CN"/>
          <w:highlight w:val="auto"/>
        </w:rPr>
      </w:pPr>
    </w:p>
    <w:p>
      <w:pPr>
        <w:rPr>
          <w:rFonts w:ascii="Times New Roman" w:eastAsia="仿宋_GB2312" w:cs="仿宋_GB2312" w:hAnsi="Times New Roman" w:hint="eastAsia"/>
          <w:color w:val="auto"/>
          <w:sz w:val="32"/>
          <w:szCs w:val="32"/>
          <w:lang w:eastAsia="zh-CN"/>
          <w:highlight w:val="auto"/>
        </w:rPr>
      </w:pPr>
    </w:p>
    <w:p>
      <w:pPr>
        <w:ind w:firstLineChars="250" w:firstLine="800"/>
        <w:rPr>
          <w:rFonts w:hint="eastAsia"/>
          <w:lang w:eastAsia="zh-CN"/>
        </w:rPr>
      </w:pPr>
      <w:r>
        <w:rPr>
          <w:rFonts w:eastAsia="仿宋_GB2312" w:cs="仿宋_GB2312" w:hint="eastAsia"/>
          <w:sz w:val="32"/>
          <w:szCs w:val="32"/>
        </w:rPr>
        <w:t>（图2：收入决算结构图）（饼状图）</w:t>
      </w:r>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Style w:val="2Char"/>
          <w:rFonts w:ascii="Times New Roman" w:eastAsia="黑体" w:hAnsi="Times New Roman" w:hint="eastAsia"/>
          <w:b w:val="0"/>
          <w:color w:val="auto"/>
          <w:highlight w:val="auto"/>
        </w:rPr>
      </w:pPr>
      <w:bookmarkStart w:id="16" w:name="_Toc15377207"/>
      <w:bookmarkStart w:id="17" w:name="_Toc15396605"/>
      <w:r>
        <w:rPr>
          <w:rFonts w:ascii="Times New Roman" w:eastAsia="黑体" w:hAnsi="Times New Roman" w:hint="eastAsia"/>
          <w:color w:val="auto"/>
          <w:sz w:val="32"/>
          <w:szCs w:val="32"/>
          <w:lang w:eastAsia="zh-CN"/>
          <w:highlight w:val="auto"/>
        </w:rPr>
        <w:t>三、</w:t>
      </w:r>
      <w:r>
        <w:rPr>
          <w:rFonts w:ascii="Times New Roman" w:eastAsia="黑体" w:hAnsi="Times New Roman" w:hint="eastAsia"/>
          <w:color w:val="auto"/>
          <w:sz w:val="32"/>
          <w:szCs w:val="32"/>
          <w:highlight w:val="auto"/>
        </w:rPr>
        <w:t>支</w:t>
      </w:r>
      <w:r>
        <w:rPr>
          <w:rStyle w:val="2Char"/>
          <w:rFonts w:ascii="Times New Roman" w:eastAsia="黑体" w:hAnsi="Times New Roman" w:hint="eastAsia"/>
          <w:b w:val="0"/>
          <w:color w:val="auto"/>
          <w:highlight w:val="auto"/>
        </w:rPr>
        <w:t>出决算情况说明</w:t>
      </w:r>
      <w:bookmarkEnd w:id="16"/>
      <w:bookmarkEnd w:id="17"/>
    </w:p>
    <w:p>
      <w:pPr>
        <w:pStyle w:val="32"/>
        <w:keepNext w:val="0"/>
        <w:keepLines w:val="0"/>
        <w:pageBreakBefore w:val="0"/>
        <w:widowControl w:val="0"/>
        <w:kinsoku/>
        <w:wordWrap/>
        <w:overflowPunct/>
        <w:topLinePunct w:val="0"/>
        <w:autoSpaceDE/>
        <w:autoSpaceDN/>
        <w:bidi w:val="0"/>
        <w:adjustRightInd/>
        <w:snapToGrid/>
        <w:spacing w:line="600" w:lineRule="exact"/>
        <w:ind w:left="0" w:firstLineChars="200" w:firstLine="640"/>
        <w:textAlignment w:val="auto"/>
        <w:outlineLvl w:val="1"/>
        <w:rPr>
          <w:rFonts w:ascii="Times New Roman" w:eastAsia="仿宋_GB2312" w:cs="仿宋_GB2312" w:hAnsi="Times New Roman" w:hint="eastAsia"/>
          <w:b/>
          <w:bCs/>
          <w:color w:val="auto"/>
          <w:sz w:val="32"/>
          <w:szCs w:val="32"/>
          <w:lang w:eastAsia="zh-CN"/>
          <w:highlight w:val="auto"/>
        </w:rPr>
      </w:pPr>
      <w:r>
        <w:rPr>
          <w:rFonts w:eastAsia="仿宋_GB2312" w:cs="仿宋_GB2312" w:hint="eastAsia"/>
          <w:color w:val="auto"/>
          <w:sz w:val="32"/>
          <w:szCs w:val="32"/>
          <w:lang w:eastAsia="zh-CN"/>
          <w:highlight w:val="auto"/>
        </w:rPr>
        <w:t>2025年度</w:t>
      </w:r>
      <w:r>
        <w:rPr>
          <w:rFonts w:ascii="Times New Roman" w:eastAsia="仿宋_GB2312" w:cs="仿宋_GB2312" w:hAnsi="Times New Roman" w:hint="eastAsia"/>
          <w:color w:val="auto"/>
          <w:sz w:val="32"/>
          <w:szCs w:val="32"/>
          <w:lang w:eastAsia="zh-CN"/>
          <w:highlight w:val="auto"/>
        </w:rPr>
        <w:t>本年支出合计</w:t>
      </w:r>
      <w:r>
        <w:rPr>
          <w:rFonts w:ascii="仿宋_GB2312" w:eastAsia="仿宋_GB2312" w:cs="仿宋_GB2312" w:hint="eastAsia"/>
          <w:sz w:val="32"/>
          <w:szCs w:val="32"/>
        </w:rPr>
        <w:t>354.01</w:t>
      </w:r>
      <w:r>
        <w:rPr>
          <w:rFonts w:ascii="Times New Roman" w:eastAsia="仿宋_GB2312" w:cs="仿宋_GB2312" w:hAnsi="Times New Roman" w:hint="eastAsia"/>
          <w:color w:val="auto"/>
          <w:sz w:val="32"/>
          <w:szCs w:val="32"/>
          <w:lang w:eastAsia="zh-CN"/>
          <w:highlight w:val="auto"/>
        </w:rPr>
        <w:t>万元，其中：基本支出</w:t>
      </w:r>
      <w:r>
        <w:rPr>
          <w:rFonts w:ascii="仿宋_GB2312" w:eastAsia="仿宋_GB2312" w:cs="仿宋_GB2312" w:hint="eastAsia"/>
          <w:sz w:val="32"/>
          <w:szCs w:val="32"/>
        </w:rPr>
        <w:t>342.23</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96.67</w:t>
      </w:r>
      <w:r>
        <w:rPr>
          <w:rFonts w:ascii="Times New Roman" w:eastAsia="仿宋_GB2312" w:cs="仿宋_GB2312" w:hAnsi="Times New Roman" w:hint="eastAsia"/>
          <w:color w:val="auto"/>
          <w:sz w:val="32"/>
          <w:szCs w:val="32"/>
          <w:lang w:eastAsia="zh-CN"/>
          <w:highlight w:val="auto"/>
        </w:rPr>
        <w:t>%；项目支出</w:t>
      </w:r>
      <w:r>
        <w:rPr>
          <w:rFonts w:ascii="仿宋_GB2312" w:eastAsia="仿宋_GB2312" w:cs="仿宋_GB2312" w:hint="eastAsia"/>
          <w:sz w:val="32"/>
          <w:szCs w:val="32"/>
        </w:rPr>
        <w:t>11.78</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3.32</w:t>
      </w:r>
      <w:r>
        <w:rPr>
          <w:rFonts w:ascii="Times New Roman" w:eastAsia="仿宋_GB2312" w:cs="仿宋_GB2312" w:hAnsi="Times New Roman" w:hint="eastAsia"/>
          <w:color w:val="auto"/>
          <w:sz w:val="32"/>
          <w:szCs w:val="32"/>
          <w:lang w:eastAsia="zh-CN"/>
          <w:highlight w:val="auto"/>
        </w:rPr>
        <w:t>%；上缴上级支出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%；经营支出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%；对附属单位补助支出</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万元，占</w:t>
      </w:r>
      <w:r>
        <w:rPr>
          <w:rFonts w:ascii="仿宋_GB2312" w:eastAsia="仿宋_GB2312" w:cs="仿宋_GB2312" w:hint="eastAsia"/>
          <w:sz w:val="32"/>
          <w:szCs w:val="32"/>
        </w:rPr>
        <w:t>0</w:t>
      </w:r>
      <w:r>
        <w:rPr>
          <w:rFonts w:ascii="Times New Roman" w:eastAsia="仿宋_GB2312" w:cs="仿宋_GB2312" w:hAnsi="Times New Roman" w:hint="eastAsia"/>
          <w:color w:val="auto"/>
          <w:sz w:val="32"/>
          <w:szCs w:val="32"/>
          <w:lang w:eastAsia="zh-CN"/>
          <w:highlight w:val="auto"/>
        </w:rPr>
        <w:t>%。</w:t>
      </w:r>
      <w:r>
        <w:rPr>
          <w:rFonts w:ascii="Times New Roman" w:eastAsia="仿宋_GB2312" w:cs="仿宋_GB2312" w:hAnsi="Times New Roman" w:hint="eastAsia"/>
          <w:b/>
          <w:bCs/>
          <w:color w:val="auto"/>
          <w:sz w:val="32"/>
          <w:szCs w:val="32"/>
          <w:lang w:eastAsia="zh-CN"/>
          <w:highlight w:val="auto"/>
        </w:rPr>
        <w:t>（注：仅罗列本部门涉及的支出）</w:t>
      </w:r>
    </w:p>
    <w:p>
      <w:pPr>
        <w:spacing w:line="600" w:lineRule="exact"/>
        <w:ind w:firstLineChars="200" w:firstLine="420"/>
        <w:outlineLvl w:val="1"/>
        <w:rPr>
          <w:rFonts w:ascii="Times New Roman" w:eastAsia="黑体" w:hAnsi="Times New Roman" w:hint="eastAsia"/>
          <w:color w:val="auto"/>
          <w:sz w:val="32"/>
          <w:szCs w:val="32"/>
          <w:highlight w:val="auto"/>
        </w:rPr>
      </w:pPr>
      <w:bookmarkStart w:id="18" w:name="_Toc15377208"/>
      <w:bookmarkStart w:id="19" w:name="_Toc15396606"/>
      <w:r>
        <w:drawing>
          <wp:anchor distT="0" distB="0" distL="0" distR="0" simplePos="0" relativeHeight="2" behindDoc="1" locked="0" layoutInCell="1" hidden="0" allowOverlap="1">
            <wp:simplePos x="0" y="0"/>
            <wp:positionH relativeFrom="column">
              <wp:posOffset>590550</wp:posOffset>
            </wp:positionH>
            <wp:positionV relativeFrom="paragraph">
              <wp:posOffset>165735</wp:posOffset>
            </wp:positionV>
            <wp:extent cx="3590925" cy="2409824"/>
            <wp:effectExtent l="0" t="0" r="0" b="0"/>
            <wp:wrapNone/>
            <wp:docPr id="13" name="图表 22"/>
            <wp:cNvGraphicFramePr>
              <a:graphicFrameLocks noChangeAspect="0"/>
            </wp:cNvGraphicFramePr>
            <a:graphic>
              <a:graphicData uri="http://schemas.openxmlformats.org/drawingml/2006/picture">
                <pic:pic>
                  <pic:nvPicPr>
                    <pic:cNvPr id="15" name="图表 22 15"/>
                    <pic:cNvPicPr/>
                  </pic:nvPicPr>
                  <pic:blipFill>
                    <a:blip r:embed="rId9"/>
                    <a:stretch>
                      <a:fillRect/>
                    </a:stretch>
                  </pic:blipFill>
                  <pic:spPr>
                    <a:xfrm rot="0">
                      <a:off x="0" y="0"/>
                      <a:ext cx="3590925" cy="2409824"/>
                    </a:xfrm>
                    <a:prstGeom prst="rect"/>
                    <a:ln w="9525" cmpd="sng" cap="flat">
                      <a:solidFill>
                        <a:srgbClr val="000000"/>
                      </a:solidFill>
                      <a:prstDash val="solid"/>
                      <a:miter/>
                    </a:ln>
                  </pic:spPr>
                </pic:pic>
              </a:graphicData>
            </a:graphic>
          </wp:anchor>
        </w:drawing>
      </w:r>
    </w:p>
    <w:p>
      <w:pPr>
        <w:spacing w:line="600" w:lineRule="exact"/>
        <w:ind w:firstLineChars="200" w:firstLine="640"/>
        <w:outlineLvl w:val="1"/>
        <w:rPr>
          <w:rFonts w:ascii="Times New Roman" w:eastAsia="黑体" w:hAnsi="Times New Roman" w:hint="eastAsia"/>
          <w:color w:val="auto"/>
          <w:sz w:val="32"/>
          <w:szCs w:val="32"/>
          <w:highlight w:val="auto"/>
        </w:rPr>
      </w:pPr>
    </w:p>
    <w:p>
      <w:pPr>
        <w:spacing w:line="600" w:lineRule="exact"/>
        <w:ind w:firstLineChars="200" w:firstLine="640"/>
        <w:outlineLvl w:val="1"/>
        <w:rPr>
          <w:rFonts w:ascii="Times New Roman" w:eastAsia="黑体" w:hAnsi="Times New Roman" w:hint="eastAsia"/>
          <w:color w:val="auto"/>
          <w:sz w:val="32"/>
          <w:szCs w:val="32"/>
          <w:highlight w:val="auto"/>
        </w:rPr>
      </w:pPr>
    </w:p>
    <w:p>
      <w:pPr>
        <w:spacing w:line="600" w:lineRule="exact"/>
        <w:ind w:firstLineChars="200" w:firstLine="640"/>
        <w:outlineLvl w:val="1"/>
        <w:rPr>
          <w:rFonts w:ascii="Times New Roman" w:eastAsia="黑体" w:hAnsi="Times New Roman" w:hint="eastAsia"/>
          <w:color w:val="auto"/>
          <w:sz w:val="32"/>
          <w:szCs w:val="32"/>
          <w:highlight w:val="auto"/>
        </w:rPr>
      </w:pPr>
    </w:p>
    <w:p>
      <w:pPr>
        <w:spacing w:line="600" w:lineRule="exact"/>
        <w:ind w:firstLineChars="200" w:firstLine="640"/>
        <w:outlineLvl w:val="1"/>
        <w:rPr>
          <w:rFonts w:ascii="Times New Roman" w:eastAsia="黑体" w:hAnsi="Times New Roman" w:hint="eastAsia"/>
          <w:color w:val="auto"/>
          <w:sz w:val="32"/>
          <w:szCs w:val="32"/>
          <w:highlight w:val="auto"/>
        </w:rPr>
      </w:pPr>
    </w:p>
    <w:p>
      <w:pPr>
        <w:spacing w:line="600" w:lineRule="exact"/>
        <w:ind w:firstLineChars="200" w:firstLine="640"/>
        <w:outlineLvl w:val="1"/>
        <w:rPr>
          <w:rFonts w:ascii="Times New Roman" w:eastAsia="黑体" w:hAnsi="Times New Roman" w:hint="eastAsia"/>
          <w:color w:val="auto"/>
          <w:sz w:val="32"/>
          <w:szCs w:val="32"/>
          <w:highlight w:val="auto"/>
        </w:rPr>
      </w:pPr>
    </w:p>
    <w:p>
      <w:pPr>
        <w:ind w:firstLineChars="250" w:firstLine="800"/>
        <w:rPr>
          <w:rFonts w:eastAsia="仿宋_GB2312" w:cs="仿宋_GB2312" w:hint="eastAsia"/>
          <w:sz w:val="32"/>
          <w:szCs w:val="32"/>
        </w:rPr>
      </w:pPr>
    </w:p>
    <w:p>
      <w:pPr>
        <w:ind w:firstLineChars="250" w:firstLine="800"/>
        <w:rPr>
          <w:rFonts w:ascii="Times New Roman" w:eastAsia="黑体" w:hAnsi="Times New Roman" w:hint="eastAsia"/>
          <w:color w:val="auto"/>
          <w:sz w:val="32"/>
          <w:szCs w:val="32"/>
          <w:highlight w:val="auto"/>
        </w:rPr>
      </w:pPr>
      <w:r>
        <w:rPr>
          <w:rFonts w:eastAsia="仿宋_GB2312" w:cs="仿宋_GB2312" w:hint="eastAsia"/>
          <w:sz w:val="32"/>
          <w:szCs w:val="32"/>
        </w:rPr>
        <w:t>（图3：支出决算结构图）（饼状图）</w:t>
      </w:r>
    </w:p>
    <w:p>
      <w:pPr>
        <w:spacing w:line="600" w:lineRule="exact"/>
        <w:ind w:firstLineChars="200" w:firstLine="640"/>
        <w:outlineLvl w:val="1"/>
        <w:rPr>
          <w:rStyle w:val="2Char"/>
          <w:rFonts w:ascii="Times New Roman" w:eastAsia="黑体" w:hAnsi="Times New Roman"/>
          <w:b w:val="0"/>
          <w:color w:val="auto"/>
          <w:highlight w:val="auto"/>
        </w:rPr>
      </w:pPr>
      <w:r>
        <w:rPr>
          <w:rFonts w:ascii="Times New Roman" w:eastAsia="黑体" w:hAnsi="Times New Roman" w:hint="eastAsia"/>
          <w:color w:val="auto"/>
          <w:sz w:val="32"/>
          <w:szCs w:val="32"/>
          <w:highlight w:val="auto"/>
        </w:rPr>
        <w:t>四、财</w:t>
      </w:r>
      <w:r>
        <w:rPr>
          <w:rStyle w:val="2Char"/>
          <w:rFonts w:ascii="Times New Roman" w:eastAsia="黑体" w:hAnsi="Times New Roman" w:hint="eastAsia"/>
          <w:b w:val="0"/>
          <w:color w:val="auto"/>
          <w:highlight w:val="auto"/>
        </w:rPr>
        <w:t>政拨款收入支出决算总体情况说明</w:t>
      </w:r>
      <w:bookmarkEnd w:id="18"/>
      <w:bookmarkEnd w:id="19"/>
    </w:p>
    <w:p>
      <w:pPr>
        <w:spacing w:line="540" w:lineRule="exact"/>
        <w:ind w:firstLineChars="200"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财政拨款收入、支出总计均为</w:t>
      </w:r>
      <w:r>
        <w:rPr>
          <w:rFonts w:ascii="仿宋_GB2312" w:eastAsia="仿宋_GB2312" w:cs="仿宋_GB2312" w:hint="eastAsia"/>
          <w:sz w:val="32"/>
          <w:szCs w:val="32"/>
        </w:rPr>
        <w:t>354.01</w:t>
      </w:r>
      <w:r>
        <w:rPr>
          <w:rFonts w:ascii="Times New Roman" w:eastAsia="仿宋_GB2312" w:cs="仿宋_GB2312" w:hAnsi="Times New Roman" w:hint="eastAsia"/>
          <w:color w:val="auto"/>
          <w:kern w:val="2"/>
          <w:sz w:val="32"/>
          <w:szCs w:val="32"/>
          <w:lang w:val="en-US" w:eastAsia="zh-CN" w:bidi="ar-SA"/>
          <w:highlight w:val="auto"/>
        </w:rPr>
        <w:t>万元。</w:t>
      </w:r>
      <w:r>
        <w:rPr>
          <w:rFonts w:eastAsia="仿宋_GB2312" w:cs="仿宋_GB2312" w:hint="eastAsia"/>
          <w:sz w:val="32"/>
          <w:szCs w:val="32"/>
        </w:rPr>
        <w:t>与202</w:t>
      </w:r>
      <w:r>
        <w:rPr>
          <w:rFonts w:eastAsia="仿宋_GB2312" w:cs="仿宋_GB2312" w:hint="eastAsia"/>
          <w:sz w:val="32"/>
          <w:szCs w:val="32"/>
          <w:lang w:val="en-US" w:eastAsia="zh-CN"/>
        </w:rPr>
        <w:t>4</w:t>
      </w:r>
      <w:r>
        <w:rPr>
          <w:rFonts w:eastAsia="仿宋_GB2312" w:cs="仿宋_GB2312" w:hint="eastAsia"/>
          <w:sz w:val="32"/>
          <w:szCs w:val="32"/>
        </w:rPr>
        <w:t>年度相比，收入、支出总计各增长</w:t>
      </w:r>
      <w:r>
        <w:rPr>
          <w:rFonts w:eastAsia="仿宋_GB2312" w:cs="仿宋_GB2312" w:hint="eastAsia"/>
          <w:sz w:val="32"/>
          <w:szCs w:val="32"/>
          <w:lang w:val="en-US" w:eastAsia="zh-CN"/>
        </w:rPr>
        <w:t>26.94</w:t>
      </w:r>
      <w:r>
        <w:rPr>
          <w:rFonts w:eastAsia="仿宋_GB2312" w:cs="仿宋_GB2312" w:hint="eastAsia"/>
          <w:sz w:val="32"/>
          <w:szCs w:val="32"/>
        </w:rPr>
        <w:t>万元，增长0.9</w:t>
      </w:r>
      <w:r>
        <w:rPr>
          <w:rFonts w:eastAsia="仿宋_GB2312" w:cs="仿宋_GB2312" w:hint="eastAsia"/>
          <w:sz w:val="32"/>
          <w:szCs w:val="32"/>
          <w:lang w:val="en-US" w:eastAsia="zh-CN"/>
        </w:rPr>
        <w:t>2</w:t>
      </w:r>
      <w:r>
        <w:rPr>
          <w:rFonts w:eastAsia="仿宋_GB2312" w:cs="仿宋_GB2312" w:hint="eastAsia"/>
          <w:sz w:val="32"/>
          <w:szCs w:val="32"/>
        </w:rPr>
        <w:t>%。</w:t>
      </w:r>
      <w:r>
        <w:rPr>
          <w:rFonts w:ascii="仿宋" w:eastAsia="仿宋" w:hint="eastAsia"/>
          <w:sz w:val="32"/>
          <w:szCs w:val="32"/>
          <w:shd w:val="clear" w:color="auto" w:fill="FFFFFF"/>
        </w:rPr>
        <w:t>主要变动原因是</w:t>
      </w:r>
      <w:r>
        <w:rPr>
          <w:rFonts w:ascii="仿宋" w:eastAsia="仿宋"/>
          <w:sz w:val="32"/>
          <w:szCs w:val="32"/>
          <w:shd w:val="clear" w:color="auto" w:fill="FFFFFF"/>
        </w:rPr>
        <w:t>人员</w:t>
      </w:r>
      <w:r>
        <w:rPr>
          <w:rFonts w:ascii="仿宋" w:eastAsia="仿宋" w:hint="eastAsia"/>
          <w:sz w:val="32"/>
          <w:szCs w:val="32"/>
          <w:shd w:val="clear" w:color="auto" w:fill="FFFFFF"/>
        </w:rPr>
        <w:t>职级</w:t>
      </w:r>
      <w:r>
        <w:rPr>
          <w:rFonts w:ascii="仿宋" w:eastAsia="仿宋"/>
          <w:sz w:val="32"/>
          <w:szCs w:val="32"/>
          <w:shd w:val="clear" w:color="auto" w:fill="FFFFFF"/>
        </w:rPr>
        <w:t>晋升、</w:t>
      </w:r>
      <w:r>
        <w:rPr>
          <w:rFonts w:ascii="仿宋" w:eastAsia="仿宋" w:hint="eastAsia"/>
          <w:sz w:val="32"/>
          <w:szCs w:val="32"/>
          <w:shd w:val="clear" w:color="auto" w:fill="FFFFFF"/>
        </w:rPr>
        <w:t>工资上涨、人员经费增加。</w:t>
      </w:r>
    </w:p>
    <w:p>
      <w:pPr>
        <w:spacing w:line="600" w:lineRule="exact"/>
        <w:ind w:firstLineChars="200" w:firstLine="640"/>
        <w:outlineLvl w:val="1"/>
        <w:rPr>
          <w:rFonts w:ascii="Times New Roman" w:eastAsia="黑体" w:hAnsi="Times New Roman" w:hint="eastAsia"/>
          <w:color w:val="auto"/>
          <w:sz w:val="32"/>
          <w:szCs w:val="32"/>
          <w:highlight w:val="auto"/>
        </w:rPr>
      </w:pPr>
      <w:bookmarkStart w:id="20" w:name="_Toc15396607"/>
      <w:bookmarkStart w:id="21" w:name="_Toc15377209"/>
      <w:r>
        <w:rPr>
          <w:rFonts w:eastAsia="仿宋_GB2312" w:cs="仿宋_GB2312" w:hint="eastAsia"/>
          <w:sz w:val="32"/>
          <w:szCs w:val="32"/>
        </w:rPr>
        <w:drawing>
          <wp:anchor distT="0" distB="0" distL="114300" distR="114300" simplePos="0" relativeHeight="3" behindDoc="1" locked="0" layoutInCell="1" hidden="0" allowOverlap="1">
            <wp:simplePos x="0" y="0"/>
            <wp:positionH relativeFrom="column">
              <wp:posOffset>-19050</wp:posOffset>
            </wp:positionH>
            <wp:positionV relativeFrom="paragraph">
              <wp:posOffset>142875</wp:posOffset>
            </wp:positionV>
            <wp:extent cx="5256529" cy="2988309"/>
            <wp:effectExtent l="0" t="0" r="0" b="0"/>
            <wp:wrapNone/>
            <wp:docPr id="16" name="图表 4"/>
            <wp:cNvGraphicFramePr>
              <a:graphicFrameLocks noChangeAspect="0"/>
            </wp:cNvGraphicFramePr>
            <a:graphic>
              <a:graphicData uri="http://schemas.openxmlformats.org/drawingml/2006/picture">
                <pic:pic>
                  <pic:nvPicPr>
                    <pic:cNvPr id="18" name="图表 4 18"/>
                    <pic:cNvPicPr/>
                  </pic:nvPicPr>
                  <pic:blipFill>
                    <a:blip r:embed="rId10"/>
                    <a:stretch>
                      <a:fillRect/>
                    </a:stretch>
                  </pic:blipFill>
                  <pic:spPr>
                    <a:xfrm rot="0">
                      <a:off x="0" y="0"/>
                      <a:ext cx="5256529" cy="2988309"/>
                    </a:xfrm>
                    <a:prstGeom prst="rect"/>
                    <a:ln w="9525" cmpd="sng" cap="flat">
                      <a:solidFill>
                        <a:srgbClr val="000000"/>
                      </a:solidFill>
                      <a:prstDash val="solid"/>
                      <a:miter/>
                    </a:ln>
                  </pic:spPr>
                </pic:pic>
              </a:graphicData>
            </a:graphic>
          </wp:anchor>
        </w:drawing>
      </w:r>
    </w:p>
    <w:p>
      <w:pPr>
        <w:spacing w:line="600" w:lineRule="exact"/>
        <w:ind w:firstLineChars="200" w:firstLine="640"/>
        <w:outlineLvl w:val="1"/>
        <w:rPr>
          <w:rFonts w:ascii="Times New Roman" w:eastAsia="黑体" w:hAnsi="Times New Roman" w:hint="eastAsia"/>
          <w:color w:val="auto"/>
          <w:sz w:val="32"/>
          <w:szCs w:val="32"/>
          <w:highlight w:val="auto"/>
        </w:rPr>
      </w:pPr>
    </w:p>
    <w:p>
      <w:pPr>
        <w:spacing w:line="600" w:lineRule="exact"/>
        <w:ind w:firstLineChars="200" w:firstLine="640"/>
        <w:outlineLvl w:val="1"/>
        <w:rPr>
          <w:rFonts w:ascii="Times New Roman" w:eastAsia="黑体" w:hAnsi="Times New Roman" w:hint="eastAsia"/>
          <w:color w:val="auto"/>
          <w:sz w:val="32"/>
          <w:szCs w:val="32"/>
          <w:highlight w:val="auto"/>
        </w:rPr>
      </w:pPr>
    </w:p>
    <w:p>
      <w:pPr>
        <w:spacing w:line="600" w:lineRule="exact"/>
        <w:ind w:firstLineChars="200" w:firstLine="640"/>
        <w:outlineLvl w:val="1"/>
        <w:rPr>
          <w:rFonts w:ascii="Times New Roman" w:eastAsia="黑体" w:hAnsi="Times New Roman" w:hint="eastAsia"/>
          <w:color w:val="auto"/>
          <w:sz w:val="32"/>
          <w:szCs w:val="32"/>
          <w:highlight w:val="auto"/>
        </w:rPr>
      </w:pPr>
    </w:p>
    <w:p>
      <w:pPr>
        <w:spacing w:line="600" w:lineRule="exact"/>
        <w:ind w:firstLineChars="200" w:firstLine="640"/>
        <w:outlineLvl w:val="1"/>
        <w:rPr>
          <w:rFonts w:ascii="Times New Roman" w:eastAsia="黑体" w:hAnsi="Times New Roman" w:hint="eastAsia"/>
          <w:color w:val="auto"/>
          <w:sz w:val="32"/>
          <w:szCs w:val="32"/>
          <w:highlight w:val="auto"/>
        </w:rPr>
      </w:pPr>
    </w:p>
    <w:p>
      <w:pPr>
        <w:spacing w:line="600" w:lineRule="exact"/>
        <w:ind w:firstLineChars="200" w:firstLine="640"/>
        <w:outlineLvl w:val="1"/>
        <w:rPr>
          <w:rFonts w:ascii="Times New Roman" w:eastAsia="黑体" w:hAnsi="Times New Roman" w:hint="eastAsia"/>
          <w:color w:val="auto"/>
          <w:sz w:val="32"/>
          <w:szCs w:val="32"/>
          <w:highlight w:val="auto"/>
        </w:rPr>
      </w:pPr>
    </w:p>
    <w:p>
      <w:pPr>
        <w:spacing w:line="600" w:lineRule="exact"/>
        <w:ind w:firstLineChars="200" w:firstLine="640"/>
        <w:outlineLvl w:val="1"/>
        <w:rPr>
          <w:rFonts w:ascii="Times New Roman" w:eastAsia="黑体" w:hAnsi="Times New Roman" w:hint="eastAsia"/>
          <w:color w:val="auto"/>
          <w:sz w:val="32"/>
          <w:szCs w:val="32"/>
          <w:highlight w:val="auto"/>
        </w:rPr>
      </w:pPr>
    </w:p>
    <w:p>
      <w:pPr>
        <w:pStyle w:val="15"/>
        <w:rPr>
          <w:rFonts w:hint="eastAsia"/>
        </w:rPr>
      </w:pPr>
    </w:p>
    <w:p>
      <w:pPr>
        <w:spacing w:line="600" w:lineRule="exact"/>
        <w:rPr>
          <w:rFonts w:hint="eastAsia"/>
        </w:rPr>
      </w:pPr>
      <w:r>
        <w:rPr>
          <w:rFonts w:eastAsia="仿宋_GB2312" w:cs="仿宋_GB2312" w:hint="eastAsia"/>
          <w:sz w:val="32"/>
          <w:szCs w:val="32"/>
        </w:rPr>
        <w:t>（图4：财政拨款收、支决算总计变动情况）（柱状图）</w:t>
      </w:r>
    </w:p>
    <w:p>
      <w:pPr>
        <w:spacing w:line="600" w:lineRule="exact"/>
        <w:ind w:firstLineChars="200" w:firstLine="640"/>
        <w:outlineLvl w:val="1"/>
        <w:rPr>
          <w:rStyle w:val="2Char"/>
          <w:rFonts w:ascii="Times New Roman" w:eastAsia="黑体" w:hAnsi="Times New Roman"/>
          <w:b w:val="0"/>
          <w:color w:val="auto"/>
          <w:highlight w:val="auto"/>
        </w:rPr>
      </w:pPr>
      <w:r>
        <w:rPr>
          <w:rFonts w:ascii="Times New Roman" w:eastAsia="黑体" w:hAnsi="Times New Roman" w:hint="eastAsia"/>
          <w:color w:val="auto"/>
          <w:sz w:val="32"/>
          <w:szCs w:val="32"/>
          <w:highlight w:val="auto"/>
        </w:rPr>
        <w:t>五、</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般公共预算财政拨款支出决算情况说明</w:t>
      </w:r>
      <w:bookmarkEnd w:id="20"/>
      <w:bookmarkEnd w:id="21"/>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2" w:name="_Toc15377210"/>
      <w:r>
        <w:rPr>
          <w:rFonts w:ascii="Times New Roman" w:eastAsia="楷体_GB2312" w:cs="楷体_GB2312" w:hAnsi="Times New Roman" w:hint="eastAsia"/>
          <w:b/>
          <w:color w:val="auto"/>
          <w:sz w:val="32"/>
          <w:szCs w:val="32"/>
          <w:highlight w:val="auto"/>
        </w:rPr>
        <w:t>（一）一般公共预算财政拨款支出决算总体情况</w:t>
      </w:r>
      <w:bookmarkEnd w:id="22"/>
    </w:p>
    <w:p>
      <w:pPr>
        <w:spacing w:line="540" w:lineRule="exact"/>
        <w:ind w:firstLineChars="200" w:firstLine="640"/>
        <w:rPr>
          <w:rFonts w:ascii="仿宋" w:eastAsia="仿宋"/>
          <w:sz w:val="32"/>
          <w:szCs w:val="32"/>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cs="仿宋_GB2312" w:hint="eastAsia"/>
          <w:sz w:val="32"/>
          <w:szCs w:val="32"/>
        </w:rPr>
        <w:t>354.01</w:t>
      </w:r>
      <w:r>
        <w:rPr>
          <w:rFonts w:ascii="Times New Roman" w:eastAsia="仿宋_GB2312" w:cs="仿宋_GB2312" w:hAnsi="Times New Roman" w:hint="eastAsia"/>
          <w:color w:val="auto"/>
          <w:kern w:val="2"/>
          <w:sz w:val="32"/>
          <w:szCs w:val="32"/>
          <w:lang w:val="en-US" w:eastAsia="zh-CN" w:bidi="ar-SA"/>
          <w:highlight w:val="auto"/>
        </w:rPr>
        <w:t>万元，占本年支出合计的</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highlight w:val="auto"/>
        </w:rPr>
        <w:t>%。</w:t>
      </w:r>
      <w:r>
        <w:rPr>
          <w:rFonts w:ascii="仿宋_GB2312" w:eastAsia="仿宋_GB2312" w:cs="仿宋_GB2312" w:hint="eastAsia"/>
          <w:sz w:val="32"/>
          <w:szCs w:val="32"/>
        </w:rPr>
        <w:t>与202</w:t>
      </w:r>
      <w:r>
        <w:rPr>
          <w:rFonts w:ascii="仿宋_GB2312" w:eastAsia="仿宋_GB2312" w:cs="仿宋_GB2312" w:hint="eastAsia"/>
          <w:sz w:val="32"/>
          <w:szCs w:val="32"/>
          <w:lang w:val="en-US" w:eastAsia="zh-CN"/>
        </w:rPr>
        <w:t>4</w:t>
      </w:r>
      <w:r>
        <w:rPr>
          <w:rFonts w:ascii="仿宋_GB2312" w:eastAsia="仿宋_GB2312" w:cs="仿宋_GB2312" w:hint="eastAsia"/>
          <w:sz w:val="32"/>
          <w:szCs w:val="32"/>
        </w:rPr>
        <w:t>年度相比，一般公共预算财政拨款支出</w:t>
      </w:r>
      <w:r>
        <w:rPr>
          <w:rFonts w:eastAsia="仿宋_GB2312" w:cs="仿宋_GB2312" w:hint="eastAsia"/>
          <w:sz w:val="32"/>
          <w:szCs w:val="32"/>
        </w:rPr>
        <w:t>增长</w:t>
      </w:r>
      <w:r>
        <w:rPr>
          <w:rFonts w:eastAsia="仿宋_GB2312" w:cs="仿宋_GB2312" w:hint="eastAsia"/>
          <w:sz w:val="32"/>
          <w:szCs w:val="32"/>
          <w:lang w:val="en-US" w:eastAsia="zh-CN"/>
        </w:rPr>
        <w:t>26.94</w:t>
      </w:r>
      <w:r>
        <w:rPr>
          <w:rFonts w:eastAsia="仿宋_GB2312" w:cs="仿宋_GB2312" w:hint="eastAsia"/>
          <w:sz w:val="32"/>
          <w:szCs w:val="32"/>
        </w:rPr>
        <w:t>万元，增长0.9</w:t>
      </w:r>
      <w:r>
        <w:rPr>
          <w:rFonts w:eastAsia="仿宋_GB2312" w:cs="仿宋_GB2312" w:hint="eastAsia"/>
          <w:sz w:val="32"/>
          <w:szCs w:val="32"/>
          <w:lang w:val="en-US" w:eastAsia="zh-CN"/>
        </w:rPr>
        <w:t>2</w:t>
      </w:r>
      <w:r>
        <w:rPr>
          <w:rFonts w:eastAsia="仿宋_GB2312" w:cs="仿宋_GB2312" w:hint="eastAsia"/>
          <w:sz w:val="32"/>
          <w:szCs w:val="32"/>
        </w:rPr>
        <w:t>%。</w:t>
      </w:r>
      <w:r>
        <w:rPr>
          <w:rFonts w:ascii="仿宋" w:eastAsia="仿宋" w:hint="eastAsia"/>
          <w:sz w:val="32"/>
          <w:szCs w:val="32"/>
          <w:shd w:val="clear" w:color="auto" w:fill="FFFFFF"/>
        </w:rPr>
        <w:t>主要变动原因是</w:t>
      </w:r>
      <w:r>
        <w:rPr>
          <w:rFonts w:ascii="仿宋" w:eastAsia="仿宋"/>
          <w:sz w:val="32"/>
          <w:szCs w:val="32"/>
          <w:shd w:val="clear" w:color="auto" w:fill="FFFFFF"/>
        </w:rPr>
        <w:t>人员</w:t>
      </w:r>
      <w:r>
        <w:rPr>
          <w:rFonts w:ascii="仿宋" w:eastAsia="仿宋" w:hint="eastAsia"/>
          <w:sz w:val="32"/>
          <w:szCs w:val="32"/>
          <w:shd w:val="clear" w:color="auto" w:fill="FFFFFF"/>
        </w:rPr>
        <w:t>职级</w:t>
      </w:r>
      <w:r>
        <w:rPr>
          <w:rFonts w:ascii="仿宋" w:eastAsia="仿宋"/>
          <w:sz w:val="32"/>
          <w:szCs w:val="32"/>
          <w:shd w:val="clear" w:color="auto" w:fill="FFFFFF"/>
        </w:rPr>
        <w:t>晋升、</w:t>
      </w:r>
      <w:r>
        <w:rPr>
          <w:rFonts w:ascii="仿宋" w:eastAsia="仿宋" w:hint="eastAsia"/>
          <w:sz w:val="32"/>
          <w:szCs w:val="32"/>
          <w:shd w:val="clear" w:color="auto" w:fill="FFFFFF"/>
        </w:rPr>
        <w:t>工资上涨、人员经费增加。</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pStyle w:val="15"/>
        <w:rPr>
          <w:rFonts w:ascii="Times New Roman" w:eastAsia="仿宋_GB2312" w:cs="仿宋_GB2312" w:hAnsi="Times New Roman" w:hint="eastAsia"/>
          <w:color w:val="auto"/>
          <w:kern w:val="2"/>
          <w:sz w:val="32"/>
          <w:szCs w:val="32"/>
          <w:lang w:val="en-US" w:eastAsia="zh-CN" w:bidi="ar-SA"/>
          <w:highlight w:val="auto"/>
        </w:rPr>
      </w:pPr>
      <w:r>
        <w:rPr>
          <w:rFonts w:hint="eastAsia"/>
        </w:rPr>
        <w:drawing>
          <wp:anchor distT="0" distB="0" distL="114300" distR="114300" simplePos="0" relativeHeight="22" behindDoc="0" locked="0" layoutInCell="1" hidden="0" allowOverlap="1">
            <wp:simplePos x="0" y="0"/>
            <wp:positionH relativeFrom="column">
              <wp:posOffset>85725</wp:posOffset>
            </wp:positionH>
            <wp:positionV relativeFrom="paragraph">
              <wp:posOffset>81915</wp:posOffset>
            </wp:positionV>
            <wp:extent cx="5095874" cy="2667000"/>
            <wp:effectExtent l="0" t="0" r="0" b="0"/>
            <wp:wrapNone/>
            <wp:docPr id="19" name="图表 24"/>
            <wp:cNvGraphicFramePr>
              <a:graphicFrameLocks noChangeAspect="0"/>
            </wp:cNvGraphicFramePr>
            <a:graphic>
              <a:graphicData uri="http://schemas.openxmlformats.org/drawingml/2006/picture">
                <pic:pic>
                  <pic:nvPicPr>
                    <pic:cNvPr id="21" name="图表 24 21"/>
                    <pic:cNvPicPr/>
                  </pic:nvPicPr>
                  <pic:blipFill>
                    <a:blip r:embed="rId11"/>
                    <a:stretch>
                      <a:fillRect/>
                    </a:stretch>
                  </pic:blipFill>
                  <pic:spPr>
                    <a:xfrm rot="0">
                      <a:off x="0" y="0"/>
                      <a:ext cx="5095874" cy="2667000"/>
                    </a:xfrm>
                    <a:prstGeom prst="rect"/>
                    <a:ln w="9525" cmpd="sng" cap="flat">
                      <a:solidFill>
                        <a:srgbClr val="000000"/>
                      </a:solidFill>
                      <a:prstDash val="solid"/>
                      <a:miter/>
                    </a:ln>
                  </pic:spPr>
                </pic:pic>
              </a:graphicData>
            </a:graphic>
          </wp:anchor>
        </w:drawing>
      </w:r>
    </w:p>
    <w:p>
      <w:pPr>
        <w:rPr>
          <w:rFonts w:ascii="Times New Roman" w:eastAsia="仿宋_GB2312" w:cs="仿宋_GB2312" w:hAnsi="Times New Roman" w:hint="eastAsia"/>
          <w:color w:val="auto"/>
          <w:kern w:val="2"/>
          <w:sz w:val="32"/>
          <w:szCs w:val="32"/>
          <w:lang w:val="en-US" w:eastAsia="zh-CN" w:bidi="ar-SA"/>
          <w:highlight w:val="auto"/>
        </w:rPr>
      </w:pPr>
    </w:p>
    <w:p>
      <w:pPr>
        <w:pStyle w:val="15"/>
        <w:rPr>
          <w:rFonts w:ascii="Times New Roman" w:eastAsia="仿宋_GB2312" w:cs="仿宋_GB2312" w:hAnsi="Times New Roman" w:hint="eastAsia"/>
          <w:color w:val="auto"/>
          <w:kern w:val="2"/>
          <w:sz w:val="32"/>
          <w:szCs w:val="32"/>
          <w:lang w:val="en-US" w:eastAsia="zh-CN" w:bidi="ar-SA"/>
          <w:highlight w:val="auto"/>
        </w:rPr>
      </w:pPr>
    </w:p>
    <w:p>
      <w:pPr>
        <w:rPr>
          <w:rFonts w:hint="eastAsia"/>
          <w:lang w:val="en-US" w:eastAsia="zh-CN"/>
        </w:rPr>
      </w:pPr>
    </w:p>
    <w:p>
      <w:pPr>
        <w:pStyle w:val="15"/>
        <w:rPr>
          <w:rFonts w:ascii="Times New Roman" w:eastAsia="仿宋_GB2312" w:cs="仿宋_GB2312" w:hAnsi="Times New Roman" w:hint="eastAsia"/>
          <w:color w:val="auto"/>
          <w:kern w:val="2"/>
          <w:sz w:val="32"/>
          <w:szCs w:val="32"/>
          <w:lang w:val="en-US" w:eastAsia="zh-CN" w:bidi="ar-SA"/>
          <w:highlight w:val="auto"/>
        </w:rPr>
      </w:pPr>
    </w:p>
    <w:p>
      <w:pPr>
        <w:spacing w:line="600" w:lineRule="exact"/>
        <w:rPr>
          <w:rFonts w:eastAsia="仿宋_GB2312" w:cs="仿宋_GB2312" w:hint="eastAsia"/>
          <w:sz w:val="32"/>
          <w:szCs w:val="32"/>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sz w:val="32"/>
          <w:szCs w:val="32"/>
        </w:rPr>
        <w:t>（图5：一般公共预算财政拨款支出决算变动情况）（柱状图）</w:t>
      </w:r>
    </w:p>
    <w:p>
      <w:pPr>
        <w:spacing w:line="600" w:lineRule="exact"/>
        <w:ind w:firstLineChars="100" w:firstLine="320"/>
        <w:outlineLvl w:val="2"/>
        <w:rPr>
          <w:rFonts w:ascii="Times New Roman" w:eastAsia="楷体_GB2312" w:cs="楷体_GB2312" w:hAnsi="Times New Roman" w:hint="eastAsia"/>
          <w:b/>
          <w:color w:val="auto"/>
          <w:sz w:val="32"/>
          <w:szCs w:val="32"/>
          <w:highlight w:val="auto"/>
        </w:rPr>
      </w:pPr>
      <w:bookmarkStart w:id="23" w:name="_Toc15377211"/>
      <w:r>
        <w:rPr>
          <w:rFonts w:ascii="Times New Roman" w:eastAsia="楷体_GB2312" w:cs="楷体_GB2312" w:hAnsi="Times New Roman" w:hint="eastAsia"/>
          <w:b/>
          <w:color w:val="auto"/>
          <w:sz w:val="32"/>
          <w:szCs w:val="32"/>
          <w:highlight w:val="auto"/>
        </w:rPr>
        <w:t>（二）一般公共预算财政拨款支出决算结构情况</w:t>
      </w:r>
      <w:bookmarkEnd w:id="23"/>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一般公共预算财政拨款支出</w:t>
      </w:r>
      <w:r>
        <w:rPr>
          <w:rFonts w:ascii="仿宋_GB2312" w:eastAsia="仿宋_GB2312" w:cs="仿宋_GB2312" w:hint="eastAsia"/>
          <w:sz w:val="32"/>
          <w:szCs w:val="32"/>
        </w:rPr>
        <w:t>354.01</w:t>
      </w:r>
      <w:r>
        <w:rPr>
          <w:rFonts w:ascii="Times New Roman" w:eastAsia="仿宋_GB2312" w:cs="仿宋_GB2312" w:hAnsi="Times New Roman" w:hint="eastAsia"/>
          <w:color w:val="auto"/>
          <w:kern w:val="2"/>
          <w:sz w:val="32"/>
          <w:szCs w:val="32"/>
          <w:lang w:val="en-US" w:eastAsia="zh-CN" w:bidi="ar-SA"/>
          <w:highlight w:val="auto"/>
        </w:rPr>
        <w:t>万元，主要用于以下方面</w:t>
      </w:r>
      <w:r>
        <w:rPr>
          <w:rFonts w:eastAsia="仿宋_GB2312" w:cs="仿宋_GB2312" w:hint="eastAsia"/>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一般公共服务支出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%；教育支出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%；科学技术支出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%；文化旅游体育与传媒支出</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w:t>
      </w:r>
      <w:r>
        <w:rPr>
          <w:rFonts w:ascii="Times New Roman" w:eastAsia="仿宋_GB2312" w:cs="仿宋_GB2312" w:hAnsi="Times New Roman" w:hint="eastAsia"/>
          <w:color w:val="auto"/>
          <w:kern w:val="2"/>
          <w:sz w:val="32"/>
          <w:szCs w:val="32"/>
          <w:lang w:val="en-US" w:eastAsia="zh-CN" w:bidi="ar-SA"/>
          <w:highlight w:val="auto"/>
        </w:rPr>
        <w:t>%；社会保障和就业支出</w:t>
      </w:r>
      <w:r>
        <w:rPr>
          <w:rFonts w:eastAsia="仿宋_GB2312" w:cs="仿宋_GB2312" w:hint="eastAsia"/>
          <w:color w:val="auto"/>
          <w:kern w:val="2"/>
          <w:sz w:val="32"/>
          <w:szCs w:val="32"/>
          <w:lang w:val="en-US" w:eastAsia="zh-CN" w:bidi="ar-SA"/>
          <w:highlight w:val="auto"/>
        </w:rPr>
        <w:t>309.78</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87</w:t>
      </w:r>
      <w:r>
        <w:rPr>
          <w:rFonts w:ascii="Times New Roman" w:eastAsia="仿宋_GB2312" w:cs="仿宋_GB2312" w:hAnsi="Times New Roman" w:hint="eastAsia"/>
          <w:color w:val="auto"/>
          <w:kern w:val="2"/>
          <w:sz w:val="32"/>
          <w:szCs w:val="32"/>
          <w:lang w:val="en-US" w:eastAsia="zh-CN" w:bidi="ar-SA"/>
          <w:highlight w:val="auto"/>
        </w:rPr>
        <w:t>%；卫生健康支出</w:t>
      </w:r>
      <w:r>
        <w:rPr>
          <w:rFonts w:eastAsia="仿宋_GB2312" w:cs="仿宋_GB2312" w:hint="eastAsia"/>
          <w:color w:val="auto"/>
          <w:kern w:val="2"/>
          <w:sz w:val="32"/>
          <w:szCs w:val="32"/>
          <w:lang w:val="en-US" w:eastAsia="zh-CN" w:bidi="ar-SA"/>
          <w:highlight w:val="auto"/>
        </w:rPr>
        <w:t>17.32</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0.48</w:t>
      </w:r>
      <w:r>
        <w:rPr>
          <w:rFonts w:ascii="Times New Roman" w:eastAsia="仿宋_GB2312" w:cs="仿宋_GB2312" w:hAnsi="Times New Roman" w:hint="eastAsia"/>
          <w:color w:val="auto"/>
          <w:kern w:val="2"/>
          <w:sz w:val="32"/>
          <w:szCs w:val="32"/>
          <w:lang w:val="en-US" w:eastAsia="zh-CN" w:bidi="ar-SA"/>
          <w:highlight w:val="auto"/>
        </w:rPr>
        <w:t>%；住房保障支出</w:t>
      </w:r>
      <w:r>
        <w:rPr>
          <w:rFonts w:eastAsia="仿宋_GB2312" w:cs="仿宋_GB2312" w:hint="eastAsia"/>
          <w:color w:val="auto"/>
          <w:kern w:val="2"/>
          <w:sz w:val="32"/>
          <w:szCs w:val="32"/>
          <w:lang w:val="en-US" w:eastAsia="zh-CN" w:bidi="ar-SA"/>
          <w:highlight w:val="auto"/>
        </w:rPr>
        <w:t>26.91</w:t>
      </w:r>
      <w:r>
        <w:rPr>
          <w:rFonts w:ascii="Times New Roman" w:eastAsia="仿宋_GB2312" w:cs="仿宋_GB2312" w:hAnsi="Times New Roman" w:hint="eastAsia"/>
          <w:color w:val="auto"/>
          <w:kern w:val="2"/>
          <w:sz w:val="32"/>
          <w:szCs w:val="32"/>
          <w:lang w:val="en-US" w:eastAsia="zh-CN" w:bidi="ar-SA"/>
          <w:highlight w:val="auto"/>
        </w:rPr>
        <w:t>万元，占</w:t>
      </w:r>
      <w:r>
        <w:rPr>
          <w:rFonts w:eastAsia="仿宋_GB2312" w:cs="仿宋_GB2312" w:hint="eastAsia"/>
          <w:color w:val="auto"/>
          <w:kern w:val="2"/>
          <w:sz w:val="32"/>
          <w:szCs w:val="32"/>
          <w:lang w:val="en-US" w:eastAsia="zh-CN" w:bidi="ar-SA"/>
          <w:highlight w:val="auto"/>
        </w:rPr>
        <w:t>0.76</w:t>
      </w:r>
      <w:r>
        <w:rPr>
          <w:rFonts w:ascii="Times New Roman" w:eastAsia="仿宋_GB2312" w:cs="仿宋_GB2312" w:hAnsi="Times New Roman" w:hint="eastAsia"/>
          <w:color w:val="auto"/>
          <w:kern w:val="2"/>
          <w:sz w:val="32"/>
          <w:szCs w:val="32"/>
          <w:lang w:val="en-US" w:eastAsia="zh-CN" w:bidi="ar-SA"/>
          <w:highlight w:val="auto"/>
        </w:rPr>
        <w:t>%</w:t>
      </w:r>
      <w:r>
        <w:rPr>
          <w:rFonts w:eastAsia="仿宋_GB2312" w:cs="仿宋_GB2312" w:hint="eastAsia"/>
          <w:color w:val="auto"/>
          <w:kern w:val="2"/>
          <w:sz w:val="32"/>
          <w:szCs w:val="32"/>
          <w:lang w:val="en-US" w:eastAsia="zh-CN" w:bidi="ar-SA"/>
          <w:highlight w:val="auto"/>
        </w:rPr>
        <w:t>。</w:t>
      </w:r>
    </w:p>
    <w:p>
      <w:pPr>
        <w:rPr>
          <w:rFonts w:ascii="Times New Roman" w:eastAsia="仿宋_GB2312" w:cs="仿宋_GB2312" w:hAnsi="Times New Roman" w:hint="eastAsia"/>
          <w:color w:val="auto"/>
          <w:kern w:val="2"/>
          <w:sz w:val="32"/>
          <w:szCs w:val="32"/>
          <w:lang w:val="en-US" w:eastAsia="zh-CN" w:bidi="ar-SA"/>
          <w:highlight w:val="auto"/>
        </w:rPr>
      </w:pPr>
      <w:r>
        <w:rPr>
          <w:rFonts w:ascii="仿宋" w:eastAsia="仿宋" w:hint="eastAsia"/>
          <w:sz w:val="32"/>
          <w:szCs w:val="32"/>
        </w:rPr>
        <w:drawing>
          <wp:anchor distT="0" distB="0" distL="114300" distR="114300" simplePos="0" relativeHeight="23" behindDoc="0" locked="0" layoutInCell="1" hidden="0" allowOverlap="1">
            <wp:simplePos x="0" y="0"/>
            <wp:positionH relativeFrom="column">
              <wp:posOffset>594995</wp:posOffset>
            </wp:positionH>
            <wp:positionV relativeFrom="paragraph">
              <wp:posOffset>99695</wp:posOffset>
            </wp:positionV>
            <wp:extent cx="4181475" cy="2371725"/>
            <wp:effectExtent l="0" t="0" r="0" b="0"/>
            <wp:wrapTight wrapText="bothSides">
              <wp:wrapPolygon>
                <wp:start x="-23" y="-18"/>
                <wp:lineTo x="-23" y="21581"/>
                <wp:lineTo x="21576" y="21581"/>
                <wp:lineTo x="21576" y="-18"/>
                <wp:lineTo x="-23" y="-18"/>
              </wp:wrapPolygon>
            </wp:wrapTight>
            <wp:docPr id="22" name="图表 8"/>
            <wp:cNvGraphicFramePr>
              <a:graphicFrameLocks noChangeAspect="0"/>
            </wp:cNvGraphicFramePr>
            <a:graphic>
              <a:graphicData uri="http://schemas.openxmlformats.org/drawingml/2006/picture">
                <pic:pic>
                  <pic:nvPicPr>
                    <pic:cNvPr id="24" name="图表 8 24"/>
                    <pic:cNvPicPr/>
                  </pic:nvPicPr>
                  <pic:blipFill>
                    <a:blip r:embed="rId12"/>
                    <a:stretch>
                      <a:fillRect/>
                    </a:stretch>
                  </pic:blipFill>
                  <pic:spPr>
                    <a:xfrm rot="0">
                      <a:off x="0" y="0"/>
                      <a:ext cx="4181475" cy="2371725"/>
                    </a:xfrm>
                    <a:prstGeom prst="rect"/>
                    <a:ln w="9525" cmpd="sng" cap="flat">
                      <a:solidFill>
                        <a:srgbClr val="000000"/>
                      </a:solidFill>
                      <a:prstDash val="solid"/>
                      <a:miter/>
                    </a:ln>
                  </pic:spPr>
                </pic:pic>
              </a:graphicData>
            </a:graphic>
          </wp:anchor>
        </w:drawing>
      </w:r>
    </w:p>
    <w:p>
      <w:pPr>
        <w:pStyle w:val="15"/>
        <w:rPr>
          <w:rFonts w:ascii="Times New Roman" w:eastAsia="仿宋_GB2312" w:cs="仿宋_GB2312" w:hAnsi="Times New Roman" w:hint="eastAsia"/>
          <w:color w:val="auto"/>
          <w:kern w:val="2"/>
          <w:sz w:val="32"/>
          <w:szCs w:val="32"/>
          <w:lang w:val="en-US" w:eastAsia="zh-CN" w:bidi="ar-SA"/>
          <w:highlight w:val="auto"/>
        </w:rPr>
      </w:pPr>
    </w:p>
    <w:p>
      <w:pPr>
        <w:rPr>
          <w:rFonts w:ascii="Times New Roman" w:eastAsia="仿宋_GB2312" w:cs="仿宋_GB2312" w:hAnsi="Times New Roman" w:hint="eastAsia"/>
          <w:color w:val="auto"/>
          <w:kern w:val="2"/>
          <w:sz w:val="32"/>
          <w:szCs w:val="32"/>
          <w:lang w:val="en-US" w:eastAsia="zh-CN" w:bidi="ar-SA"/>
          <w:highlight w:val="auto"/>
        </w:rPr>
      </w:pPr>
    </w:p>
    <w:p>
      <w:pPr>
        <w:pStyle w:val="15"/>
        <w:rPr>
          <w:rFonts w:hint="eastAsia"/>
          <w:lang w:val="en-US" w:eastAsia="zh-CN"/>
        </w:rPr>
      </w:pPr>
    </w:p>
    <w:p>
      <w:pPr>
        <w:rPr>
          <w:rFonts w:hint="eastAsia"/>
          <w:lang w:val="en-US" w:eastAsia="zh-CN"/>
        </w:rPr>
      </w:pPr>
    </w:p>
    <w:p>
      <w:pPr>
        <w:spacing w:line="600" w:lineRule="exact"/>
        <w:ind w:firstLine="640"/>
        <w:rPr>
          <w:rFonts w:hint="eastAsia"/>
          <w:lang w:val="en-US" w:eastAsia="zh-CN"/>
        </w:rPr>
      </w:pPr>
      <w:r>
        <w:rPr>
          <w:rFonts w:eastAsia="仿宋_GB2312" w:cs="仿宋_GB2312" w:hint="eastAsia"/>
          <w:sz w:val="32"/>
          <w:szCs w:val="32"/>
        </w:rPr>
        <w:t>（图6：一般公共预算财政拨款支出决算结构）（饼状图）</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24" w:name="_Toc15377212"/>
      <w:r>
        <w:rPr>
          <w:rFonts w:ascii="Times New Roman" w:eastAsia="楷体_GB2312" w:cs="楷体_GB2312" w:hAnsi="Times New Roman" w:hint="eastAsia"/>
          <w:b/>
          <w:color w:val="auto"/>
          <w:sz w:val="32"/>
          <w:szCs w:val="32"/>
          <w:highlight w:val="auto"/>
        </w:rPr>
        <w:t>（三）一般公共预算财政拨款支出决算具体情况</w:t>
      </w:r>
      <w:bookmarkEnd w:id="24"/>
    </w:p>
    <w:p>
      <w:pPr>
        <w:spacing w:line="600" w:lineRule="exact"/>
        <w:ind w:firstLine="640"/>
        <w:rPr>
          <w:rFonts w:ascii="仿宋" w:eastAsia="仿宋"/>
          <w:b/>
          <w:sz w:val="32"/>
          <w:szCs w:val="32"/>
        </w:rPr>
      </w:pPr>
      <w:bookmarkStart w:id="25" w:name="_Toc15378460"/>
      <w:bookmarkStart w:id="26" w:name="_Toc15377444"/>
      <w:bookmarkStart w:id="27" w:name="_Toc15377213"/>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一般公共预算支出决算数为</w:t>
      </w:r>
      <w:r>
        <w:rPr>
          <w:rFonts w:ascii="仿宋_GB2312" w:eastAsia="仿宋_GB2312" w:cs="仿宋_GB2312" w:hint="eastAsia"/>
          <w:sz w:val="32"/>
          <w:szCs w:val="32"/>
        </w:rPr>
        <w:t>354.01</w:t>
      </w:r>
      <w:r>
        <w:rPr>
          <w:rFonts w:ascii="Times New Roman" w:eastAsia="仿宋_GB2312" w:cs="仿宋_GB2312" w:hAnsi="Times New Roman" w:hint="eastAsia"/>
          <w:color w:val="auto"/>
          <w:kern w:val="2"/>
          <w:sz w:val="32"/>
          <w:szCs w:val="32"/>
          <w:lang w:val="en-US" w:eastAsia="zh-CN" w:bidi="ar-SA"/>
          <w:highlight w:val="auto"/>
        </w:rPr>
        <w:t>，完成预算</w:t>
      </w:r>
      <w:r>
        <w:rPr>
          <w:rStyle w:val="26"/>
          <w:rFonts w:ascii="仿宋" w:eastAsia="仿宋" w:hint="eastAsia"/>
          <w:b w:val="0"/>
          <w:bCs/>
          <w:sz w:val="32"/>
          <w:szCs w:val="32"/>
        </w:rPr>
        <w:t>100</w:t>
      </w:r>
      <w:r>
        <w:rPr>
          <w:rStyle w:val="26"/>
          <w:rFonts w:ascii="仿宋" w:eastAsia="仿宋"/>
          <w:b w:val="0"/>
          <w:bCs/>
          <w:sz w:val="32"/>
          <w:szCs w:val="32"/>
        </w:rPr>
        <w:t>%</w:t>
      </w:r>
      <w:r>
        <w:rPr>
          <w:rFonts w:ascii="Times New Roman" w:eastAsia="仿宋_GB2312" w:cs="仿宋_GB2312" w:hAnsi="Times New Roman" w:hint="eastAsia"/>
          <w:color w:val="auto"/>
          <w:kern w:val="2"/>
          <w:sz w:val="32"/>
          <w:szCs w:val="32"/>
          <w:lang w:val="en-US" w:eastAsia="zh-CN" w:bidi="ar-SA"/>
          <w:highlight w:val="auto"/>
        </w:rPr>
        <w:t>。其中：</w:t>
      </w:r>
      <w:bookmarkEnd w:id="25"/>
      <w:bookmarkEnd w:id="26"/>
      <w:bookmarkEnd w:id="27"/>
    </w:p>
    <w:p>
      <w:pPr>
        <w:widowControl/>
        <w:spacing w:line="540" w:lineRule="exact"/>
        <w:ind w:firstLineChars="200" w:firstLine="640"/>
        <w:jc w:val="left"/>
        <w:rPr>
          <w:rFonts w:ascii="仿宋" w:eastAsia="仿宋"/>
          <w:sz w:val="32"/>
          <w:szCs w:val="32"/>
        </w:rPr>
      </w:pPr>
      <w:r>
        <w:rPr>
          <w:rFonts w:ascii="仿宋_GB2312" w:eastAsia="仿宋_GB2312" w:hint="eastAsia"/>
          <w:b/>
          <w:bCs/>
          <w:color w:val="000000"/>
          <w:sz w:val="32"/>
          <w:szCs w:val="32"/>
        </w:rPr>
        <w:t>1.社会保障和就业（类）208:</w:t>
      </w:r>
      <w:r>
        <w:rPr>
          <w:rFonts w:ascii="仿宋" w:eastAsia="仿宋" w:hint="eastAsia"/>
          <w:sz w:val="32"/>
          <w:szCs w:val="32"/>
        </w:rPr>
        <w:t>支出决算为</w:t>
      </w:r>
      <w:r>
        <w:rPr>
          <w:rFonts w:ascii="仿宋" w:eastAsia="仿宋" w:hint="eastAsia"/>
          <w:sz w:val="32"/>
          <w:szCs w:val="32"/>
          <w:lang w:val="en-US" w:eastAsia="zh-CN"/>
        </w:rPr>
        <w:t>309.78</w:t>
      </w:r>
      <w:r>
        <w:rPr>
          <w:rFonts w:ascii="仿宋" w:eastAsia="仿宋" w:hint="eastAsia"/>
          <w:sz w:val="32"/>
          <w:szCs w:val="32"/>
        </w:rPr>
        <w:t>万元，完成预算100%。</w:t>
      </w:r>
    </w:p>
    <w:p>
      <w:pPr>
        <w:widowControl/>
        <w:spacing w:line="540" w:lineRule="exact"/>
        <w:ind w:firstLineChars="195" w:firstLine="624"/>
        <w:jc w:val="left"/>
        <w:rPr>
          <w:rFonts w:ascii="仿宋" w:eastAsia="仿宋"/>
          <w:sz w:val="32"/>
          <w:szCs w:val="32"/>
        </w:rPr>
      </w:pPr>
      <w:r>
        <w:rPr>
          <w:rFonts w:ascii="仿宋_GB2312" w:eastAsia="仿宋_GB2312" w:hint="eastAsia"/>
          <w:b/>
          <w:bCs/>
          <w:color w:val="000000"/>
          <w:sz w:val="32"/>
          <w:szCs w:val="32"/>
        </w:rPr>
        <w:t>2.卫生健康（类）210:</w:t>
      </w:r>
      <w:r>
        <w:rPr>
          <w:rFonts w:ascii="仿宋" w:eastAsia="仿宋" w:hint="eastAsia"/>
          <w:sz w:val="32"/>
          <w:szCs w:val="32"/>
        </w:rPr>
        <w:t>支出决算为</w:t>
      </w:r>
      <w:r>
        <w:rPr>
          <w:rFonts w:ascii="仿宋" w:eastAsia="仿宋" w:hint="eastAsia"/>
          <w:sz w:val="32"/>
          <w:szCs w:val="32"/>
          <w:lang w:val="en-US" w:eastAsia="zh-CN"/>
        </w:rPr>
        <w:t>17.32</w:t>
      </w:r>
      <w:r>
        <w:rPr>
          <w:rFonts w:ascii="仿宋" w:eastAsia="仿宋" w:hint="eastAsia"/>
          <w:sz w:val="32"/>
          <w:szCs w:val="32"/>
        </w:rPr>
        <w:t>万元，完成预算100%。</w:t>
      </w:r>
    </w:p>
    <w:p>
      <w:pPr>
        <w:widowControl/>
        <w:spacing w:line="540" w:lineRule="exact"/>
        <w:ind w:firstLineChars="200" w:firstLine="640"/>
        <w:jc w:val="left"/>
        <w:rPr>
          <w:rFonts w:ascii="Times New Roman" w:eastAsia="仿宋_GB2312" w:cs="仿宋_GB2312" w:hAnsi="Times New Roman" w:hint="eastAsia"/>
          <w:color w:val="auto"/>
          <w:kern w:val="2"/>
          <w:sz w:val="32"/>
          <w:szCs w:val="32"/>
          <w:lang w:val="en-US" w:eastAsia="zh-CN" w:bidi="ar-SA"/>
          <w:highlight w:val="auto"/>
        </w:rPr>
      </w:pPr>
      <w:r>
        <w:rPr>
          <w:rFonts w:ascii="仿宋_GB2312" w:eastAsia="仿宋_GB2312" w:hint="eastAsia"/>
          <w:b/>
          <w:bCs/>
          <w:color w:val="000000"/>
          <w:sz w:val="32"/>
          <w:szCs w:val="32"/>
        </w:rPr>
        <w:t>3.住房保障（类）221:</w:t>
      </w:r>
      <w:r>
        <w:rPr>
          <w:rFonts w:ascii="仿宋" w:eastAsia="仿宋" w:hint="eastAsia"/>
          <w:sz w:val="32"/>
          <w:szCs w:val="32"/>
        </w:rPr>
        <w:t>支出决算为</w:t>
      </w:r>
      <w:r>
        <w:rPr>
          <w:rFonts w:ascii="仿宋" w:eastAsia="仿宋" w:hint="eastAsia"/>
          <w:sz w:val="32"/>
          <w:szCs w:val="32"/>
          <w:lang w:val="en-US" w:eastAsia="zh-CN"/>
        </w:rPr>
        <w:t>26.91</w:t>
      </w:r>
      <w:r>
        <w:rPr>
          <w:rFonts w:ascii="仿宋" w:eastAsia="仿宋" w:hint="eastAsia"/>
          <w:sz w:val="32"/>
          <w:szCs w:val="32"/>
        </w:rPr>
        <w:t>万元，完成预算100%。 </w:t>
      </w:r>
    </w:p>
    <w:p>
      <w:pPr>
        <w:tabs>
          <w:tab w:val="right" w:pos="8306"/>
        </w:tabs>
        <w:spacing w:line="600" w:lineRule="exact"/>
        <w:ind w:firstLine="640"/>
        <w:outlineLvl w:val="1"/>
        <w:rPr>
          <w:rStyle w:val="2Char"/>
          <w:rFonts w:ascii="Times New Roman" w:hAnsi="Times New Roman"/>
          <w:color w:val="auto"/>
          <w:highlight w:val="auto"/>
        </w:rPr>
      </w:pPr>
      <w:bookmarkStart w:id="28" w:name="_Toc15377214"/>
      <w:bookmarkStart w:id="29" w:name="_Toc15396608"/>
      <w:r>
        <w:rPr>
          <w:rFonts w:ascii="Times New Roman" w:eastAsia="黑体" w:hAnsi="Times New Roman" w:hint="eastAsia"/>
          <w:color w:val="auto"/>
          <w:sz w:val="32"/>
          <w:szCs w:val="32"/>
          <w:highlight w:val="auto"/>
        </w:rPr>
        <w:t>六</w:t>
      </w:r>
      <w:r>
        <w:rPr>
          <w:rFonts w:ascii="Times New Roman" w:eastAsia="黑体" w:hAnsi="Times New Roman" w:hint="eastAsia"/>
          <w:b/>
          <w:color w:val="auto"/>
          <w:sz w:val="32"/>
          <w:szCs w:val="32"/>
          <w:highlight w:val="auto"/>
        </w:rPr>
        <w:t>、一</w:t>
      </w:r>
      <w:r>
        <w:rPr>
          <w:rStyle w:val="2Char"/>
          <w:rFonts w:ascii="Times New Roman" w:eastAsia="黑体" w:hAnsi="Times New Roman" w:hint="eastAsia"/>
          <w:b w:val="0"/>
          <w:color w:val="auto"/>
          <w:highlight w:val="auto"/>
        </w:rPr>
        <w:t>般公共预算财政拨款基本支出决算情况说明</w:t>
      </w:r>
      <w:bookmarkEnd w:id="28"/>
      <w:bookmarkEnd w:id="29"/>
      <w:r>
        <w:rPr>
          <w:rStyle w:val="2Char"/>
          <w:rFonts w:ascii="Times New Roman" w:eastAsia="黑体" w:hAnsi="Times New Roman"/>
          <w:b w:val="0"/>
          <w:color w:val="auto"/>
          <w:highlight w:val="auto"/>
        </w:rPr>
        <w:tab/>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一般公共预算财政拨款基本支出</w:t>
      </w:r>
      <w:r>
        <w:rPr>
          <w:rFonts w:ascii="仿宋_GB2312" w:eastAsia="仿宋_GB2312" w:cs="仿宋_GB2312" w:hint="eastAsia"/>
          <w:sz w:val="32"/>
          <w:szCs w:val="32"/>
        </w:rPr>
        <w:t>342.23</w:t>
      </w:r>
      <w:r>
        <w:rPr>
          <w:rFonts w:ascii="Times New Roman" w:eastAsia="仿宋_GB2312" w:cs="仿宋_GB2312" w:hAnsi="Times New Roman" w:hint="eastAsia"/>
          <w:color w:val="auto"/>
          <w:kern w:val="2"/>
          <w:sz w:val="32"/>
          <w:szCs w:val="32"/>
          <w:lang w:val="en-US" w:eastAsia="zh-CN" w:bidi="ar-SA"/>
          <w:highlight w:val="auto"/>
        </w:rPr>
        <w:t>万元，其中：</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人员经费</w:t>
      </w:r>
      <w:r>
        <w:rPr>
          <w:rFonts w:ascii="仿宋_GB2312" w:eastAsia="仿宋_GB2312" w:cs="仿宋_GB2312" w:hint="eastAsia"/>
          <w:sz w:val="32"/>
          <w:szCs w:val="32"/>
        </w:rPr>
        <w:t>328.3</w:t>
      </w:r>
      <w:r>
        <w:rPr>
          <w:rFonts w:ascii="仿宋_GB2312" w:eastAsia="仿宋_GB2312" w:cs="仿宋_GB2312" w:hint="eastAsia"/>
          <w:sz w:val="32"/>
          <w:szCs w:val="32"/>
          <w:lang w:val="en-US" w:eastAsia="zh-CN"/>
        </w:rPr>
        <w:t>2</w:t>
      </w:r>
      <w:r>
        <w:rPr>
          <w:rFonts w:ascii="Times New Roman" w:eastAsia="仿宋_GB2312" w:cs="仿宋_GB2312" w:hAnsi="Times New Roman" w:hint="eastAsia"/>
          <w:color w:val="auto"/>
          <w:kern w:val="2"/>
          <w:sz w:val="32"/>
          <w:szCs w:val="32"/>
          <w:lang w:val="en-US" w:eastAsia="zh-CN" w:bidi="ar-SA"/>
          <w:highlight w:val="auto"/>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w:t>
      </w:r>
      <w:r>
        <w:rPr>
          <w:rFonts w:ascii="仿宋_GB2312" w:eastAsia="仿宋_GB2312" w:cs="仿宋_GB2312" w:hint="eastAsia"/>
          <w:sz w:val="32"/>
          <w:szCs w:val="32"/>
          <w:lang w:val="en-US" w:eastAsia="zh-CN"/>
        </w:rPr>
        <w:t>19.9</w:t>
      </w:r>
      <w:r>
        <w:rPr>
          <w:rFonts w:ascii="Times New Roman" w:eastAsia="仿宋_GB2312" w:cs="仿宋_GB2312" w:hAnsi="Times New Roman" w:hint="eastAsia"/>
          <w:color w:val="auto"/>
          <w:kern w:val="2"/>
          <w:sz w:val="32"/>
          <w:szCs w:val="32"/>
          <w:lang w:val="en-US" w:eastAsia="zh-CN" w:bidi="ar-SA"/>
          <w:highlight w:val="auto"/>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Char"/>
          <w:rFonts w:ascii="Times New Roman" w:eastAsia="黑体" w:hAnsi="Times New Roman"/>
          <w:b w:val="0"/>
          <w:color w:val="auto"/>
          <w:highlight w:val="auto"/>
        </w:rPr>
      </w:pPr>
      <w:bookmarkStart w:id="30" w:name="_Toc15377215"/>
      <w:bookmarkStart w:id="31" w:name="_Toc15396609"/>
      <w:r>
        <w:rPr>
          <w:rFonts w:ascii="Times New Roman" w:eastAsia="黑体" w:hAnsi="Times New Roman" w:hint="eastAsia"/>
          <w:color w:val="auto"/>
          <w:sz w:val="32"/>
          <w:szCs w:val="32"/>
          <w:highlight w:val="auto"/>
        </w:rPr>
        <w:t>七、</w:t>
      </w:r>
      <w:r>
        <w:rPr>
          <w:rStyle w:val="2Char"/>
          <w:rFonts w:ascii="Times New Roman" w:eastAsia="黑体" w:hAnsi="Times New Roman" w:hint="eastAsia"/>
          <w:b w:val="0"/>
          <w:color w:val="auto"/>
          <w:highlight w:val="auto"/>
        </w:rPr>
        <w:t>财政拨款</w:t>
      </w:r>
      <w:r>
        <w:rPr>
          <w:rStyle w:val="2Char"/>
          <w:rFonts w:ascii="Times New Roman" w:eastAsia="黑体" w:hAnsi="Times New Roman" w:hint="eastAsia"/>
          <w:color w:val="auto"/>
          <w:highlight w:val="auto"/>
        </w:rPr>
        <w:t>“</w:t>
      </w:r>
      <w:r>
        <w:rPr>
          <w:rStyle w:val="2Char"/>
          <w:rFonts w:ascii="Times New Roman" w:eastAsia="黑体" w:hAnsi="Times New Roman" w:hint="eastAsia"/>
          <w:b w:val="0"/>
          <w:color w:val="auto"/>
          <w:highlight w:val="auto"/>
        </w:rPr>
        <w:t>三公”经费支出决算情况说明</w:t>
      </w:r>
      <w:bookmarkEnd w:id="30"/>
      <w:bookmarkEnd w:id="31"/>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2" w:name="_Toc15377216"/>
      <w:r>
        <w:rPr>
          <w:rFonts w:ascii="Times New Roman" w:eastAsia="楷体_GB2312" w:cs="楷体_GB2312" w:hAnsi="Times New Roman" w:hint="eastAsia"/>
          <w:b/>
          <w:color w:val="auto"/>
          <w:sz w:val="32"/>
          <w:szCs w:val="32"/>
          <w:highlight w:val="auto"/>
        </w:rPr>
        <w:t>（一）财政拨款“三公”经费支出决算总体情况说明</w:t>
      </w:r>
      <w:bookmarkEnd w:id="32"/>
    </w:p>
    <w:p>
      <w:pPr>
        <w:spacing w:line="540" w:lineRule="exact"/>
        <w:ind w:firstLine="640"/>
        <w:rPr>
          <w:rFonts w:ascii="仿宋" w:eastAsia="仿宋"/>
          <w:sz w:val="32"/>
          <w:szCs w:val="32"/>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财政拨款“三公”经费支出决算为</w:t>
      </w:r>
      <w:r>
        <w:rPr>
          <w:rFonts w:ascii="仿宋_GB2312" w:eastAsia="仿宋_GB2312" w:cs="仿宋_GB2312" w:hint="eastAsia"/>
          <w:sz w:val="32"/>
          <w:szCs w:val="32"/>
        </w:rPr>
        <w:t>0.96</w:t>
      </w:r>
      <w:r>
        <w:rPr>
          <w:rFonts w:ascii="Times New Roman" w:eastAsia="仿宋_GB2312" w:cs="仿宋_GB2312" w:hAnsi="Times New Roman" w:hint="eastAsia"/>
          <w:color w:val="auto"/>
          <w:kern w:val="2"/>
          <w:sz w:val="32"/>
          <w:szCs w:val="32"/>
          <w:lang w:val="en-US" w:eastAsia="zh-CN" w:bidi="ar-SA"/>
          <w:highlight w:val="auto"/>
        </w:rPr>
        <w:t>万元，完成预算</w:t>
      </w:r>
      <w:r>
        <w:rPr>
          <w:rFonts w:ascii="仿宋_GB2312" w:eastAsia="仿宋_GB2312" w:cs="仿宋_GB2312" w:hint="eastAsia"/>
          <w:sz w:val="32"/>
          <w:szCs w:val="32"/>
        </w:rPr>
        <w:t>100</w:t>
      </w:r>
      <w:r>
        <w:rPr>
          <w:rFonts w:ascii="Times New Roman" w:eastAsia="仿宋_GB2312" w:cs="仿宋_GB2312" w:hAnsi="Times New Roman" w:hint="eastAsia"/>
          <w:color w:val="auto"/>
          <w:kern w:val="2"/>
          <w:sz w:val="32"/>
          <w:szCs w:val="32"/>
          <w:lang w:val="en-US" w:eastAsia="zh-CN" w:bidi="ar-SA"/>
          <w:highlight w:val="auto"/>
        </w:rPr>
        <w:t>%，</w:t>
      </w:r>
      <w:r>
        <w:rPr>
          <w:rFonts w:ascii="仿宋" w:eastAsia="仿宋" w:hint="eastAsia"/>
          <w:sz w:val="32"/>
          <w:szCs w:val="32"/>
        </w:rPr>
        <w:t>较上年</w:t>
      </w:r>
      <w:r>
        <w:rPr>
          <w:rStyle w:val="26"/>
          <w:rFonts w:ascii="仿宋" w:eastAsia="仿宋" w:hint="eastAsia"/>
          <w:b w:val="0"/>
          <w:bCs/>
          <w:sz w:val="32"/>
          <w:szCs w:val="32"/>
          <w:lang w:val="en-US" w:eastAsia="zh-CN"/>
        </w:rPr>
        <w:t>减少1.27</w:t>
      </w:r>
      <w:r>
        <w:rPr>
          <w:rStyle w:val="26"/>
          <w:rFonts w:ascii="仿宋" w:eastAsia="仿宋" w:hint="eastAsia"/>
          <w:b w:val="0"/>
          <w:bCs/>
          <w:sz w:val="32"/>
          <w:szCs w:val="32"/>
        </w:rPr>
        <w:t>万元，</w:t>
      </w:r>
      <w:r>
        <w:rPr>
          <w:rStyle w:val="26"/>
          <w:rFonts w:ascii="仿宋" w:eastAsia="仿宋" w:hint="eastAsia"/>
          <w:b w:val="0"/>
          <w:bCs/>
          <w:sz w:val="32"/>
          <w:szCs w:val="32"/>
          <w:lang w:val="en-US" w:eastAsia="zh-CN"/>
        </w:rPr>
        <w:t>减少0.43</w:t>
      </w:r>
      <w:r>
        <w:rPr>
          <w:rStyle w:val="26"/>
          <w:rFonts w:ascii="仿宋" w:eastAsia="仿宋"/>
          <w:b w:val="0"/>
          <w:bCs/>
          <w:sz w:val="32"/>
          <w:szCs w:val="32"/>
        </w:rPr>
        <w:t>%</w:t>
      </w:r>
      <w:r>
        <w:rPr>
          <w:rFonts w:ascii="仿宋" w:eastAsia="仿宋" w:hint="eastAsia"/>
          <w:sz w:val="32"/>
          <w:szCs w:val="32"/>
        </w:rPr>
        <w:t>。决算数小于预算数的</w:t>
      </w:r>
      <w:r>
        <w:rPr>
          <w:rFonts w:ascii="仿宋_GB2312" w:eastAsia="仿宋_GB2312" w:hint="eastAsia"/>
          <w:sz w:val="32"/>
          <w:szCs w:val="32"/>
          <w:shd w:val="clear" w:color="auto" w:fill="FFFFFF"/>
        </w:rPr>
        <w:t>主要原因是：现有车辆老旧，使用率较去年减少。</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33" w:name="_Toc15377217"/>
      <w:r>
        <w:rPr>
          <w:rFonts w:ascii="Times New Roman" w:eastAsia="楷体_GB2312" w:cs="楷体_GB2312" w:hAnsi="Times New Roman" w:hint="eastAsia"/>
          <w:b/>
          <w:color w:val="auto"/>
          <w:sz w:val="32"/>
          <w:szCs w:val="32"/>
          <w:highlight w:val="auto"/>
        </w:rPr>
        <w:t>（二）财政拨款“三公”经费支出决算具体情况说明</w:t>
      </w:r>
      <w:bookmarkEnd w:id="33"/>
    </w:p>
    <w:p>
      <w:pPr>
        <w:spacing w:line="540" w:lineRule="exact"/>
        <w:ind w:firstLine="640"/>
        <w:rPr>
          <w:rFonts w:ascii="仿宋" w:eastAsia="仿宋"/>
          <w:sz w:val="32"/>
          <w:szCs w:val="32"/>
        </w:rPr>
      </w:pPr>
      <w:r>
        <w:rPr>
          <w:rFonts w:ascii="仿宋" w:eastAsia="仿宋"/>
          <w:sz w:val="30"/>
          <w:szCs w:val="30"/>
        </w:rPr>
        <w:t>20</w:t>
      </w:r>
      <w:r>
        <w:rPr>
          <w:rFonts w:ascii="仿宋" w:eastAsia="仿宋" w:hint="eastAsia"/>
          <w:sz w:val="30"/>
          <w:szCs w:val="30"/>
        </w:rPr>
        <w:t>2</w:t>
      </w:r>
      <w:r>
        <w:rPr>
          <w:rFonts w:ascii="仿宋" w:eastAsia="仿宋" w:hint="eastAsia"/>
          <w:sz w:val="32"/>
          <w:szCs w:val="32"/>
          <w:lang w:val="en-US" w:eastAsia="zh-CN"/>
        </w:rPr>
        <w:t>5</w:t>
      </w:r>
      <w:r>
        <w:rPr>
          <w:rFonts w:ascii="仿宋" w:eastAsia="仿宋" w:hint="eastAsia"/>
          <w:sz w:val="32"/>
          <w:szCs w:val="32"/>
        </w:rPr>
        <w:t>年“三公”经费财政拨款支出决算中，因公出国（境）费支出决算0万元，占0</w:t>
      </w:r>
      <w:r>
        <w:rPr>
          <w:rFonts w:ascii="仿宋" w:eastAsia="仿宋"/>
          <w:sz w:val="32"/>
          <w:szCs w:val="32"/>
        </w:rPr>
        <w:t>%</w:t>
      </w:r>
      <w:r>
        <w:rPr>
          <w:rFonts w:ascii="仿宋" w:eastAsia="仿宋" w:hint="eastAsia"/>
          <w:sz w:val="32"/>
          <w:szCs w:val="32"/>
        </w:rPr>
        <w:t>；公务用车购置及运行维护费支出决算0万元，占0</w:t>
      </w:r>
      <w:r>
        <w:rPr>
          <w:rFonts w:ascii="仿宋" w:eastAsia="仿宋"/>
          <w:sz w:val="32"/>
          <w:szCs w:val="32"/>
        </w:rPr>
        <w:t>%</w:t>
      </w:r>
      <w:r>
        <w:rPr>
          <w:rFonts w:ascii="仿宋" w:eastAsia="仿宋" w:hint="eastAsia"/>
          <w:sz w:val="32"/>
          <w:szCs w:val="32"/>
        </w:rPr>
        <w:t>；公务接待费支出决算0万元，占0</w:t>
      </w:r>
      <w:r>
        <w:rPr>
          <w:rFonts w:ascii="仿宋" w:eastAsia="仿宋"/>
          <w:sz w:val="32"/>
          <w:szCs w:val="32"/>
        </w:rPr>
        <w:t>%</w:t>
      </w:r>
      <w:r>
        <w:rPr>
          <w:rFonts w:ascii="仿宋" w:eastAsia="仿宋" w:hint="eastAsia"/>
          <w:sz w:val="32"/>
          <w:szCs w:val="32"/>
        </w:rPr>
        <w:t>。具体情况如下：</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drawing>
          <wp:anchor distT="0" distB="0" distL="114300" distR="114300" simplePos="0" relativeHeight="24" behindDoc="0" locked="0" layoutInCell="1" hidden="0" allowOverlap="1">
            <wp:simplePos x="0" y="0"/>
            <wp:positionH relativeFrom="column">
              <wp:posOffset>718819</wp:posOffset>
            </wp:positionH>
            <wp:positionV relativeFrom="paragraph">
              <wp:posOffset>90805</wp:posOffset>
            </wp:positionV>
            <wp:extent cx="4000500" cy="2342515"/>
            <wp:effectExtent l="0" t="0" r="0" b="0"/>
            <wp:wrapTight wrapText="bothSides">
              <wp:wrapPolygon>
                <wp:start x="-24" y="-47"/>
                <wp:lineTo x="-24" y="21557"/>
                <wp:lineTo x="21575" y="21557"/>
                <wp:lineTo x="21575" y="-47"/>
                <wp:lineTo x="-24" y="-47"/>
              </wp:wrapPolygon>
            </wp:wrapTight>
            <wp:docPr id="25" name="图表 9"/>
            <wp:cNvGraphicFramePr>
              <a:graphicFrameLocks noChangeAspect="0"/>
            </wp:cNvGraphicFramePr>
            <a:graphic>
              <a:graphicData uri="http://schemas.openxmlformats.org/drawingml/2006/picture">
                <pic:pic>
                  <pic:nvPicPr>
                    <pic:cNvPr id="27" name="图表 9 27"/>
                    <pic:cNvPicPr/>
                  </pic:nvPicPr>
                  <pic:blipFill>
                    <a:blip r:embed="rId13"/>
                    <a:stretch>
                      <a:fillRect/>
                    </a:stretch>
                  </pic:blipFill>
                  <pic:spPr>
                    <a:xfrm rot="0">
                      <a:off x="0" y="0"/>
                      <a:ext cx="4000500" cy="2342515"/>
                    </a:xfrm>
                    <a:prstGeom prst="rect"/>
                    <a:ln w="9525" cmpd="sng" cap="flat">
                      <a:solidFill>
                        <a:srgbClr val="000000"/>
                      </a:solidFill>
                      <a:prstDash val="solid"/>
                      <a:miter/>
                    </a:ln>
                  </pic:spPr>
                </pic:pic>
              </a:graphicData>
            </a:graphic>
          </wp:anchor>
        </w:drawing>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p>
    <w:p>
      <w:pPr>
        <w:spacing w:line="600" w:lineRule="exact"/>
        <w:rPr>
          <w:rFonts w:ascii="Times New Roman" w:eastAsia="仿宋_GB2312" w:cs="仿宋_GB2312" w:hAnsi="Times New Roman" w:hint="eastAsia"/>
          <w:color w:val="auto"/>
          <w:kern w:val="2"/>
          <w:sz w:val="32"/>
          <w:szCs w:val="32"/>
          <w:lang w:val="en-US" w:eastAsia="zh-CN" w:bidi="ar-SA"/>
          <w:highlight w:val="auto"/>
        </w:rPr>
      </w:pP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（图7：财政拨款“三公”经费支出结构）（饼状图）</w:t>
      </w:r>
    </w:p>
    <w:p>
      <w:pPr>
        <w:spacing w:line="600" w:lineRule="exact"/>
        <w:ind w:firstLine="640"/>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b/>
          <w:bCs/>
          <w:color w:val="auto"/>
          <w:kern w:val="2"/>
          <w:sz w:val="32"/>
          <w:szCs w:val="32"/>
          <w:lang w:val="en-US" w:eastAsia="zh-CN" w:bidi="ar-SA"/>
          <w:highlight w:val="auto"/>
        </w:rPr>
        <w:t>1.</w:t>
      </w:r>
      <w:r>
        <w:rPr>
          <w:rFonts w:eastAsia="仿宋_GB2312" w:cs="仿宋_GB2312" w:hint="eastAsia"/>
          <w:b/>
          <w:bCs/>
          <w:sz w:val="32"/>
          <w:szCs w:val="32"/>
        </w:rPr>
        <w:t>因公出国（境）经费支出0万元，完成预算0%。</w:t>
      </w:r>
      <w:r>
        <w:rPr>
          <w:rFonts w:eastAsia="仿宋_GB2312" w:cs="仿宋_GB2312" w:hint="eastAsia"/>
          <w:sz w:val="32"/>
          <w:szCs w:val="32"/>
        </w:rPr>
        <w:t>全年安排因公出国（境）团</w:t>
      </w:r>
      <w:r>
        <w:rPr>
          <w:rFonts w:ascii="仿宋_GB2312" w:eastAsia="仿宋_GB2312" w:cs="仿宋_GB2312" w:hint="eastAsia"/>
          <w:sz w:val="32"/>
          <w:szCs w:val="32"/>
        </w:rPr>
        <w:t>组0</w:t>
      </w:r>
      <w:r>
        <w:rPr>
          <w:rFonts w:eastAsia="仿宋_GB2312" w:cs="仿宋_GB2312" w:hint="eastAsia"/>
          <w:sz w:val="32"/>
          <w:szCs w:val="32"/>
        </w:rPr>
        <w:t>次，出国（境）</w:t>
      </w:r>
      <w:r>
        <w:rPr>
          <w:rFonts w:ascii="仿宋_GB2312" w:eastAsia="仿宋_GB2312" w:cs="仿宋_GB2312" w:hint="eastAsia"/>
          <w:sz w:val="32"/>
          <w:szCs w:val="32"/>
        </w:rPr>
        <w:t>0人</w:t>
      </w:r>
      <w:r>
        <w:rPr>
          <w:rFonts w:eastAsia="仿宋_GB2312" w:cs="仿宋_GB2312" w:hint="eastAsia"/>
          <w:sz w:val="32"/>
          <w:szCs w:val="32"/>
        </w:rPr>
        <w:t>。因公出国（境）支出决算比202</w:t>
      </w:r>
      <w:r>
        <w:rPr>
          <w:rFonts w:eastAsia="仿宋_GB2312" w:cs="仿宋_GB2312" w:hint="eastAsia"/>
          <w:sz w:val="32"/>
          <w:szCs w:val="32"/>
          <w:lang w:val="en-US" w:eastAsia="zh-CN"/>
        </w:rPr>
        <w:t>4</w:t>
      </w:r>
      <w:r>
        <w:rPr>
          <w:rFonts w:eastAsia="仿宋_GB2312" w:cs="仿宋_GB2312" w:hint="eastAsia"/>
          <w:sz w:val="32"/>
          <w:szCs w:val="32"/>
        </w:rPr>
        <w:t>年增加/减少0万元，增长/下降0%。</w:t>
      </w:r>
    </w:p>
    <w:p>
      <w:pPr>
        <w:spacing w:line="540" w:lineRule="exact"/>
        <w:ind w:firstLine="640"/>
        <w:rPr>
          <w:rFonts w:ascii="仿宋" w:eastAsia="仿宋"/>
          <w:sz w:val="32"/>
          <w:szCs w:val="32"/>
        </w:rPr>
      </w:pPr>
      <w:r>
        <w:rPr>
          <w:rFonts w:ascii="Times New Roman" w:eastAsia="仿宋_GB2312" w:cs="仿宋_GB2312" w:hAnsi="Times New Roman" w:hint="eastAsia"/>
          <w:b/>
          <w:bCs/>
          <w:color w:val="auto"/>
          <w:kern w:val="2"/>
          <w:sz w:val="32"/>
          <w:szCs w:val="32"/>
          <w:lang w:val="en-US" w:eastAsia="zh-CN" w:bidi="ar-SA"/>
          <w:highlight w:val="auto"/>
        </w:rPr>
        <w:t>2.公务用车购置及运行维护费支出</w:t>
      </w:r>
      <w:r>
        <w:rPr>
          <w:rFonts w:ascii="仿宋_GB2312" w:eastAsia="仿宋_GB2312" w:cs="仿宋_GB2312" w:hint="eastAsia"/>
          <w:b/>
          <w:bCs/>
          <w:color w:val="auto"/>
          <w:kern w:val="2"/>
          <w:sz w:val="32"/>
          <w:szCs w:val="32"/>
          <w:lang w:val="en-US" w:eastAsia="zh-CN" w:bidi="ar-SA"/>
          <w:highlight w:val="auto"/>
        </w:rPr>
        <w:t>0.96</w:t>
      </w:r>
      <w:r>
        <w:rPr>
          <w:rFonts w:ascii="Times New Roman" w:eastAsia="仿宋_GB2312" w:cs="仿宋_GB2312" w:hAnsi="Times New Roman" w:hint="eastAsia"/>
          <w:b/>
          <w:bCs/>
          <w:color w:val="auto"/>
          <w:kern w:val="2"/>
          <w:sz w:val="32"/>
          <w:szCs w:val="32"/>
          <w:lang w:val="en-US" w:eastAsia="zh-CN" w:bidi="ar-SA"/>
          <w:highlight w:val="auto"/>
        </w:rPr>
        <w:t>万元</w:t>
      </w:r>
      <w:r>
        <w:rPr>
          <w:rFonts w:eastAsia="仿宋_GB2312" w:cs="仿宋_GB2312" w:hint="eastAsia"/>
          <w:b/>
          <w:bCs/>
          <w:color w:val="auto"/>
          <w:kern w:val="2"/>
          <w:sz w:val="32"/>
          <w:szCs w:val="32"/>
          <w:lang w:val="en-US" w:eastAsia="zh-CN" w:bidi="ar-SA"/>
          <w:highlight w:val="auto"/>
        </w:rPr>
        <w:t>，</w:t>
      </w:r>
      <w:r>
        <w:rPr>
          <w:rFonts w:ascii="Times New Roman" w:eastAsia="仿宋_GB2312" w:cs="仿宋_GB2312" w:hAnsi="Times New Roman" w:hint="eastAsia"/>
          <w:b/>
          <w:bCs/>
          <w:color w:val="auto"/>
          <w:kern w:val="2"/>
          <w:sz w:val="32"/>
          <w:szCs w:val="32"/>
          <w:lang w:val="en-US" w:eastAsia="zh-CN" w:bidi="ar-SA"/>
          <w:highlight w:val="auto"/>
        </w:rPr>
        <w:t>完成预算</w:t>
      </w:r>
      <w:r>
        <w:rPr>
          <w:rFonts w:eastAsia="仿宋_GB2312" w:cs="仿宋_GB2312" w:hint="eastAsia"/>
          <w:b/>
          <w:bCs/>
          <w:color w:val="auto"/>
          <w:kern w:val="2"/>
          <w:sz w:val="32"/>
          <w:szCs w:val="32"/>
          <w:lang w:val="en-US" w:eastAsia="zh-CN" w:bidi="ar-SA"/>
          <w:highlight w:val="auto"/>
        </w:rPr>
        <w:t>100</w:t>
      </w:r>
      <w:r>
        <w:rPr>
          <w:rFonts w:ascii="Times New Roman" w:eastAsia="仿宋_GB2312" w:cs="仿宋_GB2312" w:hAnsi="Times New Roman" w:hint="eastAsia"/>
          <w:b/>
          <w:bCs/>
          <w:color w:val="auto"/>
          <w:kern w:val="2"/>
          <w:sz w:val="32"/>
          <w:szCs w:val="32"/>
          <w:lang w:val="en-US" w:eastAsia="zh-CN" w:bidi="ar-SA"/>
          <w:highlight w:val="auto"/>
        </w:rPr>
        <w:t>%。</w:t>
      </w:r>
      <w:r>
        <w:rPr>
          <w:rFonts w:ascii="Times New Roman" w:eastAsia="仿宋_GB2312" w:cs="仿宋_GB2312" w:hAnsi="Times New Roman" w:hint="eastAsia"/>
          <w:color w:val="auto"/>
          <w:kern w:val="2"/>
          <w:sz w:val="32"/>
          <w:szCs w:val="32"/>
          <w:lang w:val="en-US" w:eastAsia="zh-CN" w:bidi="ar-SA"/>
          <w:highlight w:val="auto"/>
        </w:rPr>
        <w:t>公务用车购置及运行维护费支出决算比</w:t>
      </w:r>
      <w:r>
        <w:rPr>
          <w:rFonts w:eastAsia="仿宋_GB2312" w:cs="仿宋_GB2312" w:hint="eastAsia"/>
          <w:color w:val="auto"/>
          <w:kern w:val="2"/>
          <w:sz w:val="32"/>
          <w:szCs w:val="32"/>
          <w:lang w:val="en-US" w:eastAsia="zh-CN" w:bidi="ar-SA"/>
          <w:highlight w:val="auto"/>
        </w:rPr>
        <w:t>上年度</w:t>
      </w:r>
      <w:r>
        <w:rPr>
          <w:rStyle w:val="26"/>
          <w:rFonts w:ascii="仿宋" w:eastAsia="仿宋" w:hint="eastAsia"/>
          <w:b w:val="0"/>
          <w:bCs/>
          <w:sz w:val="32"/>
          <w:szCs w:val="32"/>
          <w:lang w:val="en-US" w:eastAsia="zh-CN"/>
        </w:rPr>
        <w:t>减少1.27</w:t>
      </w:r>
      <w:r>
        <w:rPr>
          <w:rStyle w:val="26"/>
          <w:rFonts w:ascii="仿宋" w:eastAsia="仿宋" w:hint="eastAsia"/>
          <w:b w:val="0"/>
          <w:bCs/>
          <w:sz w:val="32"/>
          <w:szCs w:val="32"/>
        </w:rPr>
        <w:t>万元，</w:t>
      </w:r>
      <w:r>
        <w:rPr>
          <w:rStyle w:val="26"/>
          <w:rFonts w:ascii="仿宋" w:eastAsia="仿宋" w:hint="eastAsia"/>
          <w:b w:val="0"/>
          <w:bCs/>
          <w:sz w:val="32"/>
          <w:szCs w:val="32"/>
          <w:lang w:val="en-US" w:eastAsia="zh-CN"/>
        </w:rPr>
        <w:t>减少0.43</w:t>
      </w:r>
      <w:r>
        <w:rPr>
          <w:rStyle w:val="26"/>
          <w:rFonts w:ascii="仿宋" w:eastAsia="仿宋"/>
          <w:b w:val="0"/>
          <w:bCs/>
          <w:sz w:val="32"/>
          <w:szCs w:val="32"/>
        </w:rPr>
        <w:t>%</w:t>
      </w:r>
      <w:r>
        <w:rPr>
          <w:rFonts w:ascii="仿宋" w:eastAsia="仿宋" w:hint="eastAsia"/>
          <w:sz w:val="32"/>
          <w:szCs w:val="32"/>
        </w:rPr>
        <w:t>。决算数小于预算数的</w:t>
      </w:r>
      <w:r>
        <w:rPr>
          <w:rFonts w:ascii="仿宋_GB2312" w:eastAsia="仿宋_GB2312" w:hint="eastAsia"/>
          <w:sz w:val="32"/>
          <w:szCs w:val="32"/>
          <w:shd w:val="clear" w:color="auto" w:fill="FFFFFF"/>
        </w:rPr>
        <w:t>主要原因是：现有车辆老旧，使用率较去年减少。</w:t>
      </w:r>
    </w:p>
    <w:p>
      <w:pPr>
        <w:spacing w:line="540" w:lineRule="exact"/>
        <w:ind w:firstLineChars="200" w:firstLine="640"/>
        <w:rPr>
          <w:rFonts w:ascii="仿宋" w:eastAsia="仿宋"/>
          <w:sz w:val="32"/>
          <w:szCs w:val="32"/>
        </w:rPr>
      </w:pPr>
      <w:r>
        <w:rPr>
          <w:rFonts w:ascii="Times New Roman" w:eastAsia="仿宋_GB2312" w:cs="仿宋_GB2312" w:hAnsi="Times New Roman" w:hint="eastAsia"/>
          <w:color w:val="auto"/>
          <w:kern w:val="2"/>
          <w:sz w:val="32"/>
          <w:szCs w:val="32"/>
          <w:lang w:val="en-US" w:eastAsia="zh-CN" w:bidi="ar-SA"/>
          <w:highlight w:val="auto"/>
        </w:rPr>
        <w:t>其中：公务用车购置支出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w:t>
      </w:r>
      <w:r>
        <w:rPr>
          <w:rFonts w:ascii="仿宋" w:eastAsia="仿宋" w:hint="eastAsia"/>
          <w:sz w:val="32"/>
          <w:szCs w:val="32"/>
        </w:rPr>
        <w:t>全年按规定更新购置公务用车0辆，其中：轿车0辆、金额0万元，越野车0辆、金额0万元，载客汽车0辆、金额0万元。截至</w:t>
      </w:r>
      <w:r>
        <w:rPr>
          <w:rFonts w:ascii="仿宋" w:eastAsia="仿宋"/>
          <w:sz w:val="32"/>
          <w:szCs w:val="32"/>
        </w:rPr>
        <w:t>20</w:t>
      </w:r>
      <w:r>
        <w:rPr>
          <w:rFonts w:ascii="仿宋" w:eastAsia="仿宋" w:hint="eastAsia"/>
          <w:sz w:val="32"/>
          <w:szCs w:val="32"/>
        </w:rPr>
        <w:t>2</w:t>
      </w:r>
      <w:r>
        <w:rPr>
          <w:rFonts w:ascii="仿宋" w:eastAsia="仿宋" w:hint="eastAsia"/>
          <w:sz w:val="32"/>
          <w:szCs w:val="32"/>
          <w:lang w:val="en-US" w:eastAsia="zh-CN"/>
        </w:rPr>
        <w:t>5</w:t>
      </w:r>
      <w:r>
        <w:rPr>
          <w:rFonts w:ascii="仿宋" w:eastAsia="仿宋" w:hint="eastAsia"/>
          <w:sz w:val="32"/>
          <w:szCs w:val="32"/>
        </w:rPr>
        <w:t>年</w:t>
      </w:r>
      <w:r>
        <w:rPr>
          <w:rFonts w:ascii="仿宋" w:eastAsia="仿宋"/>
          <w:sz w:val="32"/>
          <w:szCs w:val="32"/>
        </w:rPr>
        <w:t>12</w:t>
      </w:r>
      <w:r>
        <w:rPr>
          <w:rFonts w:ascii="仿宋" w:eastAsia="仿宋" w:hint="eastAsia"/>
          <w:sz w:val="32"/>
          <w:szCs w:val="32"/>
        </w:rPr>
        <w:t>月31日，单位共有公务用车1辆，其中：轿车1辆、越野车0辆、载客汽车0辆。</w:t>
      </w:r>
    </w:p>
    <w:p>
      <w:pPr>
        <w:spacing w:line="540" w:lineRule="exact"/>
        <w:ind w:firstLine="640"/>
        <w:rPr>
          <w:rFonts w:ascii="仿宋" w:eastAsia="仿宋"/>
          <w:sz w:val="32"/>
          <w:szCs w:val="32"/>
        </w:rPr>
      </w:pPr>
      <w:r>
        <w:rPr>
          <w:rFonts w:ascii="Times New Roman" w:eastAsia="仿宋_GB2312" w:cs="仿宋_GB2312" w:hAnsi="Times New Roman" w:hint="eastAsia"/>
          <w:color w:val="auto"/>
          <w:kern w:val="2"/>
          <w:sz w:val="32"/>
          <w:szCs w:val="32"/>
          <w:lang w:val="en-US" w:eastAsia="zh-CN" w:bidi="ar-SA"/>
          <w:highlight w:val="auto"/>
        </w:rPr>
        <w:t>公务用车运行维护费支出</w:t>
      </w:r>
      <w:r>
        <w:rPr>
          <w:rFonts w:ascii="仿宋_GB2312" w:eastAsia="仿宋_GB2312" w:cs="仿宋_GB2312" w:hint="eastAsia"/>
          <w:sz w:val="32"/>
          <w:szCs w:val="32"/>
        </w:rPr>
        <w:t>0.96</w:t>
      </w:r>
      <w:r>
        <w:rPr>
          <w:rFonts w:ascii="Times New Roman" w:eastAsia="仿宋_GB2312" w:cs="仿宋_GB2312" w:hAnsi="Times New Roman" w:hint="eastAsia"/>
          <w:color w:val="auto"/>
          <w:kern w:val="2"/>
          <w:sz w:val="32"/>
          <w:szCs w:val="32"/>
          <w:lang w:val="en-US" w:eastAsia="zh-CN" w:bidi="ar-SA"/>
          <w:highlight w:val="auto"/>
        </w:rPr>
        <w:t>万元。</w:t>
      </w:r>
      <w:r>
        <w:rPr>
          <w:rFonts w:ascii="仿宋" w:eastAsia="仿宋" w:hint="eastAsia"/>
          <w:sz w:val="32"/>
          <w:szCs w:val="32"/>
        </w:rPr>
        <w:t>主要用于下乡宣传养老政策及联户联情等所需的公务用车燃料费、维修费、过路过桥费、保险费等支出。</w:t>
      </w:r>
    </w:p>
    <w:p>
      <w:pPr>
        <w:spacing w:line="540" w:lineRule="exact"/>
        <w:ind w:firstLine="640"/>
        <w:rPr>
          <w:rFonts w:ascii="仿宋" w:eastAsia="仿宋"/>
          <w:sz w:val="32"/>
          <w:szCs w:val="32"/>
        </w:rPr>
      </w:pPr>
      <w:bookmarkStart w:id="34" w:name="_Toc15396610"/>
      <w:bookmarkStart w:id="35" w:name="_Toc15377218"/>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0万元，</w:t>
      </w:r>
      <w:r>
        <w:rPr>
          <w:rStyle w:val="26"/>
          <w:rFonts w:ascii="仿宋" w:eastAsia="仿宋" w:hint="eastAsia"/>
          <w:b w:val="0"/>
          <w:bCs/>
          <w:sz w:val="32"/>
          <w:szCs w:val="32"/>
        </w:rPr>
        <w:t>完成预算0</w:t>
      </w:r>
      <w:r>
        <w:rPr>
          <w:rStyle w:val="26"/>
          <w:rFonts w:ascii="仿宋" w:eastAsia="仿宋"/>
          <w:b w:val="0"/>
          <w:bCs/>
          <w:sz w:val="32"/>
          <w:szCs w:val="32"/>
        </w:rPr>
        <w:t>%</w:t>
      </w:r>
      <w:r>
        <w:rPr>
          <w:rStyle w:val="26"/>
          <w:rFonts w:ascii="仿宋" w:eastAsia="仿宋" w:hint="eastAsia"/>
          <w:b w:val="0"/>
          <w:bCs/>
          <w:sz w:val="32"/>
          <w:szCs w:val="32"/>
        </w:rPr>
        <w:t>。</w:t>
      </w:r>
      <w:r>
        <w:rPr>
          <w:rFonts w:ascii="仿宋" w:eastAsia="仿宋" w:hint="eastAsia"/>
          <w:sz w:val="32"/>
          <w:szCs w:val="32"/>
        </w:rPr>
        <w:t>公务接待费支出决算比</w:t>
      </w:r>
      <w:r>
        <w:rPr>
          <w:rFonts w:ascii="仿宋" w:eastAsia="仿宋"/>
          <w:sz w:val="32"/>
          <w:szCs w:val="32"/>
        </w:rPr>
        <w:t>20</w:t>
      </w:r>
      <w:r>
        <w:rPr>
          <w:rFonts w:ascii="仿宋" w:eastAsia="仿宋" w:hint="eastAsia"/>
          <w:sz w:val="32"/>
          <w:szCs w:val="32"/>
        </w:rPr>
        <w:t>22年增加0万元，增长0</w:t>
      </w:r>
      <w:r>
        <w:rPr>
          <w:rFonts w:ascii="仿宋" w:eastAsia="仿宋"/>
          <w:sz w:val="32"/>
          <w:szCs w:val="32"/>
        </w:rPr>
        <w:t>%</w:t>
      </w:r>
      <w:r>
        <w:rPr>
          <w:rFonts w:ascii="仿宋" w:eastAsia="仿宋" w:hint="eastAsia"/>
          <w:sz w:val="32"/>
          <w:szCs w:val="32"/>
        </w:rPr>
        <w:t>。</w:t>
      </w:r>
    </w:p>
    <w:p>
      <w:pPr>
        <w:spacing w:line="540" w:lineRule="exact"/>
        <w:ind w:firstLine="640"/>
        <w:rPr>
          <w:rFonts w:ascii="仿宋" w:eastAsia="仿宋"/>
          <w:sz w:val="32"/>
          <w:szCs w:val="32"/>
        </w:rPr>
      </w:pPr>
      <w:r>
        <w:rPr>
          <w:rFonts w:ascii="仿宋" w:eastAsia="仿宋" w:hint="eastAsia"/>
          <w:b/>
          <w:sz w:val="32"/>
          <w:szCs w:val="32"/>
        </w:rPr>
        <w:t>国内公务接待支出</w:t>
      </w:r>
      <w:r>
        <w:rPr>
          <w:rFonts w:ascii="仿宋" w:eastAsia="仿宋" w:hint="eastAsia"/>
          <w:sz w:val="32"/>
          <w:szCs w:val="32"/>
        </w:rPr>
        <w:t>0万元，国内公务接待0批次，0人次（不包括陪同人员），共计支出0万元。</w:t>
      </w:r>
    </w:p>
    <w:p>
      <w:pPr>
        <w:spacing w:line="540" w:lineRule="exact"/>
        <w:ind w:firstLineChars="200" w:firstLine="640"/>
        <w:rPr>
          <w:rFonts w:ascii="黑体" w:eastAsia="黑体"/>
          <w:sz w:val="32"/>
          <w:szCs w:val="32"/>
        </w:rPr>
      </w:pPr>
      <w:r>
        <w:rPr>
          <w:rFonts w:ascii="仿宋" w:eastAsia="仿宋" w:hint="eastAsia"/>
          <w:b/>
          <w:sz w:val="32"/>
          <w:szCs w:val="32"/>
        </w:rPr>
        <w:t>外事接待支出</w:t>
      </w:r>
      <w:r>
        <w:rPr>
          <w:rFonts w:ascii="仿宋" w:eastAsia="仿宋" w:hint="eastAsia"/>
          <w:sz w:val="32"/>
          <w:szCs w:val="32"/>
        </w:rPr>
        <w:t>0万元，外事接待0批次，0人次（不包括陪同人员），共计支出0万元。</w:t>
      </w:r>
    </w:p>
    <w:p>
      <w:pPr>
        <w:spacing w:line="600" w:lineRule="exact"/>
        <w:ind w:firstLine="640"/>
        <w:outlineLvl w:val="1"/>
        <w:rPr>
          <w:rStyle w:val="2Char"/>
          <w:rFonts w:ascii="Times New Roman" w:eastAsia="黑体" w:hAnsi="Times New Roman"/>
          <w:color w:val="auto"/>
          <w:highlight w:val="auto"/>
        </w:rPr>
      </w:pPr>
      <w:r>
        <w:rPr>
          <w:rFonts w:ascii="Times New Roman" w:eastAsia="黑体" w:hAnsi="Times New Roman" w:hint="eastAsia"/>
          <w:color w:val="auto"/>
          <w:sz w:val="32"/>
          <w:szCs w:val="32"/>
          <w:highlight w:val="auto"/>
        </w:rPr>
        <w:t>八、</w:t>
      </w:r>
      <w:r>
        <w:rPr>
          <w:rStyle w:val="2Char"/>
          <w:rFonts w:ascii="Times New Roman" w:eastAsia="黑体" w:hAnsi="Times New Roman" w:hint="eastAsia"/>
          <w:b w:val="0"/>
          <w:color w:val="auto"/>
          <w:highlight w:val="auto"/>
        </w:rPr>
        <w:t>政府性基金预算支出决算情况说明</w:t>
      </w:r>
      <w:bookmarkEnd w:id="34"/>
      <w:bookmarkEnd w:id="35"/>
    </w:p>
    <w:p>
      <w:pPr>
        <w:spacing w:line="540" w:lineRule="exact"/>
        <w:ind w:firstLineChars="200" w:firstLine="640"/>
        <w:rPr>
          <w:rFonts w:ascii="仿宋_GB2312" w:eastAsia="仿宋" w:hAnsi="仿宋_GB2312"/>
          <w:sz w:val="32"/>
          <w:szCs w:val="32"/>
        </w:rPr>
      </w:pPr>
      <w:bookmarkStart w:id="36" w:name="_Toc15396611"/>
      <w:bookmarkStart w:id="37" w:name="_Toc15377219"/>
      <w:r>
        <w:rPr>
          <w:rFonts w:ascii="仿宋" w:eastAsia="仿宋" w:hint="eastAsia"/>
          <w:sz w:val="32"/>
          <w:szCs w:val="32"/>
        </w:rPr>
        <w:t>202</w:t>
      </w:r>
      <w:r>
        <w:rPr>
          <w:rFonts w:ascii="仿宋" w:eastAsia="仿宋" w:hint="eastAsia"/>
          <w:sz w:val="32"/>
          <w:szCs w:val="32"/>
          <w:lang w:val="en-US" w:eastAsia="zh-CN"/>
        </w:rPr>
        <w:t>5</w:t>
      </w:r>
      <w:r>
        <w:rPr>
          <w:rFonts w:ascii="仿宋" w:eastAsia="仿宋" w:hint="eastAsia"/>
          <w:sz w:val="32"/>
          <w:szCs w:val="32"/>
        </w:rPr>
        <w:t>年政府性基金预算财政拨款支出0万元，202</w:t>
      </w:r>
      <w:r>
        <w:rPr>
          <w:rFonts w:ascii="仿宋" w:eastAsia="仿宋" w:hint="eastAsia"/>
          <w:sz w:val="32"/>
          <w:szCs w:val="32"/>
          <w:lang w:val="en-US" w:eastAsia="zh-CN"/>
        </w:rPr>
        <w:t>4</w:t>
      </w:r>
      <w:r>
        <w:rPr>
          <w:rFonts w:ascii="仿宋" w:eastAsia="仿宋" w:hint="eastAsia"/>
          <w:sz w:val="32"/>
          <w:szCs w:val="32"/>
        </w:rPr>
        <w:t>年政府性基金预算财政拨款支出0万元，与202</w:t>
      </w:r>
      <w:r>
        <w:rPr>
          <w:rFonts w:ascii="仿宋" w:eastAsia="仿宋" w:hint="eastAsia"/>
          <w:sz w:val="32"/>
          <w:szCs w:val="32"/>
          <w:lang w:val="en-US" w:eastAsia="zh-CN"/>
        </w:rPr>
        <w:t>4</w:t>
      </w:r>
      <w:r>
        <w:rPr>
          <w:rFonts w:ascii="仿宋" w:eastAsia="仿宋" w:hint="eastAsia"/>
          <w:sz w:val="32"/>
          <w:szCs w:val="32"/>
        </w:rPr>
        <w:t>年数据相比无变化。</w:t>
      </w:r>
    </w:p>
    <w:p>
      <w:pPr>
        <w:spacing w:line="600" w:lineRule="exact"/>
        <w:ind w:left="630"/>
        <w:outlineLvl w:val="1"/>
        <w:rPr>
          <w:rStyle w:val="2Char"/>
          <w:rFonts w:ascii="Times New Roman" w:eastAsia="黑体" w:hAnsi="Times New Roman"/>
          <w:b w:val="0"/>
          <w:color w:val="auto"/>
          <w:highlight w:val="auto"/>
        </w:rPr>
      </w:pPr>
      <w:r>
        <w:rPr>
          <w:rStyle w:val="2Char"/>
          <w:rFonts w:ascii="Times New Roman" w:eastAsia="黑体" w:hAnsi="Times New Roman" w:hint="eastAsia"/>
          <w:b w:val="0"/>
          <w:color w:val="auto"/>
          <w:lang w:eastAsia="zh-CN"/>
          <w:highlight w:val="auto"/>
        </w:rPr>
        <w:t>九、</w:t>
      </w:r>
      <w:r>
        <w:rPr>
          <w:rStyle w:val="2Char"/>
          <w:rFonts w:ascii="Times New Roman" w:eastAsia="黑体" w:hAnsi="Times New Roman" w:hint="eastAsia"/>
          <w:b w:val="0"/>
          <w:color w:val="auto"/>
          <w:highlight w:val="auto"/>
        </w:rPr>
        <w:t>国有资本经营预算支出决算情况说明</w:t>
      </w:r>
      <w:bookmarkEnd w:id="36"/>
      <w:bookmarkEnd w:id="37"/>
    </w:p>
    <w:p>
      <w:pPr>
        <w:spacing w:line="540" w:lineRule="exact"/>
        <w:ind w:firstLineChars="200" w:firstLine="640"/>
        <w:rPr>
          <w:rStyle w:val="2Char"/>
          <w:rFonts w:ascii="Times New Roman" w:eastAsia="黑体" w:hAnsi="Times New Roman"/>
          <w:b w:val="0"/>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国有资本经营预算财政拨款支出</w:t>
      </w:r>
      <w:r>
        <w:rPr>
          <w:rFonts w:ascii="仿宋_GB2312" w:eastAsia="仿宋_GB2312" w:cs="仿宋_GB2312" w:hint="eastAsia"/>
          <w:sz w:val="32"/>
          <w:szCs w:val="32"/>
        </w:rPr>
        <w:t>0</w:t>
      </w:r>
      <w:r>
        <w:rPr>
          <w:rFonts w:ascii="Times New Roman" w:eastAsia="仿宋_GB2312" w:cs="仿宋_GB2312" w:hAnsi="Times New Roman" w:hint="eastAsia"/>
          <w:color w:val="auto"/>
          <w:kern w:val="2"/>
          <w:sz w:val="32"/>
          <w:szCs w:val="32"/>
          <w:lang w:val="en-US" w:eastAsia="zh-CN" w:bidi="ar-SA"/>
          <w:highlight w:val="auto"/>
        </w:rPr>
        <w:t>万元，</w:t>
      </w:r>
      <w:bookmarkStart w:id="38" w:name="_Toc15396612"/>
      <w:bookmarkStart w:id="39" w:name="_Toc15377221"/>
      <w:r>
        <w:rPr>
          <w:rFonts w:ascii="仿宋" w:eastAsia="仿宋" w:hint="eastAsia"/>
          <w:sz w:val="32"/>
          <w:szCs w:val="32"/>
        </w:rPr>
        <w:t>与202</w:t>
      </w:r>
      <w:r>
        <w:rPr>
          <w:rFonts w:ascii="仿宋" w:eastAsia="仿宋" w:hint="eastAsia"/>
          <w:sz w:val="32"/>
          <w:szCs w:val="32"/>
          <w:lang w:val="en-US" w:eastAsia="zh-CN"/>
        </w:rPr>
        <w:t>4</w:t>
      </w:r>
      <w:r>
        <w:rPr>
          <w:rFonts w:ascii="仿宋" w:eastAsia="仿宋" w:hint="eastAsia"/>
          <w:sz w:val="32"/>
          <w:szCs w:val="32"/>
        </w:rPr>
        <w:t>年数据相比无变化。</w:t>
      </w:r>
    </w:p>
    <w:p>
      <w:pPr>
        <w:spacing w:line="600" w:lineRule="exact"/>
        <w:ind w:left="630"/>
        <w:outlineLvl w:val="1"/>
        <w:rPr>
          <w:rStyle w:val="2Char"/>
          <w:rFonts w:ascii="Times New Roman" w:eastAsia="黑体" w:hAnsi="Times New Roman" w:hint="eastAsia"/>
          <w:b w:val="0"/>
          <w:color w:val="auto"/>
          <w:highlight w:val="auto"/>
        </w:rPr>
      </w:pPr>
      <w:r>
        <w:rPr>
          <w:rStyle w:val="2Char"/>
          <w:rFonts w:ascii="Times New Roman" w:eastAsia="黑体" w:hAnsi="Times New Roman" w:hint="eastAsia"/>
          <w:b w:val="0"/>
          <w:color w:val="auto"/>
          <w:lang w:eastAsia="zh-CN"/>
          <w:highlight w:val="auto"/>
        </w:rPr>
        <w:t>十、</w:t>
      </w:r>
      <w:r>
        <w:rPr>
          <w:rStyle w:val="2Char"/>
          <w:rFonts w:ascii="Times New Roman" w:eastAsia="黑体" w:hAnsi="Times New Roman" w:hint="eastAsia"/>
          <w:b w:val="0"/>
          <w:color w:val="auto"/>
          <w:highlight w:val="auto"/>
        </w:rPr>
        <w:t>其他重要事项的情况说明</w:t>
      </w:r>
      <w:bookmarkEnd w:id="38"/>
      <w:bookmarkEnd w:id="39"/>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bookmarkStart w:id="40" w:name="_Toc15377222"/>
      <w:r>
        <w:rPr>
          <w:rFonts w:ascii="Times New Roman" w:eastAsia="楷体_GB2312" w:cs="楷体_GB2312" w:hAnsi="Times New Roman" w:hint="eastAsia"/>
          <w:b/>
          <w:color w:val="auto"/>
          <w:sz w:val="32"/>
          <w:szCs w:val="32"/>
          <w:highlight w:val="auto"/>
        </w:rPr>
        <w:t>（一）机关运行经费支出情况</w:t>
      </w:r>
      <w:bookmarkEnd w:id="40"/>
    </w:p>
    <w:p>
      <w:pPr>
        <w:spacing w:line="540" w:lineRule="exact"/>
        <w:ind w:firstLineChars="200" w:firstLine="640"/>
        <w:rPr>
          <w:rFonts w:ascii="仿宋" w:eastAsia="仿宋"/>
          <w:b/>
          <w:sz w:val="32"/>
          <w:szCs w:val="32"/>
        </w:rPr>
      </w:pPr>
      <w:bookmarkStart w:id="41" w:name="_Toc15377223"/>
      <w:r>
        <w:rPr>
          <w:rFonts w:eastAsia="仿宋_GB2312" w:cs="仿宋_GB2312" w:hint="eastAsia"/>
          <w:sz w:val="32"/>
          <w:szCs w:val="32"/>
        </w:rPr>
        <w:t>202</w:t>
      </w:r>
      <w:r>
        <w:rPr>
          <w:rFonts w:eastAsia="仿宋_GB2312" w:cs="仿宋_GB2312" w:hint="eastAsia"/>
          <w:sz w:val="32"/>
          <w:szCs w:val="32"/>
          <w:lang w:val="en-US" w:eastAsia="zh-CN"/>
        </w:rPr>
        <w:t>5</w:t>
      </w:r>
      <w:r>
        <w:rPr>
          <w:rFonts w:eastAsia="仿宋_GB2312" w:cs="仿宋_GB2312" w:hint="eastAsia"/>
          <w:sz w:val="32"/>
          <w:szCs w:val="32"/>
        </w:rPr>
        <w:t>年度</w:t>
      </w:r>
      <w:r>
        <w:rPr>
          <w:rFonts w:ascii="仿宋_GB2312" w:eastAsia="仿宋_GB2312" w:cs="仿宋_GB2312" w:hint="eastAsia"/>
          <w:sz w:val="32"/>
          <w:szCs w:val="32"/>
        </w:rPr>
        <w:t>，阿坝州若尔盖县城乡居民养老保险事业管理局机关运行经费支出</w:t>
      </w:r>
      <w:r>
        <w:rPr>
          <w:rFonts w:ascii="仿宋_GB2312" w:eastAsia="仿宋_GB2312" w:cs="仿宋_GB2312" w:hint="eastAsia"/>
          <w:sz w:val="32"/>
          <w:szCs w:val="32"/>
          <w:lang w:val="en-US" w:eastAsia="zh-CN"/>
        </w:rPr>
        <w:t>19.9</w:t>
      </w:r>
      <w:r>
        <w:rPr>
          <w:rFonts w:ascii="仿宋_GB2312" w:eastAsia="仿宋_GB2312" w:cs="仿宋_GB2312" w:hint="eastAsia"/>
          <w:sz w:val="32"/>
          <w:szCs w:val="32"/>
        </w:rPr>
        <w:t>万</w:t>
      </w:r>
      <w:r>
        <w:rPr>
          <w:rFonts w:eastAsia="仿宋_GB2312" w:cs="仿宋_GB2312" w:hint="eastAsia"/>
          <w:sz w:val="32"/>
          <w:szCs w:val="32"/>
        </w:rPr>
        <w:t>元，比202</w:t>
      </w:r>
      <w:r>
        <w:rPr>
          <w:rFonts w:eastAsia="仿宋_GB2312" w:cs="仿宋_GB2312" w:hint="eastAsia"/>
          <w:sz w:val="32"/>
          <w:szCs w:val="32"/>
          <w:lang w:val="en-US" w:eastAsia="zh-CN"/>
        </w:rPr>
        <w:t>4</w:t>
      </w:r>
      <w:r>
        <w:rPr>
          <w:rFonts w:eastAsia="仿宋_GB2312" w:cs="仿宋_GB2312" w:hint="eastAsia"/>
          <w:sz w:val="32"/>
          <w:szCs w:val="32"/>
        </w:rPr>
        <w:t>年度增加</w:t>
      </w:r>
      <w:r>
        <w:rPr>
          <w:rFonts w:eastAsia="仿宋_GB2312" w:cs="仿宋_GB2312" w:hint="eastAsia"/>
          <w:sz w:val="32"/>
          <w:szCs w:val="32"/>
          <w:lang w:val="en-US" w:eastAsia="zh-CN"/>
        </w:rPr>
        <w:t>0.93</w:t>
      </w:r>
      <w:r>
        <w:rPr>
          <w:rFonts w:eastAsia="仿宋_GB2312" w:cs="仿宋_GB2312" w:hint="eastAsia"/>
          <w:sz w:val="32"/>
          <w:szCs w:val="32"/>
        </w:rPr>
        <w:t>万元，增长</w:t>
      </w:r>
      <w:r>
        <w:rPr>
          <w:rFonts w:eastAsia="仿宋_GB2312" w:cs="仿宋_GB2312" w:hint="eastAsia"/>
          <w:sz w:val="32"/>
          <w:szCs w:val="32"/>
          <w:lang w:val="en-US" w:eastAsia="zh-CN"/>
        </w:rPr>
        <w:t>0.9</w:t>
      </w:r>
      <w:r>
        <w:rPr>
          <w:rFonts w:eastAsia="仿宋_GB2312" w:cs="仿宋_GB2312" w:hint="eastAsia"/>
          <w:sz w:val="32"/>
          <w:szCs w:val="32"/>
        </w:rPr>
        <w:t>%。主要原因是</w:t>
      </w:r>
      <w:r>
        <w:rPr>
          <w:rFonts w:ascii="仿宋" w:eastAsia="仿宋" w:hint="eastAsia"/>
          <w:sz w:val="32"/>
          <w:szCs w:val="32"/>
        </w:rPr>
        <w:t>：一是城乡居民养老保险相关政策及经办规程不断更新，具体经办人员对政策不够熟悉，通过加大政策宣传、举办各类专题培训提高经办人员业务能力；二是</w:t>
      </w:r>
      <w:r>
        <w:rPr>
          <w:rFonts w:ascii="仿宋" w:eastAsia="仿宋" w:hint="eastAsia"/>
          <w:color w:val="000000"/>
          <w:sz w:val="32"/>
          <w:szCs w:val="32"/>
        </w:rPr>
        <w:t>宣传城乡居民相关政策</w:t>
      </w:r>
      <w:r>
        <w:rPr>
          <w:rFonts w:ascii="仿宋" w:eastAsia="仿宋"/>
          <w:color w:val="000000"/>
          <w:sz w:val="32"/>
          <w:szCs w:val="32"/>
        </w:rPr>
        <w:t>惠及</w:t>
      </w:r>
      <w:r>
        <w:rPr>
          <w:rFonts w:ascii="仿宋" w:eastAsia="仿宋" w:hint="eastAsia"/>
          <w:color w:val="000000"/>
          <w:sz w:val="32"/>
          <w:szCs w:val="32"/>
          <w:lang w:val="en-US" w:eastAsia="zh-CN"/>
        </w:rPr>
        <w:t>3.2</w:t>
      </w:r>
      <w:r>
        <w:rPr>
          <w:rFonts w:ascii="仿宋" w:eastAsia="仿宋" w:hint="eastAsia"/>
          <w:color w:val="000000"/>
          <w:sz w:val="32"/>
          <w:szCs w:val="32"/>
        </w:rPr>
        <w:t>万余人</w:t>
      </w:r>
      <w:bookmarkStart w:id="42" w:name="_GoBack"/>
      <w:bookmarkEnd w:id="42"/>
      <w:r>
        <w:rPr>
          <w:rFonts w:ascii="仿宋" w:eastAsia="仿宋" w:hint="eastAsia"/>
          <w:color w:val="000000"/>
          <w:sz w:val="32"/>
          <w:szCs w:val="32"/>
        </w:rPr>
        <w:t>，印刷1万余份养老保险各类政策宣传册。</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（二）政府采购支出情况</w:t>
      </w:r>
      <w:bookmarkEnd w:id="41"/>
    </w:p>
    <w:p>
      <w:pPr>
        <w:spacing w:line="540" w:lineRule="exact"/>
        <w:ind w:firstLineChars="200" w:firstLine="640"/>
        <w:rPr>
          <w:rFonts w:ascii="仿宋" w:eastAsia="仿宋"/>
          <w:b/>
          <w:sz w:val="32"/>
          <w:szCs w:val="32"/>
        </w:rPr>
      </w:pPr>
      <w:r>
        <w:rPr>
          <w:rFonts w:eastAsia="仿宋_GB2312" w:cs="仿宋_GB2312" w:hint="eastAsia"/>
          <w:color w:val="auto"/>
          <w:kern w:val="2"/>
          <w:sz w:val="32"/>
          <w:szCs w:val="32"/>
          <w:lang w:val="en-US" w:eastAsia="zh-CN" w:bidi="ar-SA"/>
          <w:highlight w:val="auto"/>
        </w:rPr>
        <w:t>2025年度</w:t>
      </w:r>
      <w:r>
        <w:rPr>
          <w:rFonts w:ascii="Times New Roman" w:eastAsia="仿宋_GB2312" w:cs="仿宋_GB2312" w:hAnsi="Times New Roman" w:hint="eastAsia"/>
          <w:color w:val="auto"/>
          <w:kern w:val="2"/>
          <w:sz w:val="32"/>
          <w:szCs w:val="32"/>
          <w:lang w:val="en-US" w:eastAsia="zh-CN" w:bidi="ar-SA"/>
          <w:highlight w:val="auto"/>
        </w:rPr>
        <w:t>，</w:t>
      </w:r>
      <w:bookmarkStart w:id="43" w:name="_Toc15377224"/>
      <w:r>
        <w:rPr>
          <w:rFonts w:ascii="仿宋" w:eastAsia="仿宋" w:hint="eastAsia"/>
          <w:color w:val="000000"/>
          <w:sz w:val="32"/>
          <w:szCs w:val="32"/>
        </w:rPr>
        <w:t>阿坝州若尔盖县城乡居民养老保险事业管理局</w:t>
      </w:r>
      <w:r>
        <w:rPr>
          <w:rFonts w:ascii="仿宋" w:eastAsia="仿宋" w:hint="eastAsia"/>
          <w:sz w:val="32"/>
          <w:szCs w:val="32"/>
        </w:rPr>
        <w:t>政府采购支出总额0万元，其中：政府采购货物支出0万元、政府采购工程支出0万元、政府采购服务支出0万元。授予中小企业合同金额0万元，占政府采购支出总额的0</w:t>
      </w:r>
      <w:r>
        <w:rPr>
          <w:rFonts w:ascii="仿宋" w:eastAsia="仿宋"/>
          <w:sz w:val="32"/>
          <w:szCs w:val="32"/>
        </w:rPr>
        <w:t>%</w:t>
      </w:r>
      <w:r>
        <w:rPr>
          <w:rFonts w:ascii="仿宋" w:eastAsia="仿宋" w:hint="eastAsia"/>
          <w:sz w:val="32"/>
          <w:szCs w:val="32"/>
        </w:rPr>
        <w:t>，其中：授予小微企业合同金额0万元，占政府采购支出总额的0</w:t>
      </w:r>
      <w:r>
        <w:rPr>
          <w:rFonts w:ascii="仿宋" w:eastAsia="仿宋"/>
          <w:sz w:val="32"/>
          <w:szCs w:val="32"/>
        </w:rPr>
        <w:t>%</w:t>
      </w:r>
      <w:r>
        <w:rPr>
          <w:rFonts w:ascii="仿宋" w:eastAsia="仿宋" w:hint="eastAsia"/>
          <w:sz w:val="32"/>
          <w:szCs w:val="32"/>
        </w:rPr>
        <w:t>。</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（三）国有资产占有使用情况</w:t>
      </w:r>
      <w:bookmarkEnd w:id="43"/>
    </w:p>
    <w:p>
      <w:pPr>
        <w:autoSpaceDE w:val="0"/>
        <w:autoSpaceDN w:val="0"/>
        <w:adjustRightInd w:val="0"/>
        <w:spacing w:line="540" w:lineRule="exact"/>
        <w:ind w:firstLineChars="200" w:firstLine="640"/>
        <w:jc w:val="left"/>
        <w:rPr>
          <w:rFonts w:ascii="Times New Roman" w:eastAsia="仿宋_GB2312" w:cs="仿宋_GB2312" w:hAnsi="Times New Roman" w:hint="eastAsia"/>
          <w:color w:val="auto"/>
          <w:kern w:val="2"/>
          <w:sz w:val="32"/>
          <w:szCs w:val="32"/>
          <w:lang w:val="en-US" w:eastAsia="zh-CN" w:bidi="ar-SA"/>
          <w:highlight w:val="auto"/>
        </w:rPr>
      </w:pPr>
      <w:r>
        <w:rPr>
          <w:rFonts w:ascii="Times New Roman" w:eastAsia="仿宋_GB2312" w:cs="仿宋_GB2312" w:hAnsi="Times New Roman" w:hint="eastAsia"/>
          <w:color w:val="auto"/>
          <w:kern w:val="2"/>
          <w:sz w:val="32"/>
          <w:szCs w:val="32"/>
          <w:lang w:val="en-US" w:eastAsia="zh-CN" w:bidi="ar-SA"/>
          <w:highlight w:val="auto"/>
        </w:rPr>
        <w:t>截至202</w:t>
      </w:r>
      <w:r>
        <w:rPr>
          <w:rFonts w:eastAsia="仿宋_GB2312" w:cs="仿宋_GB2312" w:hint="eastAsia"/>
          <w:color w:val="auto"/>
          <w:kern w:val="2"/>
          <w:sz w:val="32"/>
          <w:szCs w:val="32"/>
          <w:lang w:val="en-US" w:eastAsia="zh-CN" w:bidi="ar-SA"/>
          <w:highlight w:val="auto"/>
        </w:rPr>
        <w:t>5</w:t>
      </w:r>
      <w:r>
        <w:rPr>
          <w:rFonts w:ascii="Times New Roman" w:eastAsia="仿宋_GB2312" w:cs="仿宋_GB2312" w:hAnsi="Times New Roman" w:hint="eastAsia"/>
          <w:color w:val="auto"/>
          <w:kern w:val="2"/>
          <w:sz w:val="32"/>
          <w:szCs w:val="32"/>
          <w:lang w:val="en-US" w:eastAsia="zh-CN" w:bidi="ar-SA"/>
          <w:highlight w:val="auto"/>
        </w:rPr>
        <w:t>年12月31日，</w:t>
      </w:r>
      <w:r>
        <w:rPr>
          <w:rFonts w:ascii="仿宋" w:eastAsia="仿宋" w:hint="eastAsia"/>
          <w:color w:val="000000"/>
          <w:sz w:val="32"/>
          <w:szCs w:val="32"/>
        </w:rPr>
        <w:t>阿坝州若尔盖县城乡居民养老保险事业管理局</w:t>
      </w:r>
      <w:r>
        <w:rPr>
          <w:rFonts w:ascii="仿宋" w:eastAsia="仿宋" w:hint="eastAsia"/>
          <w:sz w:val="32"/>
          <w:szCs w:val="32"/>
        </w:rPr>
        <w:t>共有车辆1辆，其中：主要领导干部用车1辆、机要通信用车0辆、应急保障用车0辆、其他用车1辆，其他用车主要是用于</w:t>
      </w:r>
      <w:r>
        <w:rPr>
          <w:rFonts w:ascii="仿宋" w:eastAsia="仿宋" w:hint="eastAsia"/>
          <w:color w:val="000000"/>
          <w:sz w:val="32"/>
          <w:szCs w:val="32"/>
        </w:rPr>
        <w:t>下乡宣传政策</w:t>
      </w:r>
      <w:r>
        <w:rPr>
          <w:rFonts w:ascii="仿宋" w:eastAsia="仿宋" w:hint="eastAsia"/>
          <w:sz w:val="32"/>
          <w:szCs w:val="32"/>
        </w:rPr>
        <w:t>。单价</w:t>
      </w:r>
      <w:r>
        <w:rPr>
          <w:rFonts w:ascii="仿宋" w:eastAsia="仿宋"/>
          <w:sz w:val="32"/>
          <w:szCs w:val="32"/>
        </w:rPr>
        <w:t>100</w:t>
      </w:r>
      <w:r>
        <w:rPr>
          <w:rFonts w:ascii="仿宋" w:eastAsia="仿宋" w:hint="eastAsia"/>
          <w:sz w:val="32"/>
          <w:szCs w:val="32"/>
        </w:rPr>
        <w:t>万元以上专用设备0台（套）。</w:t>
      </w:r>
    </w:p>
    <w:p>
      <w:pPr>
        <w:spacing w:line="600" w:lineRule="exact"/>
        <w:ind w:firstLineChars="200" w:firstLine="640"/>
        <w:outlineLvl w:val="2"/>
        <w:rPr>
          <w:rFonts w:ascii="Times New Roman" w:eastAsia="楷体_GB2312" w:cs="楷体_GB2312" w:hAnsi="Times New Roman" w:hint="eastAsia"/>
          <w:b/>
          <w:color w:val="auto"/>
          <w:sz w:val="32"/>
          <w:szCs w:val="32"/>
          <w:highlight w:val="auto"/>
        </w:rPr>
      </w:pPr>
      <w:r>
        <w:rPr>
          <w:rFonts w:ascii="Times New Roman" w:eastAsia="楷体_GB2312" w:cs="楷体_GB2312" w:hAnsi="Times New Roman" w:hint="eastAsia"/>
          <w:b/>
          <w:color w:val="auto"/>
          <w:sz w:val="32"/>
          <w:szCs w:val="32"/>
          <w:highlight w:val="auto"/>
        </w:rPr>
        <w:t>（四）预算绩效管理情况</w:t>
      </w:r>
    </w:p>
    <w:p>
      <w:pPr>
        <w:pStyle w:val="16"/>
        <w:spacing w:beforeLines="0" w:before="30"/>
        <w:ind w:firstLineChars="200" w:firstLine="640"/>
        <w:rPr>
          <w:highlight w:val="yellow"/>
        </w:rPr>
      </w:pPr>
      <w:bookmarkStart w:id="44" w:name="_Toc15396613"/>
      <w:bookmarkStart w:id="45" w:name="_Toc15377225"/>
      <w:r>
        <w:rPr>
          <w:rFonts w:cs="仿宋_GB2312" w:hint="eastAsia"/>
          <w:sz w:val="32"/>
          <w:szCs w:val="32"/>
        </w:rPr>
        <w:t>根据预算绩效管理要求，本单位在202</w:t>
      </w:r>
      <w:r>
        <w:rPr>
          <w:rFonts w:cs="仿宋_GB2312" w:hint="eastAsia"/>
          <w:sz w:val="32"/>
          <w:szCs w:val="32"/>
          <w:lang w:val="en-US" w:eastAsia="zh-CN"/>
        </w:rPr>
        <w:t>5</w:t>
      </w:r>
      <w:r>
        <w:rPr>
          <w:rFonts w:cs="仿宋_GB2312" w:hint="eastAsia"/>
          <w:sz w:val="32"/>
          <w:szCs w:val="32"/>
        </w:rPr>
        <w:t>年度预算编制阶段，组织对0项目（项目名称）等0个项目开展了预算事前绩效评估，对0个项目编制了绩效目标，预算执行过程中，选取0个项目开展绩效监控，组织对0个项目开展绩效自评，绩效自评表详见第四部分附件。</w:t>
      </w:r>
    </w:p>
    <w:p>
      <w:pPr>
        <w:widowControl/>
        <w:spacing w:line="540" w:lineRule="exact"/>
        <w:jc w:val="left"/>
        <w:rPr>
          <w:rFonts w:ascii="仿宋" w:eastAsia="仿宋" w:cs="宋体"/>
          <w:kern w:val="0"/>
          <w:sz w:val="24"/>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p>
    <w:p>
      <w:pPr>
        <w:spacing w:line="600" w:lineRule="exact"/>
        <w:jc w:val="center"/>
        <w:outlineLvl w:val="0"/>
        <w:rPr>
          <w:rFonts w:ascii="Times New Roman" w:eastAsia="黑体" w:hAnsi="Times New Roman" w:hint="eastAsia"/>
          <w:color w:val="auto"/>
          <w:sz w:val="44"/>
          <w:szCs w:val="44"/>
          <w:highlight w:val="auto"/>
        </w:rPr>
      </w:pPr>
      <w:r>
        <w:rPr>
          <w:rFonts w:ascii="Times New Roman" w:eastAsia="黑体" w:hAnsi="Times New Roman" w:hint="eastAsia"/>
          <w:color w:val="auto"/>
          <w:sz w:val="44"/>
          <w:szCs w:val="44"/>
          <w:highlight w:val="auto"/>
        </w:rPr>
        <w:t>第</w:t>
      </w:r>
      <w:r>
        <w:rPr>
          <w:rFonts w:eastAsia="黑体" w:hint="eastAsia"/>
          <w:color w:val="auto"/>
          <w:sz w:val="44"/>
          <w:szCs w:val="44"/>
          <w:lang w:eastAsia="zh-CN"/>
          <w:highlight w:val="auto"/>
        </w:rPr>
        <w:t>三</w:t>
      </w:r>
      <w:r>
        <w:rPr>
          <w:rFonts w:ascii="Times New Roman" w:eastAsia="黑体" w:hAnsi="Times New Roman" w:hint="eastAsia"/>
          <w:color w:val="auto"/>
          <w:sz w:val="44"/>
          <w:szCs w:val="44"/>
          <w:highlight w:val="auto"/>
        </w:rPr>
        <w:t>部分</w:t>
      </w:r>
      <w:r>
        <w:rPr>
          <w:rFonts w:ascii="Times New Roman" w:eastAsia="黑体" w:hAnsi="Times New Roman" w:hint="eastAsia"/>
          <w:color w:val="auto"/>
          <w:sz w:val="44"/>
          <w:szCs w:val="44"/>
          <w:lang w:val="en-US" w:eastAsia="zh-CN"/>
          <w:highlight w:val="auto"/>
        </w:rPr>
        <w:t xml:space="preserve"> </w:t>
      </w:r>
      <w:r>
        <w:rPr>
          <w:rFonts w:eastAsia="黑体" w:hint="eastAsia"/>
          <w:color w:val="auto"/>
          <w:sz w:val="44"/>
          <w:szCs w:val="44"/>
          <w:lang w:val="en-US" w:eastAsia="zh-CN"/>
          <w:highlight w:val="auto"/>
        </w:rPr>
        <w:t xml:space="preserve"> </w:t>
      </w:r>
      <w:r>
        <w:rPr>
          <w:rFonts w:ascii="Times New Roman" w:eastAsia="黑体" w:hAnsi="Times New Roman" w:hint="eastAsia"/>
          <w:color w:val="auto"/>
          <w:sz w:val="44"/>
          <w:szCs w:val="44"/>
          <w:highlight w:val="auto"/>
        </w:rPr>
        <w:t>名词解释</w:t>
      </w:r>
      <w:bookmarkEnd w:id="44"/>
      <w:bookmarkEnd w:id="45"/>
    </w:p>
    <w:p>
      <w:pPr>
        <w:spacing w:line="600" w:lineRule="exact"/>
        <w:jc w:val="left"/>
        <w:rPr>
          <w:b/>
          <w:sz w:val="44"/>
          <w:szCs w:val="44"/>
        </w:rPr>
      </w:pPr>
      <w:bookmarkStart w:id="46" w:name="_Toc15396614"/>
    </w:p>
    <w:p>
      <w:pPr>
        <w:spacing w:line="600" w:lineRule="exact"/>
        <w:ind w:firstLine="640"/>
        <w:rPr>
          <w:rFonts w:eastAsia="仿宋_GB2312" w:cs="仿宋_GB2312"/>
          <w:sz w:val="32"/>
          <w:szCs w:val="32"/>
        </w:rPr>
      </w:pPr>
      <w:r>
        <w:rPr>
          <w:rFonts w:eastAsia="仿宋_GB2312" w:cs="仿宋_GB2312" w:hint="eastAsia"/>
          <w:sz w:val="32"/>
          <w:szCs w:val="32"/>
        </w:rPr>
        <w:t>1.财政拨款收入：指单位从同级财政部门取得的财政预算资金。</w:t>
      </w:r>
    </w:p>
    <w:p>
      <w:pPr>
        <w:spacing w:line="600" w:lineRule="exact"/>
        <w:ind w:firstLine="640"/>
        <w:rPr>
          <w:rFonts w:eastAsia="仿宋_GB2312" w:cs="仿宋_GB2312"/>
          <w:sz w:val="32"/>
          <w:szCs w:val="32"/>
        </w:rPr>
      </w:pPr>
      <w:r>
        <w:rPr>
          <w:rFonts w:eastAsia="仿宋_GB2312" w:cs="仿宋_GB2312" w:hint="eastAsia"/>
          <w:sz w:val="32"/>
          <w:szCs w:val="32"/>
        </w:rPr>
        <w:t>2.事业收入：指事业单位开展专业业务活动及辅助活动取得的收入。如……（二级预算单位事业收入情况）等。</w:t>
      </w:r>
    </w:p>
    <w:p>
      <w:pPr>
        <w:spacing w:line="600" w:lineRule="exact"/>
        <w:ind w:firstLine="640"/>
        <w:rPr>
          <w:rFonts w:eastAsia="仿宋_GB2312" w:cs="仿宋_GB2312"/>
          <w:sz w:val="32"/>
          <w:szCs w:val="32"/>
        </w:rPr>
      </w:pPr>
      <w:r>
        <w:rPr>
          <w:rFonts w:eastAsia="仿宋_GB2312" w:cs="仿宋_GB2312" w:hint="eastAsia"/>
          <w:sz w:val="32"/>
          <w:szCs w:val="32"/>
        </w:rPr>
        <w:t>3.经营收入：指事业单位在专业业务活动及其辅助活动之外开展非独立核算经营活动取得的收入。如……（二级预算单位经营收入情况）等。</w:t>
      </w:r>
    </w:p>
    <w:p>
      <w:pPr>
        <w:spacing w:line="600" w:lineRule="exact"/>
        <w:ind w:firstLine="640"/>
        <w:rPr>
          <w:rFonts w:eastAsia="仿宋_GB2312" w:cs="仿宋_GB2312"/>
          <w:sz w:val="32"/>
          <w:szCs w:val="32"/>
        </w:rPr>
      </w:pPr>
      <w:r>
        <w:rPr>
          <w:rFonts w:eastAsia="仿宋_GB2312" w:cs="仿宋_GB2312" w:hint="eastAsia"/>
          <w:sz w:val="32"/>
          <w:szCs w:val="32"/>
        </w:rPr>
        <w:t xml:space="preserve">4.其他收入：指单位取得的除上述收入以外的各项收入。主要是……（收入类型）等。 </w:t>
      </w:r>
    </w:p>
    <w:p>
      <w:pPr>
        <w:spacing w:line="600" w:lineRule="exact"/>
        <w:ind w:firstLine="640"/>
        <w:rPr>
          <w:rFonts w:eastAsia="仿宋_GB2312" w:cs="仿宋_GB2312"/>
          <w:sz w:val="32"/>
          <w:szCs w:val="32"/>
        </w:rPr>
      </w:pPr>
      <w:r>
        <w:rPr>
          <w:rFonts w:eastAsia="仿宋_GB2312" w:cs="仿宋_GB2312" w:hint="eastAsia"/>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cs="仿宋_GB2312"/>
          <w:sz w:val="32"/>
          <w:szCs w:val="32"/>
        </w:rPr>
      </w:pPr>
      <w:r>
        <w:rPr>
          <w:rFonts w:eastAsia="仿宋_GB2312" w:cs="仿宋_GB2312" w:hint="eastAsia"/>
          <w:sz w:val="32"/>
          <w:szCs w:val="32"/>
        </w:rPr>
        <w:t xml:space="preserve">6.年初结转和结余：指以前年度尚未完成、结转到本年按有关规定继续使用的资金。 </w:t>
      </w:r>
    </w:p>
    <w:p>
      <w:pPr>
        <w:spacing w:line="600" w:lineRule="exact"/>
        <w:ind w:firstLine="640"/>
        <w:rPr>
          <w:rFonts w:eastAsia="仿宋_GB2312" w:cs="仿宋_GB2312"/>
          <w:sz w:val="32"/>
          <w:szCs w:val="32"/>
        </w:rPr>
      </w:pPr>
      <w:r>
        <w:rPr>
          <w:rFonts w:eastAsia="仿宋_GB2312" w:cs="仿宋_GB2312" w:hint="eastAsia"/>
          <w:sz w:val="32"/>
          <w:szCs w:val="32"/>
        </w:rPr>
        <w:t>7.结余分配：指事业单位按照会计制度规定缴纳的所得税、提取的专用结余以及转入非财政拨款结余的金额等。</w:t>
      </w:r>
    </w:p>
    <w:p>
      <w:pPr>
        <w:spacing w:line="600" w:lineRule="exact"/>
        <w:ind w:firstLine="640"/>
        <w:rPr>
          <w:rFonts w:eastAsia="仿宋_GB2312" w:cs="仿宋_GB2312"/>
          <w:sz w:val="32"/>
          <w:szCs w:val="32"/>
        </w:rPr>
      </w:pPr>
      <w:r>
        <w:rPr>
          <w:rFonts w:eastAsia="仿宋_GB2312" w:cs="仿宋_GB2312" w:hint="eastAsia"/>
          <w:sz w:val="32"/>
          <w:szCs w:val="32"/>
        </w:rPr>
        <w:t>8.年末结转和结余：指单位按有关规定结转到下年或以后年度继续使用的资金。</w:t>
      </w:r>
    </w:p>
    <w:p>
      <w:pPr>
        <w:spacing w:line="600" w:lineRule="exact"/>
        <w:ind w:firstLine="640"/>
        <w:rPr>
          <w:rFonts w:eastAsia="仿宋_GB2312" w:cs="仿宋_GB2312"/>
          <w:sz w:val="32"/>
          <w:szCs w:val="32"/>
        </w:rPr>
      </w:pPr>
      <w:r>
        <w:rPr>
          <w:rFonts w:eastAsia="仿宋_GB2312" w:cs="仿宋_GB2312" w:hint="eastAsia"/>
          <w:sz w:val="32"/>
          <w:szCs w:val="32"/>
        </w:rPr>
        <w:t>9.基本支出：指为保障机构正常运转、完成日常工作任务而发生的人员支出和公用支出。</w:t>
      </w:r>
    </w:p>
    <w:p>
      <w:pPr>
        <w:spacing w:line="600" w:lineRule="exact"/>
        <w:ind w:firstLine="640"/>
        <w:rPr>
          <w:rFonts w:eastAsia="仿宋_GB2312" w:cs="仿宋_GB2312"/>
          <w:sz w:val="32"/>
          <w:szCs w:val="32"/>
        </w:rPr>
      </w:pPr>
      <w:r>
        <w:rPr>
          <w:rFonts w:eastAsia="仿宋_GB2312" w:cs="仿宋_GB2312" w:hint="eastAsia"/>
          <w:sz w:val="32"/>
          <w:szCs w:val="32"/>
        </w:rPr>
        <w:t xml:space="preserve">10.项目支出：指在基本支出之外为完成特定行政任务和事业发展目标所发生的支出。 </w:t>
      </w:r>
    </w:p>
    <w:p>
      <w:pPr>
        <w:spacing w:line="600" w:lineRule="exact"/>
        <w:ind w:firstLine="640"/>
        <w:rPr>
          <w:rFonts w:eastAsia="仿宋_GB2312" w:cs="仿宋_GB2312"/>
          <w:sz w:val="32"/>
          <w:szCs w:val="32"/>
        </w:rPr>
      </w:pPr>
      <w:r>
        <w:rPr>
          <w:rFonts w:eastAsia="仿宋_GB2312" w:cs="仿宋_GB2312" w:hint="eastAsia"/>
          <w:sz w:val="32"/>
          <w:szCs w:val="32"/>
        </w:rPr>
        <w:t>11.经营支出：指事业单位在专业业务活动及其辅助活动之外开展非独立核算经营活动发生的支出。</w:t>
      </w:r>
    </w:p>
    <w:p>
      <w:pPr>
        <w:spacing w:line="600" w:lineRule="exact"/>
        <w:ind w:firstLine="640"/>
        <w:rPr>
          <w:rFonts w:eastAsia="仿宋_GB2312" w:cs="仿宋_GB2312"/>
          <w:sz w:val="32"/>
          <w:szCs w:val="32"/>
        </w:rPr>
      </w:pPr>
      <w:r>
        <w:rPr>
          <w:rFonts w:eastAsia="仿宋_GB2312" w:cs="仿宋_GB2312" w:hint="eastAsia"/>
          <w:sz w:val="32"/>
          <w:szCs w:val="32"/>
        </w:rPr>
        <w:t>12.“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sz w:val="32"/>
          <w:szCs w:val="32"/>
        </w:rPr>
      </w:pPr>
      <w:r>
        <w:rPr>
          <w:rFonts w:eastAsia="仿宋_GB2312" w:cs="仿宋_GB2312" w:hint="eastAsia"/>
          <w:sz w:val="32"/>
          <w:szCs w:val="32"/>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78" w:lineRule="exact"/>
        <w:ind w:firstLine="640"/>
        <w:rPr>
          <w:rFonts w:eastAsia="仿宋_GB2312" w:cs="仿宋_GB2312"/>
          <w:kern w:val="0"/>
          <w:sz w:val="32"/>
          <w:szCs w:val="32"/>
        </w:rPr>
      </w:pPr>
      <w:r>
        <w:rPr>
          <w:rFonts w:eastAsia="仿宋_GB2312" w:cs="仿宋_GB2312" w:hint="eastAsia"/>
          <w:sz w:val="32"/>
          <w:szCs w:val="32"/>
        </w:rPr>
        <w:br w:type="page"/>
      </w:r>
    </w:p>
    <w:p>
      <w:pPr>
        <w:spacing w:line="600" w:lineRule="exact"/>
        <w:jc w:val="center"/>
        <w:rPr>
          <w:rStyle w:val="1Char"/>
          <w:rFonts w:eastAsia="黑体"/>
          <w:b w:val="0"/>
        </w:rPr>
      </w:pPr>
      <w:r>
        <w:rPr>
          <w:rFonts w:eastAsia="黑体" w:hint="eastAsia"/>
          <w:sz w:val="44"/>
          <w:szCs w:val="44"/>
        </w:rPr>
        <w:t>第四部分 附件</w:t>
      </w:r>
      <w:bookmarkEnd w:id="46"/>
    </w:p>
    <w:p>
      <w:pPr>
        <w:spacing w:line="572" w:lineRule="exact"/>
        <w:jc w:val="left"/>
        <w:outlineLvl w:val="0"/>
        <w:rPr>
          <w:rFonts w:eastAsia="黑体" w:cs="黑体"/>
          <w:color w:val="FF0000"/>
          <w:sz w:val="32"/>
          <w:szCs w:val="32"/>
        </w:rPr>
      </w:pPr>
    </w:p>
    <w:p>
      <w:pPr>
        <w:pStyle w:val="18"/>
        <w:spacing w:line="560" w:lineRule="exact"/>
        <w:ind w:leftChars="0" w:left="0"/>
        <w:rPr>
          <w:rFonts w:ascii="Times New Roman" w:eastAsia="仿宋_GB2312" w:cs="仿宋_GB2312" w:hAnsi="Times New Roman"/>
          <w:kern w:val="0"/>
          <w:sz w:val="32"/>
          <w:lang w:val="zh-CN"/>
        </w:rPr>
      </w:pPr>
      <w:r>
        <w:rPr>
          <w:rFonts w:eastAsia="黑体" w:cs="黑体" w:hint="eastAsia"/>
          <w:sz w:val="32"/>
        </w:rPr>
        <w:t>见</w:t>
      </w:r>
      <w:r>
        <w:rPr>
          <w:rFonts w:ascii="Times New Roman" w:eastAsia="黑体" w:cs="黑体" w:hAnsi="Times New Roman" w:hint="eastAsia"/>
          <w:sz w:val="32"/>
        </w:rPr>
        <w:t>附件</w:t>
      </w: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pStyle w:val="15"/>
        <w:rPr>
          <w:rFonts w:ascii="Times New Roman" w:hAnsi="Times New Roman"/>
          <w:sz w:val="44"/>
          <w:szCs w:val="44"/>
        </w:rPr>
      </w:pPr>
    </w:p>
    <w:p>
      <w:pPr>
        <w:rPr>
          <w:rFonts w:eastAsia="黑体"/>
          <w:sz w:val="44"/>
          <w:szCs w:val="44"/>
        </w:rPr>
      </w:pPr>
    </w:p>
    <w:p>
      <w:pPr>
        <w:pStyle w:val="15"/>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黑体"/>
          <w:sz w:val="44"/>
          <w:szCs w:val="44"/>
        </w:rPr>
      </w:pPr>
    </w:p>
    <w:p>
      <w:pPr>
        <w:widowControl/>
        <w:jc w:val="center"/>
        <w:rPr>
          <w:rFonts w:eastAsia="仿宋"/>
        </w:rPr>
      </w:pPr>
      <w:r>
        <w:rPr>
          <w:rFonts w:eastAsia="黑体" w:hint="eastAsia"/>
          <w:sz w:val="44"/>
          <w:szCs w:val="44"/>
        </w:rPr>
        <w:t>第</w:t>
      </w:r>
      <w:r>
        <w:rPr>
          <w:rStyle w:val="1Char"/>
          <w:rFonts w:eastAsia="黑体" w:hint="eastAsia"/>
          <w:b w:val="0"/>
        </w:rPr>
        <w:t>五部分 附表</w:t>
      </w:r>
      <w:bookmarkStart w:id="47" w:name="_Toc15396619"/>
    </w:p>
    <w:p>
      <w:pPr>
        <w:pStyle w:val="25"/>
        <w:tabs>
          <w:tab w:val="right" w:leader="dot" w:pos="8296"/>
        </w:tabs>
        <w:adjustRightInd w:val="0"/>
        <w:snapToGrid w:val="0"/>
        <w:spacing w:line="560" w:lineRule="exact"/>
        <w:jc w:val="left"/>
        <w:rPr>
          <w:rFonts w:eastAsia="仿宋_GB2312" w:cs="仿宋_GB2312"/>
          <w:sz w:val="32"/>
          <w:szCs w:val="32"/>
        </w:rPr>
      </w:pPr>
    </w:p>
    <w:p>
      <w:pPr>
        <w:pStyle w:val="25"/>
        <w:tabs>
          <w:tab w:val="right" w:leader="dot" w:pos="8296"/>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47"/>
    </w:p>
    <w:p>
      <w:pPr>
        <w:pStyle w:val="25"/>
        <w:tabs>
          <w:tab w:val="right" w:leader="dot" w:pos="8296"/>
        </w:tabs>
        <w:adjustRightInd w:val="0"/>
        <w:snapToGrid w:val="0"/>
        <w:spacing w:line="560" w:lineRule="exact"/>
        <w:jc w:val="left"/>
        <w:rPr>
          <w:rFonts w:eastAsia="仿宋_GB2312" w:cs="仿宋_GB2312"/>
          <w:sz w:val="32"/>
          <w:szCs w:val="32"/>
        </w:rPr>
      </w:pPr>
      <w:bookmarkStart w:id="48" w:name="_Toc15396620"/>
      <w:r>
        <w:rPr>
          <w:rFonts w:eastAsia="仿宋_GB2312" w:cs="仿宋_GB2312" w:hint="eastAsia"/>
          <w:sz w:val="32"/>
          <w:szCs w:val="32"/>
        </w:rPr>
        <w:t>二、收入决算表</w:t>
      </w:r>
      <w:bookmarkEnd w:id="48"/>
    </w:p>
    <w:p>
      <w:pPr>
        <w:pStyle w:val="25"/>
        <w:tabs>
          <w:tab w:val="right" w:leader="dot" w:pos="8296"/>
        </w:tabs>
        <w:adjustRightInd w:val="0"/>
        <w:snapToGrid w:val="0"/>
        <w:spacing w:line="560" w:lineRule="exact"/>
        <w:jc w:val="left"/>
        <w:rPr>
          <w:rFonts w:eastAsia="仿宋_GB2312" w:cs="仿宋_GB2312"/>
          <w:sz w:val="32"/>
          <w:szCs w:val="32"/>
        </w:rPr>
      </w:pPr>
      <w:bookmarkStart w:id="49" w:name="_Toc15396621"/>
      <w:r>
        <w:rPr>
          <w:rFonts w:eastAsia="仿宋_GB2312" w:cs="仿宋_GB2312" w:hint="eastAsia"/>
          <w:sz w:val="32"/>
          <w:szCs w:val="32"/>
        </w:rPr>
        <w:t>三、支出决算表</w:t>
      </w:r>
      <w:bookmarkEnd w:id="49"/>
    </w:p>
    <w:p>
      <w:pPr>
        <w:pStyle w:val="25"/>
        <w:tabs>
          <w:tab w:val="right" w:leader="dot" w:pos="8296"/>
        </w:tabs>
        <w:adjustRightInd w:val="0"/>
        <w:snapToGrid w:val="0"/>
        <w:spacing w:line="560" w:lineRule="exact"/>
        <w:jc w:val="left"/>
        <w:rPr>
          <w:rFonts w:eastAsia="仿宋_GB2312" w:cs="仿宋_GB2312"/>
          <w:sz w:val="32"/>
          <w:szCs w:val="32"/>
        </w:rPr>
      </w:pPr>
      <w:bookmarkStart w:id="50" w:name="_Toc15396622"/>
      <w:r>
        <w:rPr>
          <w:rFonts w:eastAsia="仿宋_GB2312" w:cs="仿宋_GB2312" w:hint="eastAsia"/>
          <w:sz w:val="32"/>
          <w:szCs w:val="32"/>
        </w:rPr>
        <w:t>四、财政拨款收入支出决算总表</w:t>
      </w:r>
      <w:bookmarkEnd w:id="50"/>
    </w:p>
    <w:p>
      <w:pPr>
        <w:pStyle w:val="25"/>
        <w:tabs>
          <w:tab w:val="right" w:leader="dot" w:pos="8296"/>
        </w:tabs>
        <w:adjustRightInd w:val="0"/>
        <w:snapToGrid w:val="0"/>
        <w:spacing w:line="560" w:lineRule="exact"/>
        <w:jc w:val="left"/>
        <w:rPr>
          <w:rFonts w:eastAsia="仿宋_GB2312" w:cs="仿宋_GB2312"/>
          <w:sz w:val="32"/>
          <w:szCs w:val="32"/>
        </w:rPr>
      </w:pPr>
      <w:bookmarkStart w:id="51" w:name="_Toc15396623"/>
      <w:r>
        <w:rPr>
          <w:rFonts w:eastAsia="仿宋_GB2312" w:cs="仿宋_GB2312" w:hint="eastAsia"/>
          <w:sz w:val="32"/>
          <w:szCs w:val="32"/>
        </w:rPr>
        <w:t>五、财政拨款支出决算明细表</w:t>
      </w:r>
      <w:bookmarkStart w:id="52" w:name="_Toc15396624"/>
      <w:bookmarkEnd w:id="51"/>
    </w:p>
    <w:p>
      <w:pPr>
        <w:pStyle w:val="25"/>
        <w:tabs>
          <w:tab w:val="right" w:leader="dot" w:pos="8296"/>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52"/>
    </w:p>
    <w:p>
      <w:pPr>
        <w:pStyle w:val="25"/>
        <w:tabs>
          <w:tab w:val="right" w:leader="dot" w:pos="8296"/>
        </w:tabs>
        <w:adjustRightInd w:val="0"/>
        <w:snapToGrid w:val="0"/>
        <w:spacing w:line="560" w:lineRule="exact"/>
        <w:jc w:val="left"/>
        <w:rPr>
          <w:rFonts w:eastAsia="仿宋_GB2312" w:cs="仿宋_GB2312"/>
          <w:sz w:val="32"/>
          <w:szCs w:val="32"/>
        </w:rPr>
      </w:pPr>
      <w:bookmarkStart w:id="53" w:name="_Toc15396625"/>
      <w:r>
        <w:rPr>
          <w:rFonts w:eastAsia="仿宋_GB2312" w:cs="仿宋_GB2312" w:hint="eastAsia"/>
          <w:sz w:val="32"/>
          <w:szCs w:val="32"/>
        </w:rPr>
        <w:t>七、一般公共预算财政拨款支出决算明细表</w:t>
      </w:r>
      <w:bookmarkEnd w:id="53"/>
    </w:p>
    <w:p>
      <w:pPr>
        <w:pStyle w:val="25"/>
        <w:tabs>
          <w:tab w:val="right" w:leader="dot" w:pos="8296"/>
        </w:tabs>
        <w:adjustRightInd w:val="0"/>
        <w:snapToGrid w:val="0"/>
        <w:spacing w:line="560" w:lineRule="exact"/>
        <w:jc w:val="left"/>
        <w:rPr>
          <w:rFonts w:eastAsia="仿宋_GB2312" w:cs="仿宋_GB2312"/>
          <w:sz w:val="32"/>
          <w:szCs w:val="32"/>
        </w:rPr>
      </w:pPr>
      <w:bookmarkStart w:id="54" w:name="_Toc15396626"/>
      <w:r>
        <w:rPr>
          <w:rFonts w:eastAsia="仿宋_GB2312" w:cs="仿宋_GB2312" w:hint="eastAsia"/>
          <w:sz w:val="32"/>
          <w:szCs w:val="32"/>
        </w:rPr>
        <w:t>八、一般公共预算财政拨款基本支出决算表</w:t>
      </w:r>
      <w:bookmarkEnd w:id="54"/>
    </w:p>
    <w:p>
      <w:pPr>
        <w:pStyle w:val="25"/>
        <w:tabs>
          <w:tab w:val="right" w:leader="dot" w:pos="8296"/>
        </w:tabs>
        <w:adjustRightInd w:val="0"/>
        <w:snapToGrid w:val="0"/>
        <w:spacing w:line="560" w:lineRule="exact"/>
        <w:jc w:val="left"/>
        <w:rPr>
          <w:rFonts w:eastAsia="仿宋_GB2312" w:cs="仿宋_GB2312"/>
          <w:sz w:val="32"/>
          <w:szCs w:val="32"/>
        </w:rPr>
      </w:pPr>
      <w:bookmarkStart w:id="55" w:name="_Toc15396627"/>
      <w:r>
        <w:rPr>
          <w:rFonts w:eastAsia="仿宋_GB2312" w:cs="仿宋_GB2312" w:hint="eastAsia"/>
          <w:sz w:val="32"/>
          <w:szCs w:val="32"/>
        </w:rPr>
        <w:t>九、一般公共预算财政拨款项目支出决算表</w:t>
      </w:r>
      <w:bookmarkEnd w:id="55"/>
    </w:p>
    <w:p>
      <w:pPr>
        <w:pStyle w:val="25"/>
        <w:tabs>
          <w:tab w:val="right" w:leader="dot" w:pos="8296"/>
        </w:tabs>
        <w:adjustRightInd w:val="0"/>
        <w:snapToGrid w:val="0"/>
        <w:spacing w:line="560" w:lineRule="exact"/>
        <w:jc w:val="left"/>
        <w:rPr>
          <w:rFonts w:eastAsia="仿宋_GB2312" w:cs="仿宋_GB2312"/>
          <w:sz w:val="32"/>
          <w:szCs w:val="32"/>
        </w:rPr>
      </w:pPr>
      <w:bookmarkStart w:id="56" w:name="_Toc15396628"/>
      <w:r>
        <w:rPr>
          <w:rFonts w:eastAsia="仿宋_GB2312" w:cs="仿宋_GB2312" w:hint="eastAsia"/>
          <w:sz w:val="32"/>
          <w:szCs w:val="32"/>
        </w:rPr>
        <w:t>十、</w:t>
      </w:r>
      <w:bookmarkEnd w:id="56"/>
      <w:r>
        <w:rPr>
          <w:rFonts w:eastAsia="仿宋_GB2312" w:cs="仿宋_GB2312" w:hint="eastAsia"/>
          <w:sz w:val="32"/>
          <w:szCs w:val="32"/>
        </w:rPr>
        <w:t>政府性基金预算财政拨款收入支出决算表</w:t>
      </w:r>
    </w:p>
    <w:p>
      <w:pPr>
        <w:pStyle w:val="25"/>
        <w:tabs>
          <w:tab w:val="right" w:leader="dot" w:pos="8296"/>
        </w:tabs>
        <w:adjustRightInd w:val="0"/>
        <w:snapToGrid w:val="0"/>
        <w:spacing w:line="560" w:lineRule="exact"/>
        <w:jc w:val="left"/>
        <w:rPr>
          <w:rFonts w:eastAsia="仿宋_GB2312" w:cs="仿宋_GB2312"/>
          <w:sz w:val="32"/>
          <w:szCs w:val="32"/>
        </w:rPr>
      </w:pPr>
      <w:bookmarkStart w:id="57" w:name="_Toc15396629"/>
      <w:r>
        <w:rPr>
          <w:rFonts w:eastAsia="仿宋_GB2312" w:cs="仿宋_GB2312" w:hint="eastAsia"/>
          <w:sz w:val="32"/>
          <w:szCs w:val="32"/>
        </w:rPr>
        <w:t>十一、</w:t>
      </w:r>
      <w:bookmarkEnd w:id="57"/>
      <w:r>
        <w:rPr>
          <w:rFonts w:eastAsia="仿宋_GB2312" w:cs="仿宋_GB2312" w:hint="eastAsia"/>
          <w:sz w:val="32"/>
          <w:szCs w:val="32"/>
        </w:rPr>
        <w:t>国有资本经营预算财政拨款收入支出决算表</w:t>
      </w:r>
    </w:p>
    <w:p>
      <w:pPr>
        <w:pStyle w:val="25"/>
        <w:tabs>
          <w:tab w:val="right" w:leader="dot" w:pos="8296"/>
        </w:tabs>
        <w:adjustRightInd w:val="0"/>
        <w:snapToGrid w:val="0"/>
        <w:spacing w:line="560" w:lineRule="exact"/>
        <w:jc w:val="left"/>
        <w:rPr>
          <w:rFonts w:eastAsia="仿宋_GB2312" w:cs="仿宋_GB2312"/>
          <w:sz w:val="32"/>
          <w:szCs w:val="32"/>
        </w:rPr>
      </w:pPr>
      <w:bookmarkStart w:id="58" w:name="_Toc15396630"/>
      <w:r>
        <w:rPr>
          <w:rFonts w:eastAsia="仿宋_GB2312" w:cs="仿宋_GB2312" w:hint="eastAsia"/>
          <w:sz w:val="32"/>
          <w:szCs w:val="32"/>
        </w:rPr>
        <w:t>十二、</w:t>
      </w:r>
      <w:bookmarkEnd w:id="58"/>
      <w:r>
        <w:rPr>
          <w:rFonts w:eastAsia="仿宋_GB2312" w:cs="仿宋_GB2312" w:hint="eastAsia"/>
          <w:sz w:val="32"/>
          <w:szCs w:val="32"/>
        </w:rPr>
        <w:t>国有资本经营预算财政拨款支出决算表</w:t>
      </w:r>
    </w:p>
    <w:p>
      <w:pPr>
        <w:pStyle w:val="25"/>
        <w:tabs>
          <w:tab w:val="right" w:leader="dot" w:pos="8296"/>
        </w:tabs>
        <w:adjustRightInd w:val="0"/>
        <w:snapToGrid w:val="0"/>
        <w:spacing w:line="560" w:lineRule="exact"/>
        <w:jc w:val="left"/>
        <w:rPr>
          <w:rFonts w:eastAsia="仿宋_GB2312" w:cs="仿宋_GB2312"/>
          <w:sz w:val="32"/>
          <w:szCs w:val="32"/>
        </w:rPr>
      </w:pPr>
      <w:bookmarkStart w:id="59" w:name="_Toc15396631"/>
      <w:r>
        <w:rPr>
          <w:rFonts w:eastAsia="仿宋_GB2312" w:cs="仿宋_GB2312" w:hint="eastAsia"/>
          <w:sz w:val="32"/>
          <w:szCs w:val="32"/>
        </w:rPr>
        <w:t>十三、</w:t>
      </w:r>
      <w:bookmarkEnd w:id="59"/>
      <w:r>
        <w:rPr>
          <w:rFonts w:eastAsia="仿宋_GB2312" w:cs="仿宋_GB2312" w:hint="eastAsia"/>
          <w:sz w:val="32"/>
          <w:szCs w:val="32"/>
        </w:rPr>
        <w:t>财政拨款“三公”经费支出决算表</w:t>
      </w:r>
    </w:p>
    <w:p/>
    <w:p>
      <w:pPr>
        <w:rPr>
          <w:rFonts w:ascii="Times New Roman" w:hAnsi="Times New Roman" w:hint="eastAsia"/>
          <w:lang w:eastAsia="zh-CN"/>
        </w:rPr>
      </w:pPr>
    </w:p>
    <w:sectPr>
      <w:footerReference w:type="default" r:id="rId5"/>
      <w:footerReference w:type="first" r:id="rId6"/>
      <w:pgSz w:w="11906" w:h="16838"/>
      <w:pgMar w:top="1440" w:right="1800" w:bottom="1440" w:left="1800" w:header="851" w:footer="992" w:gutter="0"/>
      <w:pgNumType w:start="1"/>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1"/>
    <w:family w:val="auto"/>
    <w:pitch w:val="variable"/>
    <w:sig w:usb0="E0002EFF" w:usb1="C000785B" w:usb2="00000009" w:usb3="00000000" w:csb0="400001FF" w:csb1="FFFF0000"/>
  </w:font>
  <w:font w:name="方正小标宋简体">
    <w:altName w:val="黑体"/>
    <w:panose1 w:val="03000509000000000000"/>
    <w:charset w:val="86"/>
    <w:family w:val="script"/>
    <w:pitch w:val="variable"/>
    <w:sig w:usb0="00000000" w:usb1="0000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宋体">
    <w:panose1 w:val="02010600030101010101"/>
    <w:charset w:val="7A"/>
    <w:family w:val="auto"/>
    <w:pitch w:val="variable"/>
    <w:sig w:usb0="00000203" w:usb1="288F0000" w:usb2="00000006" w:usb3="00000000" w:csb0="00040001" w:csb1="00000000"/>
  </w:font>
  <w:font w:name="黑体">
    <w:panose1 w:val="02010609060101010101"/>
    <w:charset w:val="86"/>
    <w:family w:val="auto"/>
    <w:pitch w:val="variable"/>
    <w:sig w:usb0="800002BF" w:usb1="38CF7CFA" w:usb2="00000016" w:usb3="00000000" w:csb0="00040001" w:csb1="00000000"/>
  </w:font>
  <w:font w:name="Arial">
    <w:panose1 w:val="020B0604020202020204"/>
    <w:charset w:val="01"/>
    <w:family w:val="swiss"/>
    <w:pitch w:val="variable"/>
    <w:sig w:usb0="E0002EFF" w:usb1="C000785B" w:usb2="00000009" w:usb3="00000000" w:csb0="400001FF" w:csb1="FFFF0000"/>
  </w:font>
  <w:font w:name="仿宋_GB2312">
    <w:altName w:val="仿宋"/>
    <w:panose1 w:val="02010609030101010101"/>
    <w:charset w:val="86"/>
    <w:family w:val="modern"/>
    <w:pitch w:val="variable"/>
    <w:sig w:usb0="00000000" w:usb1="00000000" w:usb2="00000000" w:usb3="00000000" w:csb0="00040000" w:csb1="00000000"/>
  </w:font>
  <w:font w:name="楷体_GB2312">
    <w:altName w:val="楷体"/>
    <w:panose1 w:val="02010609030101010101"/>
    <w:charset w:val="86"/>
    <w:family w:val="auto"/>
    <w:pitch w:val="variable"/>
    <w:sig w:usb0="00000000" w:usb1="00000000" w:usb2="00000000" w:usb3="00000000" w:csb0="00040000" w:csb1="00000000"/>
  </w:font>
  <w:font w:name="Cambria">
    <w:panose1 w:val="02040503050406030204"/>
    <w:charset w:val="00"/>
    <w:family w:val="roman"/>
    <w:pitch w:val="variable"/>
    <w:sig w:usb0="E00006FF" w:usb1="420024FF" w:usb2="02000000" w:usb3="00000000" w:csb0="2000019F" w:csb1="00000000"/>
  </w:font>
  <w:font w:name="Calibri">
    <w:panose1 w:val="020F0502020204030204"/>
    <w:charset w:val="00"/>
    <w:family w:val="swiss"/>
    <w:pitch w:val="variable"/>
    <w:sig w:usb0="E4002EFF" w:usb1="C000247B" w:usb2="00000009" w:usb3="00000000" w:csb0="200001FF" w:csb1="00000000"/>
  </w:font>
  <w:font w:name="??">
    <w:altName w:val="Segoe Print"/>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jc w:val="center"/>
    </w:pP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pPr>
    <w:r>
      <mc:AlternateContent>
        <mc:Choice Requires="wps">
          <w:drawing>
            <wp:anchor distT="0" distB="0" distL="114298" distR="114298" simplePos="0" relativeHeight="26" behindDoc="0" locked="0" layoutInCell="1" hidden="0" allowOverlap="1">
              <wp:simplePos x="0" y="0"/>
              <wp:positionH relativeFrom="margin">
                <wp:align>center</wp:align>
              </wp:positionH>
              <wp:positionV relativeFrom="paragraph">
                <wp:posOffset>0</wp:posOffset>
              </wp:positionV>
              <wp:extent cx="57950" cy="139674"/>
              <wp:effectExtent l="0" t="0" r="0" b="0"/>
              <wp:wrapNone/>
              <wp:docPr id="1" name="文本框 9"/>
              <wp:cNvGraphicFramePr>
                <a:graphicFrameLocks noChangeAspect="0"/>
              </wp:cNvGraphicFramePr>
              <a:graphic>
                <a:graphicData uri="http://schemas.microsoft.com/office/word/2010/wordprocessingShape">
                  <wps:wsp>
                    <wps:cNvSpPr/>
                    <wps:spPr>
                      <a:xfrm rot="0">
                        <a:off x="0" y="0"/>
                        <a:ext cx="57950" cy="139674"/>
                      </a:xfrm>
                      <a:prstGeom prst="rect"/>
                      <a:noFill/>
                      <a:ln w="6350" cmpd="sng" cap="flat">
                        <a:noFill/>
                        <a:prstDash val="solid"/>
                        <a:round/>
                      </a:ln>
                    </wps:spPr>
                    <wps:txbx id="2">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type="#_x0000_t202" id="文本框 9 3" o:spid="_x0000_s3" filled="f" stroked="f" strokeweight="0.5pt" style="position:absolute;margin-left:0.0pt;margin-top:0.0pt;width:4.56301pt;height:10.997971pt;z-index:26;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jc w:val="center"/>
    </w:pPr>
  </w:p>
  <w:p>
    <w:pPr>
      <w:pStyle w:val="21"/>
      <w:tabs>
        <w:tab w:val="center" w:pos="4153"/>
        <w:tab w:val="right" w:pos="8306"/>
      </w:tabs>
    </w:pP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1"/>
      <w:tabs>
        <w:tab w:val="center" w:pos="4153"/>
        <w:tab w:val="right" w:pos="8306"/>
      </w:tabs>
    </w:pPr>
    <w:r>
      <w:rPr>
        <w:sz w:val="18"/>
      </w:rPr>
      <mc:AlternateContent>
        <mc:Choice Requires="wps">
          <w:drawing>
            <wp:anchor distT="0" distB="0" distL="114298" distR="114298" simplePos="0" relativeHeight="25" behindDoc="0" locked="0" layoutInCell="1" hidden="0" allowOverlap="1">
              <wp:simplePos x="0" y="0"/>
              <wp:positionH relativeFrom="margin">
                <wp:align>center</wp:align>
              </wp:positionH>
              <wp:positionV relativeFrom="paragraph">
                <wp:posOffset>0</wp:posOffset>
              </wp:positionV>
              <wp:extent cx="179565" cy="139674"/>
              <wp:effectExtent l="0" t="0" r="0" b="0"/>
              <wp:wrapNone/>
              <wp:docPr id="4" name="文本框 6"/>
              <wp:cNvGraphicFramePr>
                <a:graphicFrameLocks noChangeAspect="0"/>
              </wp:cNvGraphicFramePr>
              <a:graphic>
                <a:graphicData uri="http://schemas.microsoft.com/office/word/2010/wordprocessingShape">
                  <wps:wsp>
                    <wps:cNvSpPr/>
                    <wps:spPr>
                      <a:xfrm rot="0">
                        <a:off x="0" y="0"/>
                        <a:ext cx="179565" cy="139674"/>
                      </a:xfrm>
                      <a:prstGeom prst="rect"/>
                      <a:noFill/>
                      <a:ln w="6350" cmpd="sng" cap="flat">
                        <a:noFill/>
                        <a:prstDash val="solid"/>
                        <a:round/>
                      </a:ln>
                    </wps:spPr>
                    <wps:txbx id="5">
                      <w:txbxContent>
                        <w:p>
                          <w:pPr>
                            <w:pStyle w:val="21"/>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type="#_x0000_t202" id="文本框 6 6" o:spid="_x0000_s6" filled="f" stroked="f" strokeweight="0.5pt" style="position:absolute;margin-left:0.0pt;margin-top:0.0pt;width:14.139006pt;height:10.998005pt;z-index:25;mso-position-horizontal:center;mso-position-horizontal-relative:margin;mso-position-vertical:absolute;mso-wrap-distance-left:8.999863pt;mso-wrap-distance-right:8.999863pt;mso-wrap-style:none;">
              <v:stroke color="#000000"/>
              <v:textbox id="856" inset="0mm,0mm,0mm,0mm" o:insetmode="custom" style="layout-flow:horizontal;v-text-anchor:top;mso-fit-shape-to-text:t;">
                <w:txbxContent>
                  <w:p>
                    <w:pPr>
                      <w:pStyle w:val="21"/>
                      <w:tabs>
                        <w:tab w:val="center" w:pos="4153"/>
                        <w:tab w:val="right" w:pos="8306"/>
                      </w:tabs>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2"/>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compatSetting w:name="compatibilityMode" w:uri="http://schemas.microsoft.com/office/word" w:val="14"/>
  </w:compat>
  <w:docVars>
    <w:docVar w:name="commondata" w:val="eyJoZGlkIjoiNTNlNTY0NmI3MWY1MDY1YTVjYTMyYWI2NDIzNjczMmM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autoRedefine/>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autoRedefine/>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autoRedefine/>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autoRedefine/>
    <w:next w:val="0"/>
    <w:pPr>
      <w:keepNext/>
      <w:keepLines/>
      <w:widowControl w:val="0"/>
      <w:spacing w:before="260" w:after="260" w:line="415" w:lineRule="auto"/>
      <w:outlineLvl w:val="2"/>
    </w:pPr>
    <w:rPr>
      <w:b/>
      <w:bCs/>
      <w:sz w:val="32"/>
      <w:szCs w:val="32"/>
    </w:rPr>
  </w:style>
  <w:style w:type="character" w:default="1" w:styleId="10">
    <w:name w:val="Default Paragraph Font"/>
    <w:autoRedefine/>
  </w:style>
  <w:style w:type="paragraph" w:customStyle="1" w:styleId="15">
    <w:name w:val="标题 5（有编号）（绿盟科技）"/>
    <w:autoRedefine/>
    <w:next w:val="0"/>
    <w:pPr>
      <w:keepNext/>
      <w:keepLines/>
      <w:widowControl w:val="0"/>
      <w:spacing w:before="280" w:after="156" w:line="377" w:lineRule="auto"/>
      <w:jc w:val="left"/>
      <w:outlineLvl w:val="4"/>
    </w:pPr>
    <w:rPr>
      <w:rFonts w:ascii="Arial" w:eastAsia="黑体" w:cs="Times New Roman" w:hAnsi="Arial"/>
      <w:b/>
      <w:kern w:val="2"/>
      <w:sz w:val="24"/>
      <w:szCs w:val="28"/>
      <w:lang w:val="en-US" w:eastAsia="zh-CN" w:bidi="ar-SA"/>
    </w:rPr>
  </w:style>
  <w:style w:type="paragraph" w:styleId="16">
    <w:name w:val="Body Text"/>
    <w:basedOn w:val="0"/>
    <w:pPr>
      <w:spacing w:beforeLines="30" w:before="30"/>
    </w:pPr>
    <w:rPr>
      <w:rFonts w:ascii="仿宋_GB2312" w:eastAsia="仿宋_GB2312"/>
      <w:kern w:val="0"/>
      <w:sz w:val="30"/>
    </w:rPr>
  </w:style>
  <w:style w:type="paragraph" w:styleId="17">
    <w:name w:val="Body Text Indent"/>
    <w:basedOn w:val="0"/>
    <w:next w:val="18"/>
    <w:pPr>
      <w:spacing w:after="120"/>
      <w:ind w:leftChars="200" w:left="200"/>
    </w:pPr>
    <w:rPr>
      <w:rFonts w:ascii="仿宋_GB2312" w:hAnsi="仿宋_GB2312"/>
      <w:szCs w:val="32"/>
    </w:rPr>
  </w:style>
  <w:style w:type="paragraph" w:styleId="18">
    <w:name w:val="Body Text First Indent 2"/>
    <w:basedOn w:val="17"/>
    <w:pPr>
      <w:ind w:firstLineChars="200" w:firstLine="200"/>
    </w:pPr>
  </w:style>
  <w:style w:type="paragraph" w:styleId="19">
    <w:name w:val="toc 3"/>
    <w:basedOn w:val="0"/>
    <w:autoRedefine/>
    <w:next w:val="0"/>
    <w:pPr>
      <w:tabs>
        <w:tab w:val="right" w:leader="dot" w:pos="8296"/>
      </w:tabs>
      <w:ind w:leftChars="400" w:left="400"/>
    </w:pPr>
  </w:style>
  <w:style w:type="paragraph" w:styleId="20">
    <w:name w:val="Balloon Text"/>
    <w:basedOn w:val="0"/>
    <w:autoRedefine/>
    <w:rPr>
      <w:sz w:val="18"/>
      <w:szCs w:val="18"/>
    </w:rPr>
  </w:style>
  <w:style w:type="paragraph" w:styleId="21">
    <w:name w:val="footer"/>
    <w:basedOn w:val="0"/>
    <w:autoRedefine/>
    <w:pPr>
      <w:tabs>
        <w:tab w:val="center" w:pos="4153"/>
        <w:tab w:val="right" w:pos="8306"/>
      </w:tabs>
      <w:snapToGrid w:val="0"/>
      <w:jc w:val="left"/>
    </w:pPr>
    <w:rPr>
      <w:rFonts w:ascii="Calibri" w:hAnsi="Calibri"/>
      <w:kern w:val="0"/>
      <w:sz w:val="18"/>
      <w:szCs w:val="18"/>
    </w:rPr>
  </w:style>
  <w:style w:type="paragraph" w:styleId="22">
    <w:name w:val="header"/>
    <w:basedOn w:val="0"/>
    <w:autoRedefine/>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3">
    <w:name w:val="toc 1"/>
    <w:basedOn w:val="0"/>
    <w:autoRedefine/>
    <w:next w:val="0"/>
    <w:pPr>
      <w:tabs>
        <w:tab w:val="right" w:leader="dot" w:pos="8296"/>
      </w:tabs>
      <w:spacing w:before="93"/>
      <w:jc w:val="center"/>
    </w:pPr>
    <w:rPr>
      <w:rFonts w:ascii="仿宋" w:eastAsia="仿宋"/>
      <w:sz w:val="28"/>
      <w:szCs w:val="28"/>
    </w:rPr>
  </w:style>
  <w:style w:type="paragraph" w:styleId="24">
    <w:name w:val="footnote text"/>
    <w:basedOn w:val="0"/>
    <w:next w:val="18"/>
    <w:pPr>
      <w:snapToGrid w:val="0"/>
      <w:jc w:val="left"/>
    </w:pPr>
    <w:rPr>
      <w:sz w:val="18"/>
      <w:szCs w:val="18"/>
    </w:rPr>
  </w:style>
  <w:style w:type="paragraph" w:styleId="25">
    <w:name w:val="toc 2"/>
    <w:basedOn w:val="0"/>
    <w:autoRedefine/>
    <w:next w:val="0"/>
    <w:pPr>
      <w:tabs>
        <w:tab w:val="right" w:leader="dot" w:pos="8296"/>
      </w:tabs>
      <w:ind w:leftChars="200" w:left="200"/>
    </w:pPr>
  </w:style>
  <w:style w:type="character" w:styleId="26">
    <w:name w:val="Strong"/>
    <w:basedOn w:val="10"/>
    <w:autoRedefine/>
    <w:rPr>
      <w:b/>
    </w:rPr>
  </w:style>
  <w:style w:type="character" w:styleId="27">
    <w:name w:val="Hyperlink"/>
    <w:basedOn w:val="10"/>
    <w:autoRedefine/>
    <w:rPr>
      <w:color w:val="0000FF"/>
      <w:u w:val="single"/>
    </w:rPr>
  </w:style>
  <w:style w:type="character" w:customStyle="1" w:styleId="28">
    <w:name w:val="Header Char"/>
    <w:basedOn w:val="10"/>
    <w:autoRedefine/>
    <w:rPr>
      <w:rFonts w:ascii="Times New Roman" w:hAnsi="Times New Roman"/>
      <w:sz w:val="18"/>
      <w:szCs w:val="18"/>
    </w:rPr>
  </w:style>
  <w:style w:type="character" w:customStyle="1" w:styleId="29">
    <w:name w:val="Footer Char"/>
    <w:basedOn w:val="10"/>
    <w:autoRedefine/>
    <w:rPr>
      <w:rFonts w:ascii="Times New Roman" w:hAnsi="Times New Roman"/>
      <w:sz w:val="18"/>
      <w:szCs w:val="18"/>
    </w:rPr>
  </w:style>
  <w:style w:type="character" w:customStyle="1" w:styleId="30">
    <w:name w:val="Body Text Char"/>
    <w:basedOn w:val="10"/>
    <w:autoRedefine/>
    <w:rPr>
      <w:rFonts w:ascii="Times New Roman" w:hAnsi="Times New Roman"/>
      <w:szCs w:val="24"/>
    </w:rPr>
  </w:style>
  <w:style w:type="paragraph" w:customStyle="1" w:styleId="31">
    <w:name w:val="Default"/>
    <w:autoRedefine/>
    <w:pPr>
      <w:widowControl w:val="0"/>
      <w:autoSpaceDE w:val="0"/>
      <w:autoSpaceDN w:val="0"/>
      <w:adjustRightInd w:val="0"/>
    </w:pPr>
    <w:rPr>
      <w:rFonts w:ascii="仿宋" w:eastAsia="仿宋" w:cs="仿宋"/>
      <w:color w:val="000000"/>
      <w:sz w:val="24"/>
      <w:szCs w:val="24"/>
      <w:lang w:val="en-US" w:eastAsia="zh-CN" w:bidi="ar-SA"/>
    </w:rPr>
  </w:style>
  <w:style w:type="paragraph" w:customStyle="1" w:styleId="32">
    <w:name w:val="List Paragraph"/>
    <w:basedOn w:val="0"/>
    <w:autoRedefine/>
    <w:pPr>
      <w:ind w:firstLineChars="200" w:firstLine="200"/>
    </w:pPr>
  </w:style>
  <w:style w:type="paragraph" w:customStyle="1" w:styleId="33">
    <w:name w:val="TOC 标题1"/>
    <w:basedOn w:val="1"/>
    <w:autoRedefine/>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4">
    <w:name w:val="TOC Heading"/>
    <w:basedOn w:val="1"/>
    <w:autoRedefine/>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5">
    <w:name w:val="四号正文"/>
    <w:basedOn w:val="0"/>
    <w:autoRedefine/>
    <w:pPr>
      <w:spacing w:line="360" w:lineRule="auto"/>
    </w:pPr>
    <w:rPr>
      <w:rFonts w:ascii="??" w:eastAsia="宋体" w:hAnsi="??"/>
      <w:color w:val="000000"/>
      <w:kern w:val="0"/>
      <w:sz w:val="28"/>
      <w:szCs w:val="21"/>
      <w:lang w:val="zh-CN" w:eastAsia="zh-CN"/>
    </w:rPr>
  </w:style>
  <w:style w:type="paragraph" w:customStyle="1" w:styleId="36">
    <w:name w:val="普通(网站) Char"/>
    <w:basedOn w:val="0"/>
    <w:autoRedefine/>
    <w:pPr>
      <w:widowControl/>
      <w:spacing w:before="100" w:beforeAutospacing="1" w:after="100" w:afterAutospacing="1"/>
      <w:jc w:val="left"/>
    </w:pPr>
    <w:rPr>
      <w:rFonts w:ascii="宋体"/>
      <w:kern w:val="0"/>
      <w:sz w:val="24"/>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image" Target="media/8.png"/><Relationship Id="rId8" Type="http://schemas.openxmlformats.org/officeDocument/2006/relationships/image" Target="media/11.png"/><Relationship Id="rId9" Type="http://schemas.openxmlformats.org/officeDocument/2006/relationships/image" Target="media/14.png"/><Relationship Id="rId10" Type="http://schemas.openxmlformats.org/officeDocument/2006/relationships/image" Target="media/17.png"/><Relationship Id="rId11" Type="http://schemas.openxmlformats.org/officeDocument/2006/relationships/image" Target="media/20.png"/><Relationship Id="rId12" Type="http://schemas.openxmlformats.org/officeDocument/2006/relationships/image" Target="media/23.png"/><Relationship Id="rId13" Type="http://schemas.openxmlformats.org/officeDocument/2006/relationships/image" Target="media/26.png"/><Relationship Id="rId14" Type="http://schemas.openxmlformats.org/officeDocument/2006/relationships/styles" Target="styles.xml"/><Relationship Id="rId15" Type="http://schemas.openxmlformats.org/officeDocument/2006/relationships/fontTable" Target="fontTable.xml"/></Relationships>
</file>

<file path=docProps/app.xml><?xml version="1.0" encoding="utf-8"?>
<Properties xmlns="http://schemas.openxmlformats.org/officeDocument/2006/extended-properties">
  <Template>Normal.eit</Template>
  <TotalTime>4</TotalTime>
  <Application>Yozo_Office</Application>
  <Pages>17</Pages>
  <Words>4473</Words>
  <Characters>5853</Characters>
  <Lines>348</Lines>
  <Paragraphs>123</Paragraphs>
  <CharactersWithSpaces>5909</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SC</cp:lastModifiedBy>
  <cp:revision>32</cp:revision>
  <cp:lastPrinted>2026-08-03T09:27:00Z</cp:lastPrinted>
  <dcterms:created xsi:type="dcterms:W3CDTF">2020-08-08T17:49:00Z</dcterms:created>
  <dcterms:modified xsi:type="dcterms:W3CDTF">2026-10-26T07:56:52Z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2052-12.1.0.16388</vt:lpwstr>
  </property>
  <property fmtid="{D5CDD505-2E9C-101B-9397-08002B2CF9AE}" pid="3" name="ICV">
    <vt:lpwstr>935D03566FF04E4A93A643336D490A93_13</vt:lpwstr>
  </property>
</Properties>
</file>