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6A95C">
      <w:pPr>
        <w:pStyle w:val="5"/>
        <w:rPr>
          <w:rFonts w:hint="eastAsia" w:ascii="Times New Roman" w:hAnsi="Times New Roman" w:eastAsia="方正小标宋简体" w:cs="Times New Roman"/>
          <w:color w:val="auto"/>
          <w:kern w:val="2"/>
          <w:sz w:val="72"/>
          <w:szCs w:val="72"/>
          <w:highlight w:val="none"/>
          <w:lang w:val="en-US" w:eastAsia="zh-CN" w:bidi="ar-SA"/>
        </w:rPr>
      </w:pPr>
    </w:p>
    <w:p w14:paraId="6BA7F6BB">
      <w:pPr>
        <w:adjustRightInd w:val="0"/>
        <w:snapToGrid w:val="0"/>
        <w:spacing w:line="360" w:lineRule="auto"/>
        <w:jc w:val="center"/>
        <w:outlineLvl w:val="0"/>
        <w:rPr>
          <w:rFonts w:hint="eastAsia" w:ascii="方正小标宋简体" w:eastAsia="方正小标宋简体" w:cs="方正小标宋简体"/>
          <w:sz w:val="72"/>
          <w:szCs w:val="72"/>
          <w:lang w:val="en-US" w:eastAsia="zh-CN" w:bidi="ar-SA"/>
        </w:rPr>
      </w:pPr>
      <w:r>
        <w:rPr>
          <w:rFonts w:hint="eastAsia" w:ascii="方正小标宋简体" w:eastAsia="方正小标宋简体" w:cs="方正小标宋简体"/>
          <w:sz w:val="72"/>
          <w:szCs w:val="72"/>
          <w:lang w:val="en-US" w:eastAsia="zh-CN" w:bidi="ar-SA"/>
        </w:rPr>
        <w:t>2025年度</w:t>
      </w:r>
    </w:p>
    <w:p w14:paraId="571EADDE">
      <w:pPr>
        <w:adjustRightInd w:val="0"/>
        <w:snapToGrid w:val="0"/>
        <w:spacing w:line="360" w:lineRule="auto"/>
        <w:jc w:val="center"/>
        <w:outlineLvl w:val="0"/>
        <w:rPr>
          <w:rFonts w:hint="eastAsia" w:ascii="方正小标宋简体" w:eastAsia="方正小标宋简体" w:cs="方正小标宋简体"/>
          <w:sz w:val="72"/>
          <w:szCs w:val="72"/>
          <w:lang w:bidi="ar-SA"/>
        </w:rPr>
      </w:pPr>
      <w:r>
        <w:rPr>
          <w:rFonts w:hint="eastAsia" w:ascii="方正小标宋简体" w:eastAsia="方正小标宋简体" w:cs="方正小标宋简体"/>
          <w:sz w:val="72"/>
          <w:szCs w:val="72"/>
          <w:lang w:eastAsia="zh-CN" w:bidi="ar-SA"/>
        </w:rPr>
        <w:t>阿坝州若尔盖县旅游景区管理局部门</w:t>
      </w:r>
      <w:r>
        <w:rPr>
          <w:rFonts w:hint="eastAsia" w:ascii="方正小标宋简体" w:eastAsia="方正小标宋简体" w:cs="方正小标宋简体"/>
          <w:sz w:val="72"/>
          <w:szCs w:val="72"/>
          <w:lang w:bidi="ar-SA"/>
        </w:rPr>
        <w:t>决算</w:t>
      </w:r>
      <w:r>
        <w:rPr>
          <w:rFonts w:hint="eastAsia" w:ascii="方正小标宋简体" w:eastAsia="方正小标宋简体" w:cs="方正小标宋简体"/>
          <w:sz w:val="72"/>
          <w:szCs w:val="72"/>
          <w:lang w:eastAsia="zh-CN" w:bidi="ar-SA"/>
        </w:rPr>
        <w:t>公开</w:t>
      </w:r>
    </w:p>
    <w:p w14:paraId="13E38C83">
      <w:pPr>
        <w:pStyle w:val="5"/>
        <w:jc w:val="center"/>
        <w:rPr>
          <w:rFonts w:ascii="Times New Roman" w:hAnsi="Times New Roman" w:eastAsia="方正小标宋简体" w:cs="Times New Roman"/>
          <w:color w:val="auto"/>
          <w:kern w:val="2"/>
          <w:sz w:val="44"/>
          <w:szCs w:val="44"/>
          <w:highlight w:val="none"/>
          <w:lang w:val="en-US" w:eastAsia="zh-CN" w:bidi="ar-SA"/>
        </w:rPr>
      </w:pPr>
    </w:p>
    <w:p w14:paraId="5A27EF6C">
      <w:pPr>
        <w:pStyle w:val="5"/>
        <w:jc w:val="center"/>
        <w:rPr>
          <w:rFonts w:ascii="Times New Roman" w:hAnsi="Times New Roman" w:eastAsia="方正小标宋简体" w:cs="Times New Roman"/>
          <w:color w:val="auto"/>
          <w:kern w:val="2"/>
          <w:sz w:val="44"/>
          <w:szCs w:val="44"/>
          <w:highlight w:val="none"/>
          <w:lang w:val="en-US" w:eastAsia="zh-CN" w:bidi="ar-SA"/>
        </w:rPr>
      </w:pPr>
    </w:p>
    <w:p w14:paraId="0F6C8660">
      <w:pPr>
        <w:pStyle w:val="5"/>
        <w:jc w:val="center"/>
        <w:rPr>
          <w:rFonts w:ascii="Times New Roman" w:hAnsi="Times New Roman" w:eastAsia="方正小标宋简体" w:cs="Times New Roman"/>
          <w:color w:val="auto"/>
          <w:kern w:val="2"/>
          <w:sz w:val="44"/>
          <w:szCs w:val="44"/>
          <w:highlight w:val="none"/>
          <w:lang w:val="en-US" w:eastAsia="zh-CN" w:bidi="ar-SA"/>
        </w:rPr>
      </w:pPr>
    </w:p>
    <w:p w14:paraId="5FBF728F">
      <w:pPr>
        <w:rPr>
          <w:rFonts w:ascii="Times New Roman" w:hAnsi="Times New Roman"/>
        </w:rPr>
      </w:pPr>
    </w:p>
    <w:p w14:paraId="01B38B2D">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CDA3AAF">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08864551">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0"/>
        <w:jc w:val="center"/>
        <w:textAlignment w:val="auto"/>
        <w:rPr>
          <w:rFonts w:hint="eastAsia" w:eastAsia="仿宋_GB2312" w:cs="仿宋_GB2312"/>
          <w:color w:val="auto"/>
          <w:sz w:val="32"/>
          <w:szCs w:val="32"/>
          <w:highlight w:val="none"/>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hint="eastAsia" w:eastAsia="仿宋_GB2312" w:cs="仿宋_GB2312"/>
          <w:color w:val="auto"/>
          <w:sz w:val="32"/>
          <w:szCs w:val="32"/>
          <w:highlight w:val="none"/>
          <w:lang w:val="en-US" w:eastAsia="zh-CN"/>
        </w:rPr>
        <w:t>（</w:t>
      </w:r>
      <w:r>
        <w:rPr>
          <w:rFonts w:hint="eastAsia" w:ascii="方正小标宋简体" w:eastAsia="方正小标宋简体"/>
          <w:sz w:val="36"/>
          <w:szCs w:val="36"/>
          <w:lang w:eastAsia="zh-CN"/>
        </w:rPr>
        <w:t>已经保密审查、内容审定，同意对外公开</w:t>
      </w:r>
      <w:r>
        <w:rPr>
          <w:rFonts w:hint="eastAsia" w:eastAsia="仿宋_GB2312" w:cs="仿宋_GB2312"/>
          <w:color w:val="auto"/>
          <w:sz w:val="32"/>
          <w:szCs w:val="32"/>
          <w:highlight w:val="none"/>
          <w:lang w:val="en-US" w:eastAsia="zh-CN"/>
        </w:rPr>
        <w:t>）</w:t>
      </w:r>
    </w:p>
    <w:p w14:paraId="2E160E55">
      <w:pPr>
        <w:pStyle w:val="12"/>
        <w:keepNext w:val="0"/>
        <w:keepLines w:val="0"/>
        <w:pageBreakBefore w:val="0"/>
        <w:widowControl w:val="0"/>
        <w:kinsoku/>
        <w:wordWrap/>
        <w:overflowPunct/>
        <w:topLinePunct w:val="0"/>
        <w:autoSpaceDE/>
        <w:autoSpaceDN/>
        <w:bidi w:val="0"/>
        <w:adjustRightInd w:val="0"/>
        <w:snapToGrid w:val="0"/>
        <w:spacing w:line="560" w:lineRule="exact"/>
        <w:ind w:left="0" w:leftChars="0" w:firstLine="0"/>
        <w:jc w:val="center"/>
        <w:textAlignment w:val="auto"/>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A8574DD">
      <w:pPr>
        <w:widowControl/>
        <w:jc w:val="center"/>
        <w:rPr>
          <w:rFonts w:ascii="Times New Roman" w:hAnsi="Times New Roman" w:eastAsia="黑体" w:cs="Arial"/>
          <w:color w:val="auto"/>
          <w:sz w:val="28"/>
          <w:szCs w:val="28"/>
          <w:highlight w:val="none"/>
        </w:rPr>
      </w:pPr>
    </w:p>
    <w:p w14:paraId="32B2BFCF">
      <w:pPr>
        <w:pStyle w:val="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w:t>
      </w:r>
      <w:r>
        <w:rPr>
          <w:rFonts w:hint="eastAsia" w:asci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w:t>
      </w:r>
      <w:r>
        <w:rPr>
          <w:rFonts w:hint="eastAsia" w:asci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日</w:t>
      </w:r>
    </w:p>
    <w:p w14:paraId="5E54F495">
      <w:pPr>
        <w:rPr>
          <w:rFonts w:ascii="Times New Roman" w:hAnsi="Times New Roman"/>
          <w:color w:val="auto"/>
          <w:highlight w:val="none"/>
        </w:rPr>
      </w:pPr>
    </w:p>
    <w:p w14:paraId="6FFF5F39">
      <w:pPr>
        <w:pStyle w:val="10"/>
        <w:adjustRightInd w:val="0"/>
        <w:snapToGrid w:val="0"/>
        <w:spacing w:before="0" w:line="440" w:lineRule="exact"/>
        <w:jc w:val="left"/>
        <w:rPr>
          <w:rFonts w:ascii="Times New Roman" w:hAnsi="Times New Roman" w:eastAsia="宋体" w:cs="Times New Roman"/>
          <w:kern w:val="2"/>
          <w:sz w:val="24"/>
          <w:szCs w:val="24"/>
          <w:lang w:val="en-US" w:eastAsia="zh-CN" w:bidi="ar-SA"/>
        </w:rPr>
      </w:pPr>
      <w:bookmarkStart w:id="0" w:name="_Toc15396599"/>
      <w:bookmarkStart w:id="1" w:name="_Toc15377196"/>
      <w:r>
        <w:rPr>
          <w:rFonts w:hint="eastAsia" w:ascii="Times New Roman" w:hAnsi="Times New Roman" w:eastAsia="宋体" w:cs="Times New Roman"/>
          <w:kern w:val="2"/>
          <w:sz w:val="24"/>
          <w:szCs w:val="24"/>
          <w:lang w:val="en-US" w:eastAsia="zh-CN" w:bidi="ar-SA"/>
        </w:rPr>
        <w:t xml:space="preserve">第一部分 </w:t>
      </w:r>
      <w:r>
        <w:rPr>
          <w:rFonts w:hint="eastAsia" w:ascii="Times New Roman" w:eastAsia="宋体" w:cs="Times New Roman"/>
          <w:kern w:val="2"/>
          <w:sz w:val="24"/>
          <w:szCs w:val="24"/>
          <w:lang w:val="en-US" w:eastAsia="zh-CN" w:bidi="ar-SA"/>
        </w:rPr>
        <w:t>部门</w:t>
      </w:r>
      <w:r>
        <w:rPr>
          <w:rFonts w:hint="eastAsia" w:ascii="Times New Roman" w:hAnsi="Times New Roman" w:eastAsia="宋体" w:cs="Times New Roman"/>
          <w:kern w:val="2"/>
          <w:sz w:val="24"/>
          <w:szCs w:val="24"/>
          <w:lang w:val="en-US" w:eastAsia="zh-CN" w:bidi="ar-SA"/>
        </w:rPr>
        <w:t>概况</w:t>
      </w:r>
      <w:r>
        <w:rPr>
          <w:rFonts w:hint="eastAsia"/>
          <w:sz w:val="24"/>
          <w:lang w:val="en-US" w:eastAsia="zh-CN"/>
        </w:rPr>
        <w:t>...........................................3</w:t>
      </w:r>
    </w:p>
    <w:p w14:paraId="00BEB4AD">
      <w:pPr>
        <w:pStyle w:val="12"/>
        <w:adjustRightInd w:val="0"/>
        <w:snapToGrid w:val="0"/>
        <w:spacing w:line="440" w:lineRule="exact"/>
        <w:jc w:val="left"/>
        <w:rPr>
          <w:rFonts w:eastAsia="宋体"/>
          <w:sz w:val="24"/>
          <w:lang w:val="en-US" w:eastAsia="zh-CN"/>
        </w:rPr>
      </w:pPr>
      <w:r>
        <w:rPr>
          <w:rFonts w:hint="eastAsia"/>
          <w:sz w:val="24"/>
        </w:rPr>
        <w:t>一、主要职责</w:t>
      </w:r>
      <w:r>
        <w:rPr>
          <w:rFonts w:hint="eastAsia"/>
          <w:sz w:val="24"/>
          <w:lang w:val="en-US" w:eastAsia="zh-CN"/>
        </w:rPr>
        <w:t>.........................................................................................3</w:t>
      </w:r>
    </w:p>
    <w:p w14:paraId="1C208C4D">
      <w:pPr>
        <w:pStyle w:val="12"/>
        <w:adjustRightInd w:val="0"/>
        <w:snapToGrid w:val="0"/>
        <w:spacing w:line="440" w:lineRule="exact"/>
        <w:jc w:val="left"/>
      </w:pPr>
      <w:r>
        <w:rPr>
          <w:rFonts w:hint="eastAsia"/>
          <w:sz w:val="24"/>
        </w:rPr>
        <w:t>二、机构设置</w:t>
      </w:r>
      <w:r>
        <w:rPr>
          <w:rFonts w:hint="eastAsia"/>
          <w:sz w:val="24"/>
          <w:lang w:val="en-US" w:eastAsia="zh-CN"/>
        </w:rPr>
        <w:t>.........................................................................................4</w:t>
      </w:r>
    </w:p>
    <w:p w14:paraId="02DCA41B">
      <w:pPr>
        <w:pStyle w:val="10"/>
        <w:adjustRightInd w:val="0"/>
        <w:snapToGrid w:val="0"/>
        <w:spacing w:before="0" w:line="440" w:lineRule="exact"/>
        <w:jc w:val="left"/>
        <w:rPr>
          <w:rFonts w:eastAsia="仿宋"/>
          <w:sz w:val="24"/>
          <w:szCs w:val="24"/>
          <w:lang w:val="en-US" w:eastAsia="zh-CN"/>
        </w:rPr>
      </w:pPr>
      <w:r>
        <w:rPr>
          <w:rFonts w:hint="eastAsia" w:ascii="Times New Roman" w:hAnsi="Times New Roman" w:eastAsia="宋体" w:cs="Times New Roman"/>
          <w:kern w:val="2"/>
          <w:sz w:val="24"/>
          <w:szCs w:val="24"/>
          <w:lang w:val="en-US" w:eastAsia="zh-CN" w:bidi="ar-SA"/>
        </w:rPr>
        <w:t>第二部分 202</w:t>
      </w:r>
      <w:r>
        <w:rPr>
          <w:rFonts w:hint="eastAsia" w:ascii="Times New Roman" w:eastAsia="宋体" w:cs="Times New Roman"/>
          <w:kern w:val="2"/>
          <w:sz w:val="24"/>
          <w:szCs w:val="24"/>
          <w:lang w:val="en-US" w:eastAsia="zh-CN" w:bidi="ar-SA"/>
        </w:rPr>
        <w:t>5</w:t>
      </w:r>
      <w:r>
        <w:rPr>
          <w:rFonts w:hint="eastAsia" w:ascii="Times New Roman" w:hAnsi="Times New Roman" w:eastAsia="宋体" w:cs="Times New Roman"/>
          <w:kern w:val="2"/>
          <w:sz w:val="24"/>
          <w:szCs w:val="24"/>
          <w:lang w:val="en-US" w:eastAsia="zh-CN" w:bidi="ar-SA"/>
        </w:rPr>
        <w:t>年度</w:t>
      </w:r>
      <w:r>
        <w:rPr>
          <w:rFonts w:hint="eastAsia" w:ascii="Times New Roman" w:eastAsia="宋体" w:cs="Times New Roman"/>
          <w:kern w:val="2"/>
          <w:sz w:val="24"/>
          <w:szCs w:val="24"/>
          <w:lang w:val="en-US" w:eastAsia="zh-CN" w:bidi="ar-SA"/>
        </w:rPr>
        <w:t>部门</w:t>
      </w:r>
      <w:r>
        <w:rPr>
          <w:rFonts w:hint="eastAsia" w:ascii="Times New Roman" w:hAnsi="Times New Roman" w:eastAsia="宋体" w:cs="Times New Roman"/>
          <w:kern w:val="2"/>
          <w:sz w:val="24"/>
          <w:szCs w:val="24"/>
          <w:lang w:val="en-US" w:eastAsia="zh-CN" w:bidi="ar-SA"/>
        </w:rPr>
        <w:t>决算情况说明</w:t>
      </w:r>
      <w:r>
        <w:rPr>
          <w:rFonts w:hint="eastAsia"/>
          <w:sz w:val="24"/>
          <w:lang w:val="en-US" w:eastAsia="zh-CN"/>
        </w:rPr>
        <w:t>...........................4</w:t>
      </w:r>
    </w:p>
    <w:p w14:paraId="1432D568">
      <w:pPr>
        <w:pStyle w:val="12"/>
        <w:adjustRightInd w:val="0"/>
        <w:snapToGrid w:val="0"/>
        <w:spacing w:line="440" w:lineRule="exact"/>
        <w:jc w:val="left"/>
        <w:rPr>
          <w:rFonts w:ascii="仿宋" w:hAnsi="仿宋" w:eastAsia="宋体" w:cs="Arial"/>
          <w:sz w:val="24"/>
          <w:lang w:val="en-US" w:eastAsia="zh-CN" w:bidi="ar-SA"/>
        </w:rPr>
      </w:pPr>
      <w:r>
        <w:rPr>
          <w:rFonts w:hint="eastAsia"/>
          <w:sz w:val="24"/>
        </w:rPr>
        <w:t>一、收入支出决算总体情况说明</w:t>
      </w:r>
      <w:r>
        <w:rPr>
          <w:rFonts w:hint="eastAsia"/>
          <w:sz w:val="24"/>
          <w:lang w:val="en-US" w:eastAsia="zh-CN"/>
        </w:rPr>
        <w:t>..........................................................5</w:t>
      </w:r>
    </w:p>
    <w:p w14:paraId="7846D143">
      <w:pPr>
        <w:pStyle w:val="12"/>
        <w:adjustRightInd w:val="0"/>
        <w:snapToGrid w:val="0"/>
        <w:spacing w:line="440" w:lineRule="exact"/>
        <w:jc w:val="left"/>
        <w:rPr>
          <w:rFonts w:hint="eastAsia" w:ascii="仿宋" w:eastAsia="仿宋" w:cs="Arial"/>
          <w:sz w:val="24"/>
          <w:lang w:val="en-US" w:eastAsia="zh-CN" w:bidi="ar-SA"/>
        </w:rPr>
      </w:pPr>
      <w:r>
        <w:rPr>
          <w:rFonts w:hint="eastAsia"/>
          <w:sz w:val="24"/>
        </w:rPr>
        <w:t>二、收入决算情况说明</w:t>
      </w:r>
      <w:r>
        <w:rPr>
          <w:rFonts w:hint="eastAsia" w:ascii="仿宋" w:eastAsia="仿宋" w:cs="Arial"/>
          <w:sz w:val="24"/>
          <w:lang w:val="en-US" w:eastAsia="zh-CN" w:bidi="ar-SA"/>
        </w:rPr>
        <w:t>.....................................6</w:t>
      </w:r>
    </w:p>
    <w:p w14:paraId="31E6185D">
      <w:pPr>
        <w:pStyle w:val="12"/>
        <w:adjustRightInd w:val="0"/>
        <w:snapToGrid w:val="0"/>
        <w:spacing w:line="440" w:lineRule="exact"/>
        <w:jc w:val="left"/>
        <w:rPr>
          <w:rFonts w:ascii="仿宋" w:hAnsi="仿宋" w:eastAsia="宋体" w:cs="Arial"/>
          <w:sz w:val="24"/>
          <w:lang w:val="en-US" w:eastAsia="zh-CN" w:bidi="ar-SA"/>
        </w:rPr>
      </w:pPr>
      <w:r>
        <w:rPr>
          <w:rFonts w:hint="eastAsia"/>
          <w:sz w:val="24"/>
        </w:rPr>
        <w:t>三、支出决算情况说明</w:t>
      </w:r>
      <w:r>
        <w:rPr>
          <w:rFonts w:hint="eastAsia"/>
          <w:sz w:val="24"/>
          <w:lang w:val="en-US" w:eastAsia="zh-CN"/>
        </w:rPr>
        <w:t>..........................................................................7</w:t>
      </w:r>
    </w:p>
    <w:p w14:paraId="209C3B3F">
      <w:pPr>
        <w:pStyle w:val="12"/>
        <w:adjustRightInd w:val="0"/>
        <w:snapToGrid w:val="0"/>
        <w:spacing w:line="440" w:lineRule="exact"/>
        <w:jc w:val="left"/>
        <w:rPr>
          <w:rFonts w:ascii="仿宋" w:hAnsi="仿宋" w:eastAsia="宋体" w:cs="Arial"/>
          <w:sz w:val="24"/>
          <w:lang w:val="en-US" w:eastAsia="zh-CN" w:bidi="ar-SA"/>
        </w:rPr>
      </w:pPr>
      <w:r>
        <w:rPr>
          <w:rFonts w:hint="eastAsia"/>
          <w:sz w:val="24"/>
        </w:rPr>
        <w:t>四、财政拨款收入支出决算总体情况说明</w:t>
      </w:r>
      <w:r>
        <w:rPr>
          <w:rFonts w:hint="eastAsia"/>
          <w:sz w:val="24"/>
          <w:lang w:val="en-US" w:eastAsia="zh-CN"/>
        </w:rPr>
        <w:t>..........................................8</w:t>
      </w:r>
    </w:p>
    <w:p w14:paraId="4BDBA819">
      <w:pPr>
        <w:pStyle w:val="12"/>
        <w:adjustRightInd w:val="0"/>
        <w:snapToGrid w:val="0"/>
        <w:spacing w:line="440" w:lineRule="exact"/>
        <w:jc w:val="left"/>
        <w:rPr>
          <w:rFonts w:ascii="仿宋" w:hAnsi="仿宋" w:eastAsia="宋体" w:cs="Arial"/>
          <w:sz w:val="24"/>
          <w:lang w:val="en-US" w:eastAsia="zh-CN" w:bidi="ar-SA"/>
        </w:rPr>
      </w:pPr>
      <w:r>
        <w:rPr>
          <w:rFonts w:hint="eastAsia"/>
          <w:sz w:val="24"/>
        </w:rPr>
        <w:t>五、一般公共预算财政拨款支出决算情况说明</w:t>
      </w:r>
      <w:r>
        <w:rPr>
          <w:rFonts w:hint="eastAsia"/>
          <w:sz w:val="24"/>
          <w:lang w:val="en-US" w:eastAsia="zh-CN"/>
        </w:rPr>
        <w:t>..................................8</w:t>
      </w:r>
    </w:p>
    <w:p w14:paraId="1FF01983">
      <w:pPr>
        <w:pStyle w:val="12"/>
        <w:adjustRightInd w:val="0"/>
        <w:snapToGrid w:val="0"/>
        <w:spacing w:line="440" w:lineRule="exact"/>
        <w:jc w:val="left"/>
        <w:rPr>
          <w:rFonts w:ascii="仿宋" w:hAnsi="仿宋" w:eastAsia="宋体" w:cs="Arial"/>
          <w:sz w:val="24"/>
          <w:lang w:val="en-US" w:eastAsia="zh-CN" w:bidi="ar-SA"/>
        </w:rPr>
      </w:pPr>
      <w:r>
        <w:rPr>
          <w:rFonts w:hint="eastAsia"/>
          <w:sz w:val="24"/>
        </w:rPr>
        <w:t>六、一般公共预算财政拨款基本支出决算情况说明</w:t>
      </w:r>
      <w:r>
        <w:rPr>
          <w:rFonts w:hint="eastAsia"/>
          <w:sz w:val="24"/>
          <w:lang w:val="en-US" w:eastAsia="zh-CN"/>
        </w:rPr>
        <w:t>.........................9</w:t>
      </w:r>
    </w:p>
    <w:p w14:paraId="0BD80683">
      <w:pPr>
        <w:pStyle w:val="12"/>
        <w:adjustRightInd w:val="0"/>
        <w:snapToGrid w:val="0"/>
        <w:spacing w:line="440" w:lineRule="exact"/>
        <w:jc w:val="left"/>
        <w:rPr>
          <w:rFonts w:ascii="仿宋" w:hAnsi="仿宋" w:eastAsia="宋体" w:cs="Arial"/>
          <w:sz w:val="24"/>
          <w:lang w:val="en-US" w:eastAsia="zh-CN" w:bidi="ar-SA"/>
        </w:rPr>
      </w:pPr>
      <w:r>
        <w:rPr>
          <w:rFonts w:hint="eastAsia"/>
          <w:sz w:val="24"/>
        </w:rPr>
        <w:t>七、财政拨款“三公”经费支出决算情况说明</w:t>
      </w:r>
      <w:r>
        <w:rPr>
          <w:rFonts w:hint="eastAsia"/>
          <w:sz w:val="24"/>
          <w:lang w:val="en-US" w:eastAsia="zh-CN"/>
        </w:rPr>
        <w:t>.................................10</w:t>
      </w:r>
    </w:p>
    <w:p w14:paraId="718167BF">
      <w:pPr>
        <w:pStyle w:val="12"/>
        <w:adjustRightInd w:val="0"/>
        <w:snapToGrid w:val="0"/>
        <w:spacing w:line="440" w:lineRule="exact"/>
        <w:jc w:val="left"/>
        <w:rPr>
          <w:rFonts w:ascii="仿宋" w:hAnsi="仿宋" w:eastAsia="宋体" w:cs="Arial"/>
          <w:sz w:val="24"/>
          <w:lang w:val="en-US" w:eastAsia="zh-CN" w:bidi="ar-SA"/>
        </w:rPr>
      </w:pPr>
      <w:r>
        <w:rPr>
          <w:rFonts w:hint="eastAsia"/>
          <w:sz w:val="24"/>
        </w:rPr>
        <w:t>八、政府性基金预算支出决算情况说明</w:t>
      </w:r>
      <w:r>
        <w:rPr>
          <w:rFonts w:hint="eastAsia"/>
          <w:sz w:val="24"/>
          <w:lang w:val="en-US" w:eastAsia="zh-CN"/>
        </w:rPr>
        <w:t>.............................................11</w:t>
      </w:r>
    </w:p>
    <w:p w14:paraId="4B45320C">
      <w:pPr>
        <w:pStyle w:val="12"/>
        <w:adjustRightInd w:val="0"/>
        <w:snapToGrid w:val="0"/>
        <w:spacing w:line="440" w:lineRule="exact"/>
        <w:jc w:val="left"/>
        <w:rPr>
          <w:rFonts w:eastAsia="宋体"/>
          <w:sz w:val="24"/>
          <w:lang w:val="en-US" w:eastAsia="zh-CN"/>
        </w:rPr>
      </w:pPr>
      <w:r>
        <w:rPr>
          <w:rFonts w:hint="eastAsia"/>
          <w:sz w:val="24"/>
        </w:rPr>
        <w:t>九、国有资本经营预算支出决算情况说明</w:t>
      </w:r>
      <w:r>
        <w:rPr>
          <w:rFonts w:hint="eastAsia"/>
          <w:sz w:val="24"/>
          <w:lang w:val="en-US" w:eastAsia="zh-CN"/>
        </w:rPr>
        <w:t>.........................................12</w:t>
      </w:r>
    </w:p>
    <w:p w14:paraId="7C5E8228">
      <w:pPr>
        <w:pStyle w:val="12"/>
        <w:adjustRightInd w:val="0"/>
        <w:snapToGrid w:val="0"/>
        <w:spacing w:line="440" w:lineRule="exact"/>
        <w:jc w:val="left"/>
        <w:rPr>
          <w:rFonts w:eastAsia="宋体"/>
          <w:sz w:val="24"/>
          <w:lang w:val="en-US" w:eastAsia="zh-CN"/>
        </w:rPr>
      </w:pPr>
      <w:r>
        <w:rPr>
          <w:rFonts w:hint="eastAsia"/>
          <w:sz w:val="24"/>
        </w:rPr>
        <w:t>十、其他重要事项的情况说明</w:t>
      </w:r>
      <w:r>
        <w:rPr>
          <w:rFonts w:hint="eastAsia"/>
          <w:sz w:val="24"/>
          <w:lang w:val="en-US" w:eastAsia="zh-CN"/>
        </w:rPr>
        <w:t>.............................................................13</w:t>
      </w:r>
    </w:p>
    <w:p w14:paraId="041EF167">
      <w:pPr>
        <w:pStyle w:val="10"/>
        <w:adjustRightInd w:val="0"/>
        <w:snapToGrid w:val="0"/>
        <w:spacing w:before="0" w:line="440" w:lineRule="exact"/>
        <w:jc w:val="left"/>
        <w:rPr>
          <w:rFonts w:eastAsia="仿宋" w:cs="Arial"/>
          <w:sz w:val="24"/>
          <w:szCs w:val="24"/>
          <w:lang w:val="en-US" w:eastAsia="zh-CN" w:bidi="ar-SA"/>
        </w:rPr>
      </w:pPr>
      <w:r>
        <w:rPr>
          <w:rFonts w:hint="eastAsia"/>
          <w:sz w:val="24"/>
        </w:rPr>
        <w:t>第三部分</w:t>
      </w:r>
      <w:r>
        <w:rPr>
          <w:sz w:val="24"/>
        </w:rPr>
        <w:t xml:space="preserve"> </w:t>
      </w:r>
      <w:r>
        <w:rPr>
          <w:rFonts w:hint="eastAsia"/>
          <w:sz w:val="24"/>
        </w:rPr>
        <w:t>名词解释</w:t>
      </w:r>
      <w:r>
        <w:rPr>
          <w:rFonts w:hint="eastAsia"/>
          <w:sz w:val="24"/>
          <w:lang w:val="en-US" w:eastAsia="zh-CN"/>
        </w:rPr>
        <w:t>...........................................15</w:t>
      </w:r>
    </w:p>
    <w:p w14:paraId="063926B3">
      <w:pPr>
        <w:pStyle w:val="10"/>
        <w:adjustRightInd w:val="0"/>
        <w:snapToGrid w:val="0"/>
        <w:spacing w:before="0" w:line="440" w:lineRule="exact"/>
        <w:jc w:val="left"/>
        <w:rPr>
          <w:rFonts w:eastAsia="仿宋" w:cs="Arial"/>
          <w:sz w:val="24"/>
          <w:szCs w:val="24"/>
          <w:lang w:val="en-US" w:eastAsia="zh-CN" w:bidi="ar-SA"/>
        </w:rPr>
      </w:pPr>
      <w:r>
        <w:rPr>
          <w:rFonts w:hint="eastAsia"/>
          <w:sz w:val="24"/>
        </w:rPr>
        <w:t>第四部分</w:t>
      </w:r>
      <w:r>
        <w:rPr>
          <w:sz w:val="24"/>
        </w:rPr>
        <w:t xml:space="preserve"> </w:t>
      </w:r>
      <w:r>
        <w:rPr>
          <w:rFonts w:hint="eastAsia"/>
          <w:sz w:val="24"/>
        </w:rPr>
        <w:t>附件</w:t>
      </w:r>
      <w:r>
        <w:rPr>
          <w:rFonts w:hint="eastAsia"/>
          <w:sz w:val="24"/>
          <w:lang w:val="en-US" w:eastAsia="zh-CN"/>
        </w:rPr>
        <w:t>...............................................16</w:t>
      </w:r>
    </w:p>
    <w:p w14:paraId="354F8BC3">
      <w:pPr>
        <w:pStyle w:val="10"/>
        <w:adjustRightInd w:val="0"/>
        <w:snapToGrid w:val="0"/>
        <w:spacing w:before="0" w:line="440" w:lineRule="exact"/>
        <w:jc w:val="left"/>
        <w:rPr>
          <w:rFonts w:eastAsia="仿宋" w:cs="Arial"/>
          <w:sz w:val="24"/>
          <w:szCs w:val="24"/>
          <w:lang w:val="en-US" w:eastAsia="zh-CN" w:bidi="ar-SA"/>
        </w:rPr>
      </w:pPr>
      <w:r>
        <w:rPr>
          <w:rFonts w:hint="eastAsia"/>
          <w:sz w:val="24"/>
        </w:rPr>
        <w:t>第五部分</w:t>
      </w:r>
      <w:r>
        <w:rPr>
          <w:sz w:val="24"/>
        </w:rPr>
        <w:t xml:space="preserve"> </w:t>
      </w:r>
      <w:r>
        <w:rPr>
          <w:rFonts w:hint="eastAsia"/>
          <w:sz w:val="24"/>
        </w:rPr>
        <w:t>附表</w:t>
      </w:r>
      <w:r>
        <w:rPr>
          <w:rFonts w:hint="eastAsia"/>
          <w:sz w:val="24"/>
          <w:lang w:val="en-US" w:eastAsia="zh-CN"/>
        </w:rPr>
        <w:t>........................................... ...16</w:t>
      </w:r>
    </w:p>
    <w:p w14:paraId="6D6AB9ED">
      <w:pPr>
        <w:pStyle w:val="12"/>
        <w:adjustRightInd w:val="0"/>
        <w:snapToGrid w:val="0"/>
        <w:spacing w:line="440" w:lineRule="exact"/>
        <w:jc w:val="left"/>
        <w:rPr>
          <w:rFonts w:hint="eastAsia"/>
          <w:sz w:val="24"/>
          <w:lang w:val="en-US" w:eastAsia="zh-CN"/>
        </w:rPr>
      </w:pPr>
      <w:r>
        <w:rPr>
          <w:rFonts w:hint="eastAsia"/>
          <w:sz w:val="24"/>
        </w:rPr>
        <w:t>一、收入支出决算总表</w:t>
      </w:r>
      <w:r>
        <w:rPr>
          <w:rFonts w:hint="eastAsia"/>
          <w:sz w:val="24"/>
          <w:lang w:val="en-US" w:eastAsia="zh-CN"/>
        </w:rPr>
        <w:t>.........................................................................16</w:t>
      </w:r>
    </w:p>
    <w:p w14:paraId="60E081A0">
      <w:pPr>
        <w:pStyle w:val="12"/>
        <w:adjustRightInd w:val="0"/>
        <w:snapToGrid w:val="0"/>
        <w:spacing w:line="440" w:lineRule="exact"/>
        <w:jc w:val="left"/>
        <w:rPr>
          <w:sz w:val="24"/>
          <w:lang w:val="en-US" w:eastAsia="zh-CN"/>
        </w:rPr>
      </w:pPr>
      <w:r>
        <w:rPr>
          <w:rFonts w:hint="eastAsia"/>
          <w:sz w:val="24"/>
        </w:rPr>
        <w:t>二、收入决算表</w:t>
      </w:r>
      <w:r>
        <w:rPr>
          <w:rFonts w:hint="eastAsia"/>
          <w:sz w:val="24"/>
          <w:lang w:val="en-US" w:eastAsia="zh-CN"/>
        </w:rPr>
        <w:t>.....................................................................................16</w:t>
      </w:r>
    </w:p>
    <w:p w14:paraId="21C01E2F">
      <w:pPr>
        <w:pStyle w:val="12"/>
        <w:adjustRightInd w:val="0"/>
        <w:snapToGrid w:val="0"/>
        <w:spacing w:line="440" w:lineRule="exact"/>
        <w:jc w:val="left"/>
        <w:rPr>
          <w:rFonts w:eastAsia="宋体"/>
          <w:sz w:val="24"/>
          <w:lang w:val="en-US" w:eastAsia="zh-CN"/>
        </w:rPr>
      </w:pPr>
      <w:r>
        <w:rPr>
          <w:rFonts w:hint="eastAsia"/>
          <w:sz w:val="24"/>
        </w:rPr>
        <w:t>三、支出决算表</w:t>
      </w:r>
      <w:r>
        <w:rPr>
          <w:rFonts w:hint="eastAsia"/>
          <w:sz w:val="24"/>
          <w:lang w:val="en-US" w:eastAsia="zh-CN"/>
        </w:rPr>
        <w:t>.....................................................................................16</w:t>
      </w:r>
    </w:p>
    <w:p w14:paraId="1CEA39A9">
      <w:pPr>
        <w:pStyle w:val="12"/>
        <w:adjustRightInd w:val="0"/>
        <w:snapToGrid w:val="0"/>
        <w:spacing w:line="440" w:lineRule="exact"/>
        <w:jc w:val="left"/>
        <w:rPr>
          <w:rFonts w:hint="eastAsia"/>
          <w:sz w:val="24"/>
          <w:lang w:val="en-US" w:eastAsia="zh-CN"/>
        </w:rPr>
      </w:pPr>
      <w:r>
        <w:rPr>
          <w:rFonts w:hint="eastAsia"/>
          <w:sz w:val="24"/>
        </w:rPr>
        <w:t>四、财政拨款收入支出决算总表</w:t>
      </w:r>
      <w:r>
        <w:rPr>
          <w:rFonts w:hint="eastAsia"/>
          <w:sz w:val="24"/>
          <w:lang w:val="en-US" w:eastAsia="zh-CN"/>
        </w:rPr>
        <w:t>.........................................................16</w:t>
      </w:r>
    </w:p>
    <w:p w14:paraId="3E7445B8">
      <w:pPr>
        <w:pStyle w:val="12"/>
        <w:adjustRightInd w:val="0"/>
        <w:snapToGrid w:val="0"/>
        <w:spacing w:line="440" w:lineRule="exact"/>
        <w:jc w:val="left"/>
        <w:rPr>
          <w:rFonts w:eastAsia="宋体"/>
          <w:sz w:val="24"/>
          <w:lang w:val="en-US" w:eastAsia="zh-CN"/>
        </w:rPr>
      </w:pPr>
      <w:r>
        <w:rPr>
          <w:rFonts w:hint="eastAsia"/>
          <w:sz w:val="24"/>
        </w:rPr>
        <w:t>五、财政拨款支出决算明细表</w:t>
      </w:r>
      <w:r>
        <w:rPr>
          <w:rFonts w:hint="eastAsia"/>
          <w:sz w:val="24"/>
          <w:lang w:val="en-US" w:eastAsia="zh-CN"/>
        </w:rPr>
        <w:t>..................................................... .......16</w:t>
      </w:r>
    </w:p>
    <w:p w14:paraId="6FEA440B">
      <w:pPr>
        <w:pStyle w:val="12"/>
        <w:adjustRightInd w:val="0"/>
        <w:snapToGrid w:val="0"/>
        <w:spacing w:line="440" w:lineRule="exact"/>
        <w:jc w:val="left"/>
        <w:rPr>
          <w:rFonts w:eastAsia="宋体"/>
          <w:sz w:val="24"/>
          <w:lang w:val="en-US" w:eastAsia="zh-CN"/>
        </w:rPr>
      </w:pPr>
      <w:r>
        <w:rPr>
          <w:rFonts w:hint="eastAsia"/>
          <w:sz w:val="24"/>
        </w:rPr>
        <w:t>六、一般公共预算财政拨款支出决算表</w:t>
      </w:r>
      <w:r>
        <w:rPr>
          <w:rFonts w:hint="eastAsia"/>
          <w:sz w:val="24"/>
          <w:lang w:val="en-US" w:eastAsia="zh-CN"/>
        </w:rPr>
        <w:t>....................................... .....16</w:t>
      </w:r>
    </w:p>
    <w:p w14:paraId="0FA90B74">
      <w:pPr>
        <w:pStyle w:val="12"/>
        <w:adjustRightInd w:val="0"/>
        <w:snapToGrid w:val="0"/>
        <w:spacing w:line="440" w:lineRule="exact"/>
        <w:jc w:val="left"/>
        <w:rPr>
          <w:rFonts w:hint="eastAsia"/>
          <w:sz w:val="24"/>
          <w:lang w:val="en-US" w:eastAsia="zh-CN"/>
        </w:rPr>
      </w:pPr>
      <w:r>
        <w:rPr>
          <w:rFonts w:hint="eastAsia"/>
          <w:sz w:val="24"/>
        </w:rPr>
        <w:t>七、一般公共预算财政拨款支出决算明细表</w:t>
      </w:r>
      <w:r>
        <w:rPr>
          <w:rFonts w:hint="eastAsia"/>
          <w:sz w:val="24"/>
          <w:lang w:val="en-US" w:eastAsia="zh-CN"/>
        </w:rPr>
        <w:t>.............................. ......16</w:t>
      </w:r>
    </w:p>
    <w:p w14:paraId="057ADA05">
      <w:pPr>
        <w:pStyle w:val="12"/>
        <w:adjustRightInd w:val="0"/>
        <w:snapToGrid w:val="0"/>
        <w:spacing w:line="440" w:lineRule="exact"/>
        <w:jc w:val="left"/>
        <w:rPr>
          <w:rFonts w:eastAsia="宋体"/>
          <w:sz w:val="24"/>
          <w:lang w:val="en-US" w:eastAsia="zh-CN"/>
        </w:rPr>
      </w:pPr>
      <w:r>
        <w:rPr>
          <w:rFonts w:hint="eastAsia"/>
          <w:sz w:val="24"/>
        </w:rPr>
        <w:t>八、一般公共预算财政拨款基本支出决算明细表</w:t>
      </w:r>
      <w:r>
        <w:rPr>
          <w:rFonts w:hint="eastAsia"/>
          <w:sz w:val="24"/>
          <w:lang w:val="en-US" w:eastAsia="zh-CN"/>
        </w:rPr>
        <w:t>.............................16</w:t>
      </w:r>
    </w:p>
    <w:p w14:paraId="47D76B4F">
      <w:pPr>
        <w:pStyle w:val="12"/>
        <w:adjustRightInd w:val="0"/>
        <w:snapToGrid w:val="0"/>
        <w:spacing w:line="440" w:lineRule="exact"/>
        <w:jc w:val="left"/>
        <w:rPr>
          <w:rFonts w:hint="eastAsia"/>
          <w:sz w:val="24"/>
          <w:lang w:val="en-US" w:eastAsia="zh-CN"/>
        </w:rPr>
      </w:pPr>
      <w:r>
        <w:rPr>
          <w:rFonts w:hint="eastAsia"/>
          <w:sz w:val="24"/>
        </w:rPr>
        <w:t>九、一般公共预算财政拨款项目支出决算表</w:t>
      </w:r>
      <w:r>
        <w:rPr>
          <w:rFonts w:hint="eastAsia"/>
          <w:sz w:val="24"/>
          <w:lang w:val="en-US" w:eastAsia="zh-CN"/>
        </w:rPr>
        <w:t>............................ ........16</w:t>
      </w:r>
    </w:p>
    <w:p w14:paraId="0E78431B">
      <w:pPr>
        <w:pStyle w:val="12"/>
        <w:adjustRightInd w:val="0"/>
        <w:snapToGrid w:val="0"/>
        <w:spacing w:line="440" w:lineRule="exact"/>
        <w:jc w:val="left"/>
        <w:rPr>
          <w:rFonts w:eastAsia="宋体"/>
          <w:sz w:val="24"/>
          <w:lang w:val="en-US" w:eastAsia="zh-CN"/>
        </w:rPr>
      </w:pPr>
      <w:r>
        <w:rPr>
          <w:rFonts w:hint="eastAsia"/>
          <w:sz w:val="24"/>
        </w:rPr>
        <w:t>十、政府性基金预算财政拨款收入支出决算表</w:t>
      </w:r>
      <w:r>
        <w:rPr>
          <w:rFonts w:hint="eastAsia"/>
          <w:sz w:val="24"/>
          <w:lang w:val="en-US" w:eastAsia="zh-CN"/>
        </w:rPr>
        <w:t>.....................................16</w:t>
      </w:r>
    </w:p>
    <w:p w14:paraId="3EE5F833">
      <w:pPr>
        <w:pStyle w:val="12"/>
        <w:adjustRightInd w:val="0"/>
        <w:snapToGrid w:val="0"/>
        <w:spacing w:line="440" w:lineRule="exact"/>
        <w:jc w:val="left"/>
        <w:rPr>
          <w:rFonts w:hint="eastAsia"/>
          <w:sz w:val="24"/>
          <w:lang w:val="en-US" w:eastAsia="zh-CN"/>
        </w:rPr>
      </w:pPr>
      <w:r>
        <w:rPr>
          <w:rFonts w:hint="eastAsia"/>
          <w:sz w:val="24"/>
        </w:rPr>
        <w:t>十一、国有资本经营预算财政拨款收入支出决算表</w:t>
      </w:r>
      <w:r>
        <w:rPr>
          <w:rFonts w:hint="eastAsia"/>
          <w:sz w:val="24"/>
          <w:lang w:val="en-US" w:eastAsia="zh-CN"/>
        </w:rPr>
        <w:t>................... .........16</w:t>
      </w:r>
    </w:p>
    <w:p w14:paraId="6DAED1C7">
      <w:pPr>
        <w:pStyle w:val="12"/>
        <w:adjustRightInd w:val="0"/>
        <w:snapToGrid w:val="0"/>
        <w:spacing w:line="440" w:lineRule="exact"/>
        <w:jc w:val="left"/>
        <w:rPr>
          <w:rFonts w:hint="eastAsia"/>
          <w:sz w:val="24"/>
          <w:lang w:val="en-US" w:eastAsia="zh-CN"/>
        </w:rPr>
      </w:pPr>
      <w:r>
        <w:rPr>
          <w:rFonts w:hint="eastAsia"/>
          <w:sz w:val="24"/>
        </w:rPr>
        <w:t>十二、国有资本经营预算财政拨款支出决算表</w:t>
      </w:r>
      <w:r>
        <w:rPr>
          <w:rFonts w:hint="eastAsia"/>
          <w:sz w:val="24"/>
          <w:lang w:val="en-US" w:eastAsia="zh-CN"/>
        </w:rPr>
        <w:t>................................. ...16</w:t>
      </w:r>
    </w:p>
    <w:p w14:paraId="33355F6E">
      <w:pPr>
        <w:pStyle w:val="12"/>
        <w:adjustRightInd w:val="0"/>
        <w:snapToGrid w:val="0"/>
        <w:spacing w:line="440" w:lineRule="exact"/>
        <w:jc w:val="left"/>
        <w:rPr>
          <w:rFonts w:hint="eastAsia" w:ascii="黑体" w:eastAsia="黑体"/>
          <w:b w:val="0"/>
        </w:rPr>
        <w:sectPr>
          <w:headerReference r:id="rId4" w:type="default"/>
          <w:pgSz w:w="11906" w:h="16838"/>
          <w:pgMar w:top="1440" w:right="1800" w:bottom="1440" w:left="1800" w:header="851" w:footer="992" w:gutter="0"/>
          <w:pgNumType w:fmt="decimal" w:start="1"/>
          <w:cols w:space="425" w:num="1"/>
          <w:docGrid w:type="lines" w:linePitch="312" w:charSpace="0"/>
        </w:sectPr>
      </w:pPr>
      <w:r>
        <w:rPr>
          <w:rFonts w:hint="eastAsia"/>
          <w:sz w:val="24"/>
        </w:rPr>
        <w:t>十三、财政拨款“三公”经费支出决算表</w:t>
      </w:r>
      <w:r>
        <w:rPr>
          <w:rFonts w:hint="eastAsia"/>
          <w:sz w:val="24"/>
          <w:lang w:val="en-US" w:eastAsia="zh-CN"/>
        </w:rPr>
        <w:t>.......................................... ..1</w:t>
      </w:r>
      <w:bookmarkEnd w:id="0"/>
      <w:bookmarkEnd w:id="1"/>
      <w:r>
        <w:rPr>
          <w:rFonts w:hint="eastAsia"/>
          <w:sz w:val="24"/>
          <w:lang w:val="en-US" w:eastAsia="zh-CN"/>
        </w:rPr>
        <w:t>6</w:t>
      </w:r>
    </w:p>
    <w:p w14:paraId="3DD3BF2B">
      <w:pPr>
        <w:pStyle w:val="3"/>
        <w:jc w:val="center"/>
        <w:rPr>
          <w:rFonts w:hint="eastAsia" w:ascii="黑体" w:eastAsia="黑体"/>
          <w:sz w:val="32"/>
          <w:szCs w:val="32"/>
        </w:rPr>
      </w:pPr>
      <w:r>
        <w:rPr>
          <w:rFonts w:hint="eastAsia" w:ascii="黑体" w:eastAsia="黑体"/>
          <w:b w:val="0"/>
        </w:rPr>
        <w:t xml:space="preserve">第一部分 </w:t>
      </w:r>
      <w:r>
        <w:rPr>
          <w:rFonts w:hint="eastAsia" w:ascii="黑体" w:eastAsia="黑体"/>
          <w:b w:val="0"/>
          <w:lang w:eastAsia="zh-CN"/>
        </w:rPr>
        <w:t>部门</w:t>
      </w:r>
      <w:r>
        <w:rPr>
          <w:rStyle w:val="16"/>
          <w:rFonts w:hint="eastAsia" w:ascii="黑体" w:eastAsia="黑体"/>
          <w:b/>
          <w:bCs/>
        </w:rPr>
        <w:t>概况</w:t>
      </w:r>
    </w:p>
    <w:p w14:paraId="7FF23550">
      <w:pPr>
        <w:pStyle w:val="4"/>
        <w:numPr>
          <w:ilvl w:val="0"/>
          <w:numId w:val="1"/>
        </w:numPr>
        <w:rPr>
          <w:rStyle w:val="17"/>
          <w:rFonts w:hint="eastAsia" w:ascii="黑体" w:eastAsia="黑体"/>
          <w:b/>
          <w:bCs/>
        </w:rPr>
      </w:pPr>
      <w:r>
        <w:rPr>
          <w:rStyle w:val="17"/>
          <w:rFonts w:hint="eastAsia" w:ascii="黑体" w:eastAsia="黑体"/>
          <w:b/>
          <w:bCs/>
        </w:rPr>
        <w:t>主要职责</w:t>
      </w:r>
    </w:p>
    <w:p w14:paraId="608286EF">
      <w:pPr>
        <w:pStyle w:val="18"/>
        <w:keepNext w:val="0"/>
        <w:keepLines w:val="0"/>
        <w:widowControl/>
        <w:suppressLineNumbers w:val="0"/>
        <w:spacing w:before="0" w:beforeAutospacing="0"/>
        <w:ind w:firstLine="640" w:firstLineChars="200"/>
        <w:jc w:val="left"/>
        <w:rPr>
          <w:rFonts w:hint="eastAsia" w:ascii="仿宋" w:eastAsia="仿宋" w:cs="Times New Roman"/>
          <w:kern w:val="2"/>
          <w:sz w:val="32"/>
          <w:szCs w:val="32"/>
          <w:lang w:val="en-US" w:eastAsia="zh-CN" w:bidi="ar-SA"/>
        </w:rPr>
      </w:pPr>
      <w:r>
        <w:rPr>
          <w:rFonts w:hint="eastAsia" w:ascii="仿宋" w:eastAsia="仿宋" w:cs="Times New Roman"/>
          <w:kern w:val="2"/>
          <w:sz w:val="32"/>
          <w:szCs w:val="32"/>
          <w:lang w:val="en-US" w:eastAsia="zh-CN" w:bidi="ar-SA"/>
        </w:rPr>
        <w:t xml:space="preserve">（1）根据县委、县政府关于若尔盖旅游发展的指导思想、战略目标和旅游总体规划，编制黄河九曲第一湾、花湖景区（以下简称景区）的中长期规划。按照总体规划，负责景区的新建、扩建和改建项目的申报、实施；负责核心景区内农（牧）家乐、旅游购物点、宾馆饭店等经营统一规划、布局。负责编制景区旅游项目库；负责组织景区旅游整体形象推广宣传和重大促销活动；负责策划、实施旅游节庆活动。 </w:t>
      </w:r>
    </w:p>
    <w:p w14:paraId="75DB6569">
      <w:pPr>
        <w:pStyle w:val="18"/>
        <w:keepNext w:val="0"/>
        <w:keepLines w:val="0"/>
        <w:widowControl/>
        <w:suppressLineNumbers w:val="0"/>
        <w:spacing w:before="0" w:beforeAutospacing="0"/>
        <w:ind w:firstLine="640" w:firstLineChars="200"/>
        <w:jc w:val="left"/>
        <w:rPr>
          <w:rFonts w:hint="eastAsia" w:ascii="仿宋" w:eastAsia="仿宋" w:cs="Times New Roman"/>
          <w:kern w:val="2"/>
          <w:sz w:val="32"/>
          <w:szCs w:val="32"/>
          <w:lang w:val="en-US" w:eastAsia="zh-CN" w:bidi="ar-SA"/>
        </w:rPr>
      </w:pPr>
      <w:r>
        <w:rPr>
          <w:rFonts w:hint="eastAsia" w:ascii="仿宋" w:eastAsia="仿宋" w:cs="Times New Roman"/>
          <w:kern w:val="2"/>
          <w:sz w:val="32"/>
          <w:szCs w:val="32"/>
          <w:lang w:val="en-US" w:eastAsia="zh-CN" w:bidi="ar-SA"/>
        </w:rPr>
        <w:t xml:space="preserve">（2）负责景区票务经营管理，统一归口承办优惠门票及免门票相关手续。 </w:t>
      </w:r>
    </w:p>
    <w:p w14:paraId="6E819932">
      <w:pPr>
        <w:pStyle w:val="18"/>
        <w:keepNext w:val="0"/>
        <w:keepLines w:val="0"/>
        <w:widowControl/>
        <w:suppressLineNumbers w:val="0"/>
        <w:spacing w:before="0" w:beforeAutospacing="0"/>
        <w:ind w:firstLine="640" w:firstLineChars="200"/>
        <w:jc w:val="left"/>
        <w:rPr>
          <w:rFonts w:hint="eastAsia" w:ascii="仿宋" w:eastAsia="仿宋" w:cs="Times New Roman"/>
          <w:kern w:val="2"/>
          <w:sz w:val="32"/>
          <w:szCs w:val="32"/>
          <w:lang w:val="en-US" w:eastAsia="zh-CN" w:bidi="ar-SA"/>
        </w:rPr>
      </w:pPr>
      <w:r>
        <w:rPr>
          <w:rFonts w:hint="eastAsia" w:ascii="仿宋" w:eastAsia="仿宋" w:cs="Times New Roman"/>
          <w:kern w:val="2"/>
          <w:sz w:val="32"/>
          <w:szCs w:val="32"/>
          <w:lang w:val="en-US" w:eastAsia="zh-CN" w:bidi="ar-SA"/>
        </w:rPr>
        <w:t xml:space="preserve">（3）负责保护景区资源和生态环境，维护景区的自然风貌和人文景观，确保景区可持续发展。 </w:t>
      </w:r>
    </w:p>
    <w:p w14:paraId="2D9F417B">
      <w:pPr>
        <w:pStyle w:val="18"/>
        <w:keepNext w:val="0"/>
        <w:keepLines w:val="0"/>
        <w:widowControl/>
        <w:suppressLineNumbers w:val="0"/>
        <w:spacing w:before="0" w:beforeAutospacing="0"/>
        <w:ind w:firstLine="640" w:firstLineChars="200"/>
        <w:jc w:val="left"/>
        <w:rPr>
          <w:rFonts w:hint="eastAsia" w:ascii="仿宋" w:eastAsia="仿宋" w:cs="Times New Roman"/>
          <w:kern w:val="2"/>
          <w:sz w:val="32"/>
          <w:szCs w:val="32"/>
          <w:lang w:val="en-US" w:eastAsia="zh-CN" w:bidi="ar-SA"/>
        </w:rPr>
      </w:pPr>
      <w:r>
        <w:rPr>
          <w:rFonts w:hint="eastAsia" w:ascii="仿宋" w:eastAsia="仿宋" w:cs="Times New Roman"/>
          <w:kern w:val="2"/>
          <w:sz w:val="32"/>
          <w:szCs w:val="32"/>
          <w:lang w:val="en-US" w:eastAsia="zh-CN" w:bidi="ar-SA"/>
        </w:rPr>
        <w:t>（4）负责对景区内举办展览、展销、文艺表演、影视拍摄和其他文化、商业等大型群众性文化活动</w:t>
      </w:r>
      <w:bookmarkStart w:id="47" w:name="_GoBack"/>
      <w:bookmarkEnd w:id="47"/>
      <w:r>
        <w:rPr>
          <w:rFonts w:hint="eastAsia" w:ascii="仿宋" w:eastAsia="仿宋" w:cs="Times New Roman"/>
          <w:kern w:val="2"/>
          <w:sz w:val="32"/>
          <w:szCs w:val="32"/>
          <w:lang w:val="en-US" w:eastAsia="zh-CN" w:bidi="ar-SA"/>
        </w:rPr>
        <w:t xml:space="preserve">初审备案，上报相关部门审批。 </w:t>
      </w:r>
    </w:p>
    <w:p w14:paraId="06E81E45">
      <w:pPr>
        <w:pStyle w:val="18"/>
        <w:keepNext w:val="0"/>
        <w:keepLines w:val="0"/>
        <w:widowControl/>
        <w:suppressLineNumbers w:val="0"/>
        <w:spacing w:before="0" w:beforeAutospacing="0"/>
        <w:ind w:firstLine="640" w:firstLineChars="200"/>
        <w:jc w:val="left"/>
        <w:rPr>
          <w:rFonts w:hint="eastAsia"/>
          <w:lang w:eastAsia="zh-CN"/>
        </w:rPr>
      </w:pPr>
      <w:r>
        <w:rPr>
          <w:rFonts w:hint="eastAsia" w:ascii="仿宋" w:eastAsia="仿宋" w:cs="Times New Roman"/>
          <w:kern w:val="2"/>
          <w:sz w:val="32"/>
          <w:szCs w:val="32"/>
          <w:lang w:val="en-US" w:eastAsia="zh-CN" w:bidi="ar-SA"/>
        </w:rPr>
        <w:t>（5）负责完善景区吃、住、行、游、购、娱等要素，加快实现景区的多元化经营，尽快产生旅游综合效益，为广大农牧民群众致富增收服好务。</w:t>
      </w:r>
    </w:p>
    <w:p w14:paraId="3F69346C">
      <w:pPr>
        <w:pStyle w:val="4"/>
        <w:numPr>
          <w:ilvl w:val="0"/>
          <w:numId w:val="1"/>
        </w:numPr>
        <w:ind w:left="0" w:firstLine="0"/>
        <w:rPr>
          <w:rFonts w:hint="eastAsia" w:ascii="黑体" w:eastAsia="黑体"/>
          <w:b w:val="0"/>
        </w:rPr>
      </w:pPr>
      <w:r>
        <w:rPr>
          <w:rFonts w:hint="eastAsia" w:ascii="黑体" w:eastAsia="黑体"/>
          <w:b w:val="0"/>
        </w:rPr>
        <w:t>机构设置</w:t>
      </w:r>
    </w:p>
    <w:p w14:paraId="66EA06A5">
      <w:pPr>
        <w:pStyle w:val="4"/>
        <w:ind w:left="0" w:firstLine="640" w:firstLineChars="200"/>
        <w:rPr>
          <w:rFonts w:hint="eastAsia" w:ascii="仿宋" w:eastAsia="仿宋" w:cs="Times New Roman"/>
          <w:b w:val="0"/>
          <w:bCs w:val="0"/>
          <w:kern w:val="2"/>
          <w:sz w:val="32"/>
          <w:szCs w:val="32"/>
          <w:lang w:val="en-US" w:eastAsia="zh-CN" w:bidi="ar-SA"/>
        </w:rPr>
      </w:pPr>
      <w:r>
        <w:rPr>
          <w:rFonts w:hint="eastAsia" w:ascii="仿宋" w:eastAsia="仿宋" w:cs="Times New Roman"/>
          <w:b w:val="0"/>
          <w:bCs w:val="0"/>
          <w:kern w:val="2"/>
          <w:sz w:val="32"/>
          <w:szCs w:val="32"/>
          <w:lang w:val="en-US" w:eastAsia="zh-CN" w:bidi="ar-SA"/>
        </w:rPr>
        <w:t>阿坝州若尔盖县旅游景区管理局下属二级单位0个，其中行政单位0个，参照公务员法管理的事业单位0个，其他事业单位1个。</w:t>
      </w:r>
    </w:p>
    <w:p w14:paraId="3703E617">
      <w:pPr>
        <w:pStyle w:val="3"/>
        <w:jc w:val="center"/>
        <w:rPr>
          <w:rFonts w:hint="eastAsia" w:ascii="Times New Roman" w:hAnsi="Times New Roman" w:eastAsia="方正小标宋简体" w:cs="方正小标宋简体"/>
          <w:b w:val="0"/>
          <w:color w:val="auto"/>
          <w:highlight w:val="none"/>
        </w:rPr>
      </w:pPr>
      <w:bookmarkStart w:id="2" w:name="_Toc15396602"/>
      <w:bookmarkStart w:id="3"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2"/>
      <w:bookmarkEnd w:id="3"/>
    </w:p>
    <w:p w14:paraId="4736F12D">
      <w:pPr>
        <w:rPr>
          <w:rFonts w:ascii="Times New Roman" w:hAnsi="Times New Roman"/>
          <w:color w:val="auto"/>
          <w:highlight w:val="none"/>
        </w:rPr>
      </w:pPr>
    </w:p>
    <w:p w14:paraId="052F3EBC">
      <w:pPr>
        <w:pStyle w:val="19"/>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17"/>
          <w:rFonts w:hint="eastAsia" w:ascii="Times New Roman" w:hAnsi="Times New Roman" w:eastAsia="黑体"/>
          <w:b w:val="0"/>
          <w:color w:val="auto"/>
          <w:highlight w:val="none"/>
        </w:rPr>
      </w:pPr>
      <w:bookmarkStart w:id="4" w:name="_Toc15377205"/>
      <w:bookmarkStart w:id="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17"/>
          <w:rFonts w:hint="eastAsia" w:ascii="Times New Roman" w:hAnsi="Times New Roman" w:eastAsia="黑体"/>
          <w:b w:val="0"/>
          <w:color w:val="auto"/>
          <w:highlight w:val="none"/>
        </w:rPr>
        <w:t>入支出决算总体情况说明</w:t>
      </w:r>
      <w:bookmarkEnd w:id="4"/>
      <w:bookmarkEnd w:id="5"/>
    </w:p>
    <w:p w14:paraId="4E0AF143">
      <w:pPr>
        <w:pStyle w:val="19"/>
        <w:keepNext w:val="0"/>
        <w:keepLines w:val="0"/>
        <w:pageBreakBefore w:val="0"/>
        <w:widowControl w:val="0"/>
        <w:kinsoku/>
        <w:wordWrap/>
        <w:overflowPunct/>
        <w:topLinePunct w:val="0"/>
        <w:autoSpaceDE/>
        <w:autoSpaceDN/>
        <w:bidi w:val="0"/>
        <w:adjustRightInd/>
        <w:snapToGrid/>
        <w:spacing w:line="600" w:lineRule="exact"/>
        <w:ind w:left="0" w:firstLine="420" w:firstLineChars="200"/>
        <w:textAlignment w:val="auto"/>
        <w:outlineLvl w:val="1"/>
        <w:rPr>
          <w:rFonts w:hint="eastAsia" w:ascii="仿宋" w:eastAsia="仿宋"/>
          <w:sz w:val="32"/>
          <w:szCs w:val="32"/>
          <w:lang w:eastAsia="zh-CN"/>
        </w:rPr>
      </w:pPr>
      <w:r>
        <w:drawing>
          <wp:anchor distT="0" distB="0" distL="114300" distR="114300" simplePos="0" relativeHeight="251662336" behindDoc="1" locked="0" layoutInCell="1" allowOverlap="1">
            <wp:simplePos x="0" y="0"/>
            <wp:positionH relativeFrom="column">
              <wp:posOffset>387985</wp:posOffset>
            </wp:positionH>
            <wp:positionV relativeFrom="paragraph">
              <wp:posOffset>1260475</wp:posOffset>
            </wp:positionV>
            <wp:extent cx="4572000" cy="2743200"/>
            <wp:effectExtent l="4445" t="4445" r="14605" b="14605"/>
            <wp:wrapTight wrapText="bothSides">
              <wp:wrapPolygon>
                <wp:start x="-21" y="-35"/>
                <wp:lineTo x="-21" y="21565"/>
                <wp:lineTo x="21579" y="21565"/>
                <wp:lineTo x="21579" y="-35"/>
                <wp:lineTo x="-21" y="-35"/>
              </wp:wrapPolygon>
            </wp:wrapTight>
            <wp:docPr id="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eastAsia="仿宋_GB2312" w:cs="仿宋_GB2312"/>
          <w:sz w:val="32"/>
          <w:szCs w:val="32"/>
          <w:lang w:val="en-US" w:eastAsia="zh-CN"/>
        </w:rPr>
        <w:t>2625.25</w:t>
      </w:r>
      <w:r>
        <w:rPr>
          <w:rFonts w:hint="eastAsia" w:eastAsia="仿宋_GB2312" w:cs="仿宋_GB2312"/>
          <w:color w:val="auto"/>
          <w:sz w:val="32"/>
          <w:szCs w:val="32"/>
          <w:highlight w:val="none"/>
          <w:lang w:eastAsia="zh-CN"/>
        </w:rPr>
        <w:t>万元</w:t>
      </w:r>
      <w:r>
        <w:rPr>
          <w:rFonts w:hint="eastAsia" w:ascii="Times New Roman" w:hAnsi="Times New Roman" w:eastAsia="仿宋_GB2312" w:cs="仿宋_GB2312"/>
          <w:color w:val="auto"/>
          <w:sz w:val="32"/>
          <w:szCs w:val="32"/>
          <w:highlight w:val="none"/>
        </w:rPr>
        <w:t>。与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18.89万元</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0.71</w:t>
      </w:r>
      <w:r>
        <w:rPr>
          <w:rFonts w:hint="eastAsia" w:ascii="Times New Roman" w:hAnsi="Times New Roman" w:eastAsia="仿宋_GB2312" w:cs="仿宋_GB2312"/>
          <w:color w:val="auto"/>
          <w:sz w:val="32"/>
          <w:szCs w:val="32"/>
          <w:highlight w:val="none"/>
        </w:rPr>
        <w:t>%。</w:t>
      </w:r>
      <w:r>
        <w:rPr>
          <w:rFonts w:hint="eastAsia" w:ascii="仿宋" w:eastAsia="仿宋"/>
          <w:sz w:val="32"/>
          <w:szCs w:val="32"/>
        </w:rPr>
        <w:t>主要变动原因是</w:t>
      </w:r>
      <w:r>
        <w:rPr>
          <w:rFonts w:hint="eastAsia" w:ascii="仿宋" w:eastAsia="仿宋"/>
          <w:sz w:val="32"/>
          <w:szCs w:val="32"/>
          <w:lang w:eastAsia="zh-CN"/>
        </w:rPr>
        <w:t>今年项目减少，所以总体减少。</w:t>
      </w:r>
    </w:p>
    <w:p w14:paraId="5376B734">
      <w:pPr>
        <w:pStyle w:val="19"/>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仿宋" w:eastAsia="仿宋"/>
          <w:sz w:val="32"/>
          <w:szCs w:val="32"/>
          <w:lang w:eastAsia="zh-CN"/>
        </w:rPr>
      </w:pPr>
    </w:p>
    <w:p w14:paraId="44C7AA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F27C47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6ED54CB8">
      <w:pPr>
        <w:pStyle w:val="19"/>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bookmarkStart w:id="6" w:name="_Toc15377206"/>
      <w:bookmarkStart w:id="7" w:name="_Toc15396604"/>
      <w:r>
        <w:rPr>
          <w:rFonts w:hint="eastAsia" w:ascii="Times New Roman" w:hAnsi="Times New Roman" w:eastAsia="黑体"/>
          <w:color w:val="auto"/>
          <w:sz w:val="32"/>
          <w:szCs w:val="32"/>
          <w:highlight w:val="none"/>
          <w:lang w:eastAsia="zh-CN"/>
        </w:rPr>
        <w:t>二、收入决算情况说明</w:t>
      </w:r>
      <w:bookmarkEnd w:id="6"/>
      <w:bookmarkEnd w:id="7"/>
    </w:p>
    <w:p w14:paraId="00CEE68D">
      <w:pPr>
        <w:pStyle w:val="19"/>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outlineLvl w:val="1"/>
        <w:rPr>
          <w:rFonts w:hint="eastAsia" w:ascii="仿宋_GB2312"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eastAsia="zh-CN"/>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年度本年收入合计</w:t>
      </w:r>
      <w:r>
        <w:rPr>
          <w:rFonts w:hint="eastAsia" w:ascii="仿宋_GB2312" w:eastAsia="仿宋_GB2312" w:cs="仿宋_GB2312"/>
          <w:sz w:val="32"/>
          <w:szCs w:val="32"/>
          <w:lang w:val="en-US" w:eastAsia="zh-CN"/>
        </w:rPr>
        <w:t>2625.25</w:t>
      </w:r>
      <w:r>
        <w:rPr>
          <w:rFonts w:hint="eastAsia" w:ascii="仿宋_GB2312" w:eastAsia="仿宋_GB2312" w:cs="仿宋_GB2312"/>
          <w:sz w:val="32"/>
          <w:szCs w:val="32"/>
          <w:lang w:eastAsia="zh-CN"/>
        </w:rPr>
        <w:t>万元</w:t>
      </w:r>
      <w:r>
        <w:rPr>
          <w:rFonts w:hint="eastAsia" w:ascii="仿宋_GB2312" w:eastAsia="仿宋_GB2312" w:cs="仿宋_GB2312"/>
          <w:sz w:val="32"/>
          <w:szCs w:val="32"/>
        </w:rPr>
        <w:t>，其中：一般公共预算财政拨款收入</w:t>
      </w:r>
      <w:r>
        <w:rPr>
          <w:rFonts w:hint="eastAsia" w:ascii="仿宋_GB2312" w:eastAsia="仿宋_GB2312" w:cs="仿宋_GB2312"/>
          <w:sz w:val="32"/>
          <w:szCs w:val="32"/>
          <w:lang w:val="en-US" w:eastAsia="zh-CN"/>
        </w:rPr>
        <w:t>349.6</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color w:val="auto"/>
          <w:sz w:val="32"/>
          <w:szCs w:val="32"/>
          <w:highlight w:val="none"/>
          <w:lang w:val="en-US" w:eastAsia="zh-CN"/>
        </w:rPr>
        <w:t>13.32</w:t>
      </w:r>
      <w:r>
        <w:rPr>
          <w:rFonts w:hint="eastAsia" w:ascii="仿宋_GB2312" w:eastAsia="仿宋_GB2312" w:cs="仿宋_GB2312"/>
          <w:color w:val="auto"/>
          <w:sz w:val="32"/>
          <w:szCs w:val="32"/>
          <w:highlight w:val="none"/>
          <w:lang w:eastAsia="zh-CN"/>
        </w:rPr>
        <w:t>%；政府性基金预算财政拨款收入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%；国有资本经营预算财政拨款收入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%；上级补助收入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%；事业收入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%；经营收入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%；附属单位上缴收入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%；其他收入</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%；年初结转和结余</w:t>
      </w:r>
      <w:r>
        <w:rPr>
          <w:rFonts w:hint="eastAsia" w:ascii="仿宋_GB2312" w:eastAsia="仿宋_GB2312" w:cs="仿宋_GB2312"/>
          <w:color w:val="auto"/>
          <w:sz w:val="32"/>
          <w:szCs w:val="32"/>
          <w:highlight w:val="none"/>
          <w:lang w:val="en-US" w:eastAsia="zh-CN"/>
        </w:rPr>
        <w:t>2275.65万元。</w:t>
      </w:r>
    </w:p>
    <w:p w14:paraId="7222EF11">
      <w:pPr>
        <w:pStyle w:val="19"/>
        <w:keepNext w:val="0"/>
        <w:keepLines w:val="0"/>
        <w:pageBreakBefore w:val="0"/>
        <w:widowControl w:val="0"/>
        <w:kinsoku/>
        <w:wordWrap/>
        <w:overflowPunct/>
        <w:topLinePunct w:val="0"/>
        <w:autoSpaceDE/>
        <w:autoSpaceDN/>
        <w:bidi w:val="0"/>
        <w:adjustRightInd/>
        <w:snapToGrid/>
        <w:spacing w:line="600" w:lineRule="exact"/>
        <w:ind w:left="0" w:firstLine="42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drawing>
          <wp:anchor distT="0" distB="0" distL="114300" distR="114300" simplePos="0" relativeHeight="251663360" behindDoc="1" locked="0" layoutInCell="1" allowOverlap="1">
            <wp:simplePos x="0" y="0"/>
            <wp:positionH relativeFrom="column">
              <wp:posOffset>328295</wp:posOffset>
            </wp:positionH>
            <wp:positionV relativeFrom="paragraph">
              <wp:posOffset>133350</wp:posOffset>
            </wp:positionV>
            <wp:extent cx="4572000" cy="2743200"/>
            <wp:effectExtent l="4445" t="4445" r="14605" b="14605"/>
            <wp:wrapTight wrapText="bothSides">
              <wp:wrapPolygon>
                <wp:start x="-21" y="-35"/>
                <wp:lineTo x="-21" y="21565"/>
                <wp:lineTo x="21579" y="21565"/>
                <wp:lineTo x="21579" y="-35"/>
                <wp:lineTo x="-21" y="-35"/>
              </wp:wrapPolygon>
            </wp:wrapTight>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203C282E">
      <w:pPr>
        <w:ind w:firstLine="1440" w:firstLineChars="4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51BC4B2">
      <w:pPr>
        <w:pStyle w:val="19"/>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17"/>
          <w:rFonts w:hint="eastAsia" w:ascii="Times New Roman" w:hAnsi="Times New Roman" w:eastAsia="黑体"/>
          <w:b w:val="0"/>
          <w:color w:val="auto"/>
          <w:highlight w:val="none"/>
        </w:rPr>
      </w:pPr>
      <w:bookmarkStart w:id="8" w:name="_Toc15396605"/>
      <w:bookmarkStart w:id="9"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17"/>
          <w:rFonts w:hint="eastAsia" w:ascii="Times New Roman" w:hAnsi="Times New Roman" w:eastAsia="黑体"/>
          <w:b w:val="0"/>
          <w:color w:val="auto"/>
          <w:highlight w:val="none"/>
        </w:rPr>
        <w:t>出决算情况说明</w:t>
      </w:r>
      <w:bookmarkEnd w:id="8"/>
      <w:bookmarkEnd w:id="9"/>
    </w:p>
    <w:p w14:paraId="7A734E54">
      <w:pPr>
        <w:pStyle w:val="19"/>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eastAsia="仿宋_GB2312" w:cs="仿宋_GB2312"/>
          <w:color w:val="auto"/>
          <w:sz w:val="32"/>
          <w:szCs w:val="32"/>
          <w:highlight w:val="none"/>
          <w:lang w:eastAsia="zh-CN"/>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年度本年支出合计</w:t>
      </w:r>
      <w:r>
        <w:rPr>
          <w:rFonts w:hint="eastAsia" w:ascii="仿宋_GB2312" w:eastAsia="仿宋_GB2312" w:cs="仿宋_GB2312"/>
          <w:sz w:val="32"/>
          <w:szCs w:val="32"/>
          <w:lang w:val="en-US" w:eastAsia="zh-CN"/>
        </w:rPr>
        <w:t>2625.25</w:t>
      </w:r>
      <w:r>
        <w:rPr>
          <w:rFonts w:hint="eastAsia" w:ascii="仿宋_GB2312" w:eastAsia="仿宋_GB2312" w:cs="仿宋_GB2312"/>
          <w:color w:val="auto"/>
          <w:sz w:val="32"/>
          <w:szCs w:val="32"/>
          <w:highlight w:val="none"/>
          <w:lang w:eastAsia="zh-CN"/>
        </w:rPr>
        <w:t>万元，其中：基本支出</w:t>
      </w:r>
      <w:r>
        <w:rPr>
          <w:rFonts w:hint="eastAsia" w:ascii="仿宋_GB2312" w:eastAsia="仿宋_GB2312" w:cs="仿宋_GB2312"/>
          <w:sz w:val="32"/>
          <w:szCs w:val="32"/>
          <w:lang w:val="en-US" w:eastAsia="zh-CN"/>
        </w:rPr>
        <w:t>336.6</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lang w:val="en-US" w:eastAsia="zh-CN"/>
        </w:rPr>
        <w:t>12.82</w:t>
      </w:r>
      <w:r>
        <w:rPr>
          <w:rFonts w:hint="eastAsia" w:ascii="仿宋_GB2312" w:eastAsia="仿宋_GB2312" w:cs="仿宋_GB2312"/>
          <w:color w:val="auto"/>
          <w:sz w:val="32"/>
          <w:szCs w:val="32"/>
          <w:highlight w:val="none"/>
          <w:lang w:eastAsia="zh-CN"/>
        </w:rPr>
        <w:t>%；项目支出</w:t>
      </w:r>
      <w:r>
        <w:rPr>
          <w:rFonts w:hint="eastAsia" w:ascii="仿宋_GB2312" w:eastAsia="仿宋_GB2312" w:cs="仿宋_GB2312"/>
          <w:sz w:val="32"/>
          <w:szCs w:val="32"/>
          <w:lang w:val="en-US" w:eastAsia="zh-CN"/>
        </w:rPr>
        <w:t>2288.65</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color w:val="auto"/>
          <w:sz w:val="32"/>
          <w:szCs w:val="32"/>
          <w:highlight w:val="none"/>
          <w:lang w:val="en-US" w:eastAsia="zh-CN"/>
        </w:rPr>
        <w:t>87.17</w:t>
      </w:r>
      <w:r>
        <w:rPr>
          <w:rFonts w:hint="eastAsia" w:ascii="仿宋_GB2312" w:eastAsia="仿宋_GB2312" w:cs="仿宋_GB2312"/>
          <w:color w:val="auto"/>
          <w:sz w:val="32"/>
          <w:szCs w:val="32"/>
          <w:highlight w:val="none"/>
          <w:lang w:eastAsia="zh-CN"/>
        </w:rPr>
        <w:t>%；上缴上级支出</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%；经营支出</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%；对附属单位补助支出</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万元，占</w:t>
      </w:r>
      <w:r>
        <w:rPr>
          <w:rFonts w:hint="eastAsia" w:ascii="仿宋_GB2312" w:eastAsia="仿宋_GB2312" w:cs="仿宋_GB2312"/>
          <w:sz w:val="32"/>
          <w:szCs w:val="32"/>
        </w:rPr>
        <w:t>0%</w:t>
      </w:r>
      <w:r>
        <w:rPr>
          <w:rFonts w:hint="eastAsia" w:ascii="仿宋_GB2312" w:eastAsia="仿宋_GB2312" w:cs="仿宋_GB2312"/>
          <w:color w:val="auto"/>
          <w:sz w:val="32"/>
          <w:szCs w:val="32"/>
          <w:highlight w:val="none"/>
          <w:lang w:eastAsia="zh-CN"/>
        </w:rPr>
        <w:t>。</w:t>
      </w:r>
    </w:p>
    <w:p w14:paraId="27DC80A8">
      <w:pPr>
        <w:ind w:firstLine="525" w:firstLineChars="250"/>
        <w:rPr>
          <w:rFonts w:hint="eastAsia" w:ascii="Times New Roman" w:hAnsi="Times New Roman" w:eastAsia="仿宋_GB2312" w:cs="仿宋_GB2312"/>
          <w:color w:val="auto"/>
          <w:sz w:val="32"/>
          <w:szCs w:val="32"/>
          <w:highlight w:val="none"/>
          <w:lang w:eastAsia="zh-CN"/>
        </w:rPr>
      </w:pPr>
      <w:r>
        <w:rPr>
          <w:rFonts w:hint="eastAsia"/>
          <w:lang w:val="en-US" w:eastAsia="zh-CN"/>
        </w:rPr>
        <w:drawing>
          <wp:anchor distT="0" distB="0" distL="114935" distR="114935" simplePos="0" relativeHeight="251659264" behindDoc="0" locked="0" layoutInCell="1" allowOverlap="1">
            <wp:simplePos x="0" y="0"/>
            <wp:positionH relativeFrom="column">
              <wp:posOffset>607060</wp:posOffset>
            </wp:positionH>
            <wp:positionV relativeFrom="paragraph">
              <wp:posOffset>-8827770</wp:posOffset>
            </wp:positionV>
            <wp:extent cx="3851910" cy="3038475"/>
            <wp:effectExtent l="4445" t="4445" r="10795" b="5080"/>
            <wp:wrapTight wrapText="bothSides">
              <wp:wrapPolygon>
                <wp:start x="-25" y="-32"/>
                <wp:lineTo x="-25" y="21501"/>
                <wp:lineTo x="21554" y="21501"/>
                <wp:lineTo x="21554" y="-32"/>
                <wp:lineTo x="-25" y="-32"/>
              </wp:wrapPolygon>
            </wp:wrapTight>
            <wp:docPr id="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4E042E6A">
      <w:pPr>
        <w:ind w:firstLine="800" w:firstLineChars="250"/>
        <w:rPr>
          <w:rFonts w:hint="eastAsia" w:ascii="Times New Roman" w:hAnsi="Times New Roman" w:eastAsia="仿宋_GB2312" w:cs="仿宋_GB2312"/>
          <w:color w:val="auto"/>
          <w:sz w:val="32"/>
          <w:szCs w:val="32"/>
          <w:highlight w:val="none"/>
          <w:lang w:eastAsia="zh-CN"/>
        </w:rPr>
      </w:pPr>
    </w:p>
    <w:p w14:paraId="1C03DCDC">
      <w:pPr>
        <w:ind w:firstLine="800" w:firstLineChars="250"/>
        <w:rPr>
          <w:rFonts w:hint="eastAsia" w:ascii="Times New Roman" w:hAnsi="Times New Roman" w:eastAsia="仿宋_GB2312" w:cs="仿宋_GB2312"/>
          <w:color w:val="auto"/>
          <w:sz w:val="32"/>
          <w:szCs w:val="32"/>
          <w:highlight w:val="none"/>
          <w:lang w:eastAsia="zh-CN"/>
        </w:rPr>
      </w:pPr>
    </w:p>
    <w:p w14:paraId="019C1DCC">
      <w:pPr>
        <w:ind w:firstLine="800" w:firstLineChars="250"/>
        <w:rPr>
          <w:rFonts w:hint="eastAsia" w:ascii="Times New Roman" w:hAnsi="Times New Roman" w:eastAsia="仿宋_GB2312" w:cs="仿宋_GB2312"/>
          <w:color w:val="auto"/>
          <w:sz w:val="32"/>
          <w:szCs w:val="32"/>
          <w:highlight w:val="none"/>
          <w:lang w:eastAsia="zh-CN"/>
        </w:rPr>
      </w:pPr>
    </w:p>
    <w:p w14:paraId="36694A5D">
      <w:pPr>
        <w:rPr>
          <w:rFonts w:hint="eastAsia" w:ascii="Times New Roman" w:hAnsi="Times New Roman" w:eastAsia="仿宋_GB2312" w:cs="仿宋_GB2312"/>
          <w:color w:val="auto"/>
          <w:sz w:val="32"/>
          <w:szCs w:val="32"/>
          <w:highlight w:val="none"/>
          <w:lang w:eastAsia="zh-CN"/>
        </w:rPr>
      </w:pPr>
    </w:p>
    <w:p w14:paraId="22050935">
      <w:pPr>
        <w:rPr>
          <w:rFonts w:hint="eastAsia" w:ascii="Times New Roman" w:hAnsi="Times New Roman" w:eastAsia="仿宋_GB2312" w:cs="仿宋_GB2312"/>
          <w:color w:val="auto"/>
          <w:sz w:val="32"/>
          <w:szCs w:val="32"/>
          <w:highlight w:val="none"/>
          <w:lang w:eastAsia="zh-CN"/>
        </w:rPr>
      </w:pPr>
    </w:p>
    <w:p w14:paraId="6ED6CB60">
      <w:pPr>
        <w:ind w:firstLine="1280" w:firstLineChars="4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7F991180">
      <w:pPr>
        <w:spacing w:line="600" w:lineRule="exact"/>
        <w:ind w:firstLine="640" w:firstLineChars="200"/>
        <w:outlineLvl w:val="1"/>
        <w:rPr>
          <w:rStyle w:val="17"/>
          <w:rFonts w:ascii="Times New Roman" w:hAnsi="Times New Roman" w:eastAsia="黑体"/>
          <w:b w:val="0"/>
          <w:color w:val="auto"/>
          <w:highlight w:val="none"/>
        </w:rPr>
      </w:pPr>
      <w:bookmarkStart w:id="10" w:name="_Toc15377208"/>
      <w:bookmarkStart w:id="11" w:name="_Toc15396606"/>
      <w:r>
        <w:rPr>
          <w:rFonts w:hint="eastAsia" w:ascii="Times New Roman" w:hAnsi="Times New Roman" w:eastAsia="黑体"/>
          <w:color w:val="auto"/>
          <w:sz w:val="32"/>
          <w:szCs w:val="32"/>
          <w:highlight w:val="none"/>
        </w:rPr>
        <w:t>四、财</w:t>
      </w:r>
      <w:r>
        <w:rPr>
          <w:rStyle w:val="17"/>
          <w:rFonts w:hint="eastAsia" w:ascii="Times New Roman" w:hAnsi="Times New Roman" w:eastAsia="黑体"/>
          <w:b w:val="0"/>
          <w:color w:val="auto"/>
          <w:highlight w:val="none"/>
        </w:rPr>
        <w:t>政拨款收入支出决算总体情况说明</w:t>
      </w:r>
      <w:bookmarkEnd w:id="10"/>
      <w:bookmarkEnd w:id="11"/>
    </w:p>
    <w:p w14:paraId="2F6F15F5">
      <w:pPr>
        <w:spacing w:line="600" w:lineRule="exact"/>
        <w:ind w:firstLine="640"/>
        <w:rPr>
          <w:rFonts w:hint="eastAsia" w:ascii="仿宋" w:eastAsia="仿宋"/>
          <w:sz w:val="32"/>
          <w:szCs w:val="32"/>
          <w:lang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eastAsia="仿宋_GB2312" w:cs="仿宋_GB2312"/>
          <w:sz w:val="32"/>
          <w:szCs w:val="32"/>
          <w:lang w:val="en-US" w:eastAsia="zh-CN"/>
        </w:rPr>
        <w:t>2625.25</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eastAsia="zh-CN"/>
        </w:rPr>
        <w:t>各减少</w:t>
      </w:r>
      <w:r>
        <w:rPr>
          <w:rFonts w:hint="eastAsia" w:eastAsia="仿宋_GB2312" w:cs="仿宋_GB2312"/>
          <w:color w:val="auto"/>
          <w:sz w:val="32"/>
          <w:szCs w:val="32"/>
          <w:highlight w:val="none"/>
          <w:lang w:val="en-US" w:eastAsia="zh-CN"/>
        </w:rPr>
        <w:t>18.9万元</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0.71</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ascii="仿宋" w:eastAsia="仿宋"/>
          <w:sz w:val="32"/>
          <w:szCs w:val="32"/>
          <w:lang w:eastAsia="zh-CN"/>
        </w:rPr>
        <w:t>今年项目减少，所以总体减少。</w:t>
      </w:r>
    </w:p>
    <w:p w14:paraId="47C86EA0">
      <w:pPr>
        <w:pStyle w:val="11"/>
        <w:rPr>
          <w:rFonts w:hint="eastAsia" w:ascii="仿宋" w:eastAsia="仿宋"/>
          <w:sz w:val="32"/>
          <w:szCs w:val="32"/>
          <w:lang w:eastAsia="zh-CN"/>
        </w:rPr>
      </w:pPr>
      <w:r>
        <w:drawing>
          <wp:anchor distT="0" distB="0" distL="114300" distR="114300" simplePos="0" relativeHeight="251660288" behindDoc="1" locked="0" layoutInCell="1" allowOverlap="1">
            <wp:simplePos x="0" y="0"/>
            <wp:positionH relativeFrom="column">
              <wp:posOffset>171450</wp:posOffset>
            </wp:positionH>
            <wp:positionV relativeFrom="paragraph">
              <wp:posOffset>149225</wp:posOffset>
            </wp:positionV>
            <wp:extent cx="4572000" cy="2743200"/>
            <wp:effectExtent l="4445" t="4445" r="14605" b="14605"/>
            <wp:wrapTight wrapText="bothSides">
              <wp:wrapPolygon>
                <wp:start x="-21" y="-35"/>
                <wp:lineTo x="-21" y="21565"/>
                <wp:lineTo x="21579" y="21565"/>
                <wp:lineTo x="21579" y="-35"/>
                <wp:lineTo x="-21" y="-35"/>
              </wp:wrapPolygon>
            </wp:wrapTight>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781FAAD9">
      <w:pPr>
        <w:pStyle w:val="7"/>
        <w:rPr>
          <w:rFonts w:hint="eastAsia" w:ascii="仿宋" w:eastAsia="仿宋"/>
          <w:sz w:val="32"/>
          <w:szCs w:val="32"/>
          <w:lang w:eastAsia="zh-CN"/>
        </w:rPr>
      </w:pPr>
    </w:p>
    <w:p w14:paraId="298F2346">
      <w:pPr>
        <w:pStyle w:val="7"/>
        <w:rPr>
          <w:rFonts w:hint="eastAsia" w:ascii="仿宋" w:eastAsia="仿宋"/>
          <w:sz w:val="32"/>
          <w:szCs w:val="32"/>
          <w:lang w:eastAsia="zh-CN"/>
        </w:rPr>
      </w:pPr>
    </w:p>
    <w:p w14:paraId="55455AA7">
      <w:pPr>
        <w:pStyle w:val="7"/>
        <w:rPr>
          <w:rFonts w:hint="eastAsia" w:ascii="仿宋" w:eastAsia="仿宋"/>
          <w:sz w:val="32"/>
          <w:szCs w:val="32"/>
          <w:lang w:eastAsia="zh-CN"/>
        </w:rPr>
      </w:pPr>
    </w:p>
    <w:p w14:paraId="422D3965">
      <w:pPr>
        <w:pStyle w:val="7"/>
        <w:rPr>
          <w:rFonts w:hint="eastAsia" w:ascii="仿宋" w:eastAsia="仿宋"/>
          <w:sz w:val="32"/>
          <w:szCs w:val="32"/>
          <w:lang w:eastAsia="zh-CN"/>
        </w:rPr>
      </w:pPr>
    </w:p>
    <w:p w14:paraId="72321FBE">
      <w:pPr>
        <w:pStyle w:val="11"/>
        <w:rPr>
          <w:rFonts w:hint="eastAsia"/>
          <w:lang w:eastAsia="zh-CN"/>
        </w:rPr>
      </w:pPr>
    </w:p>
    <w:p w14:paraId="287197F0">
      <w:pPr>
        <w:pStyle w:val="11"/>
        <w:rPr>
          <w:rFonts w:hint="eastAsia"/>
          <w:lang w:val="en-US" w:eastAsia="zh-CN"/>
        </w:rPr>
      </w:pPr>
    </w:p>
    <w:p w14:paraId="3E07ED3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67E2AE7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62E342F">
      <w:pPr>
        <w:spacing w:line="600" w:lineRule="exact"/>
        <w:ind w:firstLine="640" w:firstLineChars="200"/>
        <w:outlineLvl w:val="1"/>
        <w:rPr>
          <w:rStyle w:val="17"/>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17"/>
          <w:rFonts w:hint="eastAsia" w:ascii="Times New Roman" w:hAnsi="Times New Roman" w:eastAsia="黑体"/>
          <w:b w:val="0"/>
          <w:color w:val="auto"/>
          <w:highlight w:val="none"/>
        </w:rPr>
        <w:t>般公共预算财政拨款支出决算情况说明</w:t>
      </w:r>
    </w:p>
    <w:p w14:paraId="44A42CD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12"/>
    </w:p>
    <w:p w14:paraId="4A6B1DBD">
      <w:pPr>
        <w:spacing w:line="600" w:lineRule="exact"/>
        <w:ind w:firstLine="640"/>
        <w:rPr>
          <w:rFonts w:hint="eastAsia" w:ascii="仿宋" w:eastAsia="仿宋"/>
          <w:sz w:val="32"/>
          <w:szCs w:val="32"/>
          <w:lang w:eastAsia="zh-CN"/>
        </w:rPr>
      </w:pPr>
      <w:r>
        <w:rPr>
          <w:rFonts w:hint="eastAsia" w:ascii="仿宋_GB2312" w:eastAsia="仿宋_GB2312" w:cs="仿宋_GB2312"/>
          <w:color w:val="auto"/>
          <w:kern w:val="2"/>
          <w:sz w:val="32"/>
          <w:szCs w:val="32"/>
          <w:highlight w:val="none"/>
          <w:lang w:val="en-US" w:eastAsia="zh-CN" w:bidi="ar-SA"/>
        </w:rPr>
        <w:t>2025年度一般公共预算财政拨款支出</w:t>
      </w:r>
      <w:r>
        <w:rPr>
          <w:rFonts w:hint="eastAsia" w:ascii="仿宋_GB2312" w:eastAsia="仿宋_GB2312" w:cs="仿宋_GB2312"/>
          <w:sz w:val="32"/>
          <w:szCs w:val="32"/>
          <w:lang w:val="en-US" w:eastAsia="zh-CN"/>
        </w:rPr>
        <w:t>2625.25</w:t>
      </w:r>
      <w:r>
        <w:rPr>
          <w:rFonts w:hint="eastAsia" w:ascii="仿宋_GB2312"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rPr>
        <w:t>100</w:t>
      </w:r>
      <w:r>
        <w:rPr>
          <w:rFonts w:hint="eastAsia" w:ascii="仿宋_GB2312" w:eastAsia="仿宋_GB2312" w:cs="仿宋_GB2312"/>
          <w:color w:val="auto"/>
          <w:kern w:val="2"/>
          <w:sz w:val="32"/>
          <w:szCs w:val="32"/>
          <w:highlight w:val="none"/>
          <w:lang w:val="en-US" w:eastAsia="zh-CN" w:bidi="ar-SA"/>
        </w:rPr>
        <w:t>%。与2024年度相比，</w:t>
      </w:r>
      <w:r>
        <w:rPr>
          <w:rFonts w:hint="eastAsia" w:ascii="Times New Roman" w:hAnsi="Times New Roman" w:eastAsia="仿宋_GB2312" w:cs="仿宋_GB2312"/>
          <w:color w:val="auto"/>
          <w:sz w:val="32"/>
          <w:szCs w:val="32"/>
          <w:highlight w:val="none"/>
        </w:rPr>
        <w:t>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eastAsia="zh-CN"/>
        </w:rPr>
        <w:t>各减少</w:t>
      </w:r>
      <w:r>
        <w:rPr>
          <w:rFonts w:hint="eastAsia" w:eastAsia="仿宋_GB2312" w:cs="仿宋_GB2312"/>
          <w:color w:val="auto"/>
          <w:sz w:val="32"/>
          <w:szCs w:val="32"/>
          <w:highlight w:val="none"/>
          <w:lang w:val="en-US" w:eastAsia="zh-CN"/>
        </w:rPr>
        <w:t>18.9万元</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0.71</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ascii="仿宋" w:eastAsia="仿宋"/>
          <w:sz w:val="32"/>
          <w:szCs w:val="32"/>
        </w:rPr>
        <w:t>主要变动原因是</w:t>
      </w:r>
      <w:r>
        <w:rPr>
          <w:rFonts w:hint="eastAsia" w:ascii="仿宋" w:eastAsia="仿宋"/>
          <w:sz w:val="32"/>
          <w:szCs w:val="32"/>
          <w:lang w:eastAsia="zh-CN"/>
        </w:rPr>
        <w:t>今年项目减少，所以总体减少。</w:t>
      </w:r>
    </w:p>
    <w:p w14:paraId="2AD6227E">
      <w:pPr>
        <w:spacing w:line="600" w:lineRule="exact"/>
        <w:ind w:firstLine="640"/>
        <w:rPr>
          <w:rFonts w:hint="eastAsia" w:ascii="仿宋" w:eastAsia="仿宋"/>
          <w:sz w:val="32"/>
          <w:szCs w:val="32"/>
          <w:lang w:eastAsia="zh-CN"/>
        </w:rPr>
      </w:pPr>
      <w:r>
        <w:drawing>
          <wp:anchor distT="0" distB="0" distL="114300" distR="114300" simplePos="0" relativeHeight="251661312" behindDoc="1" locked="0" layoutInCell="1" allowOverlap="1">
            <wp:simplePos x="0" y="0"/>
            <wp:positionH relativeFrom="column">
              <wp:posOffset>340995</wp:posOffset>
            </wp:positionH>
            <wp:positionV relativeFrom="paragraph">
              <wp:posOffset>128270</wp:posOffset>
            </wp:positionV>
            <wp:extent cx="4572000" cy="2743200"/>
            <wp:effectExtent l="4445" t="4445" r="14605" b="14605"/>
            <wp:wrapTight wrapText="bothSides">
              <wp:wrapPolygon>
                <wp:start x="-21" y="-35"/>
                <wp:lineTo x="-21" y="21565"/>
                <wp:lineTo x="21579" y="21565"/>
                <wp:lineTo x="21579" y="-35"/>
                <wp:lineTo x="-21" y="-35"/>
              </wp:wrapPolygon>
            </wp:wrapTight>
            <wp:docPr id="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7459DF1C">
      <w:pPr>
        <w:pStyle w:val="11"/>
        <w:rPr>
          <w:rFonts w:hint="eastAsia"/>
          <w:lang w:val="en-US" w:eastAsia="zh-CN"/>
        </w:rPr>
      </w:pPr>
    </w:p>
    <w:p w14:paraId="06EAD8D6">
      <w:pPr>
        <w:pStyle w:val="11"/>
        <w:rPr>
          <w:rFonts w:hint="eastAsia"/>
          <w:lang w:val="en-US" w:eastAsia="zh-CN"/>
        </w:rPr>
      </w:pPr>
    </w:p>
    <w:p w14:paraId="4324D24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EDE78B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AD44F74">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C8D8C79">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443F19F">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06CF974">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689487A">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BB346D3">
      <w:pPr>
        <w:numPr>
          <w:ilvl w:val="0"/>
          <w:numId w:val="2"/>
        </w:numPr>
        <w:spacing w:line="600" w:lineRule="exact"/>
        <w:ind w:left="0" w:firstLine="321" w:firstLineChars="100"/>
        <w:outlineLvl w:val="2"/>
        <w:rPr>
          <w:rFonts w:hint="eastAsia" w:ascii="Times New Roman" w:hAnsi="Times New Roman" w:eastAsia="楷体_GB2312" w:cs="楷体_GB2312"/>
          <w:b/>
          <w:color w:val="auto"/>
          <w:sz w:val="32"/>
          <w:szCs w:val="32"/>
          <w:highlight w:val="none"/>
        </w:rPr>
      </w:pPr>
      <w:bookmarkStart w:id="13" w:name="_Toc15377211"/>
      <w:r>
        <w:rPr>
          <w:rFonts w:hint="eastAsia" w:ascii="Times New Roman" w:hAnsi="Times New Roman" w:eastAsia="楷体_GB2312" w:cs="楷体_GB2312"/>
          <w:b/>
          <w:color w:val="auto"/>
          <w:sz w:val="32"/>
          <w:szCs w:val="32"/>
          <w:highlight w:val="none"/>
        </w:rPr>
        <w:t>一般公共预算财政拨款支出决算结构情况</w:t>
      </w:r>
      <w:bookmarkEnd w:id="13"/>
    </w:p>
    <w:p w14:paraId="61423C0B">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left="283" w:leftChars="0" w:right="0" w:rightChars="0" w:firstLine="640" w:firstLineChars="200"/>
        <w:jc w:val="both"/>
        <w:textAlignment w:val="auto"/>
        <w:outlineLvl w:val="9"/>
        <w:rPr>
          <w:rFonts w:ascii="仿宋" w:hAnsi="仿宋" w:eastAsia="仿宋" w:cs="仿宋"/>
          <w:w w:val="100"/>
          <w:kern w:val="0"/>
          <w:sz w:val="30"/>
          <w:szCs w:val="30"/>
        </w:rPr>
      </w:pPr>
      <w:r>
        <w:rPr>
          <w:rFonts w:hint="eastAsia" w:ascii="Times New Roman" w:hAnsi="Times New Roman" w:eastAsia="仿宋_GB2312" w:cs="仿宋_GB2312"/>
          <w:color w:val="auto"/>
          <w:w w:val="100"/>
          <w:kern w:val="2"/>
          <w:sz w:val="32"/>
          <w:szCs w:val="32"/>
          <w:highlight w:val="none"/>
          <w:lang w:val="en-US" w:eastAsia="zh-CN" w:bidi="ar-SA"/>
        </w:rPr>
        <w:t>202</w:t>
      </w:r>
      <w:r>
        <w:rPr>
          <w:rFonts w:hint="eastAsia" w:eastAsia="仿宋_GB2312" w:cs="仿宋_GB2312"/>
          <w:color w:val="auto"/>
          <w:w w:val="100"/>
          <w:kern w:val="2"/>
          <w:sz w:val="32"/>
          <w:szCs w:val="32"/>
          <w:highlight w:val="none"/>
          <w:lang w:val="en-US" w:eastAsia="zh-CN" w:bidi="ar-SA"/>
        </w:rPr>
        <w:t>5</w:t>
      </w:r>
      <w:r>
        <w:rPr>
          <w:rFonts w:hint="eastAsia" w:ascii="Times New Roman" w:hAnsi="Times New Roman" w:eastAsia="仿宋_GB2312" w:cs="仿宋_GB2312"/>
          <w:color w:val="auto"/>
          <w:w w:val="100"/>
          <w:kern w:val="2"/>
          <w:sz w:val="32"/>
          <w:szCs w:val="32"/>
          <w:highlight w:val="none"/>
          <w:lang w:val="en-US" w:eastAsia="zh-CN" w:bidi="ar-SA"/>
        </w:rPr>
        <w:t>年度一般公共预算财政拨款支出</w:t>
      </w:r>
      <w:r>
        <w:rPr>
          <w:rFonts w:hint="eastAsia" w:ascii="仿宋_GB2312" w:eastAsia="仿宋_GB2312" w:cs="仿宋_GB2312"/>
          <w:w w:val="100"/>
          <w:sz w:val="32"/>
          <w:szCs w:val="32"/>
          <w:lang w:val="en-US" w:eastAsia="zh-CN"/>
        </w:rPr>
        <w:t>2625.25</w:t>
      </w:r>
      <w:r>
        <w:rPr>
          <w:rFonts w:hint="eastAsia" w:ascii="仿宋_GB2312" w:eastAsia="仿宋_GB2312" w:cs="仿宋_GB2312"/>
          <w:color w:val="auto"/>
          <w:w w:val="100"/>
          <w:kern w:val="2"/>
          <w:sz w:val="32"/>
          <w:szCs w:val="32"/>
          <w:highlight w:val="none"/>
          <w:lang w:val="en-US" w:eastAsia="zh-CN" w:bidi="ar-SA"/>
        </w:rPr>
        <w:t>万元</w:t>
      </w:r>
      <w:r>
        <w:rPr>
          <w:rFonts w:hint="eastAsia" w:ascii="Times New Roman" w:hAnsi="Times New Roman" w:eastAsia="仿宋_GB2312" w:cs="仿宋_GB2312"/>
          <w:color w:val="auto"/>
          <w:w w:val="100"/>
          <w:kern w:val="2"/>
          <w:sz w:val="32"/>
          <w:szCs w:val="32"/>
          <w:highlight w:val="none"/>
          <w:lang w:val="en-US" w:eastAsia="zh-CN" w:bidi="ar-SA"/>
        </w:rPr>
        <w:t>，主要用于以下方面</w:t>
      </w:r>
      <w:r>
        <w:rPr>
          <w:rFonts w:hint="eastAsia" w:ascii="仿宋" w:eastAsia="仿宋"/>
          <w:w w:val="100"/>
          <w:sz w:val="32"/>
          <w:szCs w:val="32"/>
        </w:rPr>
        <w:t>:</w:t>
      </w:r>
      <w:r>
        <w:rPr>
          <w:rFonts w:hint="eastAsia" w:ascii="仿宋" w:eastAsia="仿宋"/>
          <w:w w:val="100"/>
          <w:sz w:val="30"/>
          <w:szCs w:val="30"/>
        </w:rPr>
        <w:t>一般公共服务支出为0.00</w:t>
      </w:r>
      <w:r>
        <w:rPr>
          <w:rFonts w:hint="eastAsia" w:ascii="仿宋" w:eastAsia="仿宋"/>
          <w:w w:val="100"/>
          <w:sz w:val="30"/>
          <w:szCs w:val="30"/>
          <w:lang w:eastAsia="zh-CN"/>
        </w:rPr>
        <w:t>万元</w:t>
      </w:r>
      <w:r>
        <w:rPr>
          <w:rFonts w:hint="eastAsia" w:ascii="仿宋" w:eastAsia="仿宋"/>
          <w:w w:val="100"/>
          <w:sz w:val="30"/>
          <w:szCs w:val="30"/>
        </w:rPr>
        <w:t>，占比0.00%；教育支出为0.00</w:t>
      </w:r>
      <w:r>
        <w:rPr>
          <w:rFonts w:hint="eastAsia" w:ascii="仿宋" w:eastAsia="仿宋"/>
          <w:w w:val="100"/>
          <w:sz w:val="30"/>
          <w:szCs w:val="30"/>
          <w:lang w:eastAsia="zh-CN"/>
        </w:rPr>
        <w:t>万元</w:t>
      </w:r>
      <w:r>
        <w:rPr>
          <w:rFonts w:hint="eastAsia" w:ascii="仿宋" w:eastAsia="仿宋"/>
          <w:w w:val="100"/>
          <w:sz w:val="30"/>
          <w:szCs w:val="30"/>
        </w:rPr>
        <w:t>，占比0.00%；科学技术支出为0.00</w:t>
      </w:r>
      <w:r>
        <w:rPr>
          <w:rFonts w:hint="eastAsia" w:ascii="仿宋" w:eastAsia="仿宋"/>
          <w:w w:val="100"/>
          <w:sz w:val="30"/>
          <w:szCs w:val="30"/>
          <w:lang w:eastAsia="zh-CN"/>
        </w:rPr>
        <w:t>万元</w:t>
      </w:r>
      <w:r>
        <w:rPr>
          <w:rFonts w:hint="eastAsia" w:ascii="仿宋" w:eastAsia="仿宋"/>
          <w:w w:val="100"/>
          <w:sz w:val="30"/>
          <w:szCs w:val="30"/>
        </w:rPr>
        <w:t>，占比0.00%；文化旅游体育与传媒支出为</w:t>
      </w:r>
      <w:r>
        <w:rPr>
          <w:rFonts w:hint="eastAsia" w:ascii="仿宋_GB2312" w:eastAsia="仿宋_GB2312" w:cs="仿宋_GB2312"/>
          <w:w w:val="100"/>
          <w:sz w:val="32"/>
          <w:szCs w:val="32"/>
          <w:lang w:val="en-US" w:eastAsia="zh-CN"/>
        </w:rPr>
        <w:t>2530.92</w:t>
      </w:r>
      <w:r>
        <w:rPr>
          <w:rFonts w:hint="eastAsia" w:ascii="仿宋" w:eastAsia="仿宋"/>
          <w:w w:val="100"/>
          <w:sz w:val="30"/>
          <w:szCs w:val="30"/>
          <w:lang w:eastAsia="zh-CN"/>
        </w:rPr>
        <w:t>万元</w:t>
      </w:r>
      <w:r>
        <w:rPr>
          <w:rFonts w:hint="eastAsia" w:ascii="仿宋" w:eastAsia="仿宋"/>
          <w:w w:val="100"/>
          <w:sz w:val="30"/>
          <w:szCs w:val="30"/>
        </w:rPr>
        <w:t>，占比</w:t>
      </w:r>
      <w:r>
        <w:rPr>
          <w:rFonts w:hint="eastAsia" w:ascii="仿宋" w:eastAsia="仿宋"/>
          <w:w w:val="100"/>
          <w:sz w:val="30"/>
          <w:szCs w:val="30"/>
          <w:lang w:val="en-US" w:eastAsia="zh-CN"/>
        </w:rPr>
        <w:t>96.40</w:t>
      </w:r>
      <w:r>
        <w:rPr>
          <w:rFonts w:hint="eastAsia" w:ascii="仿宋" w:eastAsia="仿宋"/>
          <w:w w:val="100"/>
          <w:sz w:val="30"/>
          <w:szCs w:val="30"/>
        </w:rPr>
        <w:t>%；社会保障和就业支出为</w:t>
      </w:r>
      <w:r>
        <w:rPr>
          <w:rFonts w:hint="eastAsia" w:ascii="仿宋" w:eastAsia="仿宋"/>
          <w:w w:val="100"/>
          <w:sz w:val="30"/>
          <w:szCs w:val="30"/>
          <w:lang w:val="en-US" w:eastAsia="zh-CN"/>
        </w:rPr>
        <w:t>43.8</w:t>
      </w:r>
      <w:r>
        <w:rPr>
          <w:rFonts w:hint="eastAsia" w:ascii="仿宋" w:eastAsia="仿宋"/>
          <w:w w:val="100"/>
          <w:sz w:val="30"/>
          <w:szCs w:val="30"/>
          <w:lang w:eastAsia="zh-CN"/>
        </w:rPr>
        <w:t>万元</w:t>
      </w:r>
      <w:r>
        <w:rPr>
          <w:rFonts w:hint="eastAsia" w:ascii="仿宋" w:eastAsia="仿宋"/>
          <w:w w:val="100"/>
          <w:sz w:val="30"/>
          <w:szCs w:val="30"/>
        </w:rPr>
        <w:t>，占比</w:t>
      </w:r>
      <w:r>
        <w:rPr>
          <w:rFonts w:hint="eastAsia" w:ascii="仿宋" w:eastAsia="仿宋"/>
          <w:w w:val="100"/>
          <w:sz w:val="30"/>
          <w:szCs w:val="30"/>
          <w:lang w:val="en-US" w:eastAsia="zh-CN"/>
        </w:rPr>
        <w:t>1.6</w:t>
      </w:r>
      <w:r>
        <w:rPr>
          <w:rFonts w:hint="eastAsia" w:ascii="仿宋" w:eastAsia="仿宋"/>
          <w:w w:val="100"/>
          <w:sz w:val="30"/>
          <w:szCs w:val="30"/>
        </w:rPr>
        <w:t>%；卫生健康支出为</w:t>
      </w:r>
      <w:r>
        <w:rPr>
          <w:rFonts w:hint="eastAsia" w:ascii="仿宋" w:eastAsia="仿宋"/>
          <w:w w:val="100"/>
          <w:sz w:val="30"/>
          <w:szCs w:val="30"/>
          <w:lang w:val="en-US" w:eastAsia="zh-CN"/>
        </w:rPr>
        <w:t>25.69</w:t>
      </w:r>
      <w:r>
        <w:rPr>
          <w:rFonts w:hint="eastAsia" w:ascii="仿宋" w:eastAsia="仿宋"/>
          <w:w w:val="100"/>
          <w:sz w:val="30"/>
          <w:szCs w:val="30"/>
          <w:lang w:eastAsia="zh-CN"/>
        </w:rPr>
        <w:t>万元</w:t>
      </w:r>
      <w:r>
        <w:rPr>
          <w:rFonts w:hint="eastAsia" w:ascii="仿宋" w:eastAsia="仿宋"/>
          <w:w w:val="100"/>
          <w:sz w:val="30"/>
          <w:szCs w:val="30"/>
        </w:rPr>
        <w:t>，占比</w:t>
      </w:r>
      <w:r>
        <w:rPr>
          <w:rFonts w:hint="eastAsia" w:ascii="仿宋" w:eastAsia="仿宋"/>
          <w:w w:val="100"/>
          <w:sz w:val="30"/>
          <w:szCs w:val="30"/>
          <w:lang w:val="en-US" w:eastAsia="zh-CN"/>
        </w:rPr>
        <w:t>0.97</w:t>
      </w:r>
      <w:r>
        <w:rPr>
          <w:rFonts w:hint="eastAsia" w:ascii="仿宋" w:eastAsia="仿宋"/>
          <w:w w:val="100"/>
          <w:sz w:val="30"/>
          <w:szCs w:val="30"/>
        </w:rPr>
        <w:t>%；住房保障支出为</w:t>
      </w:r>
      <w:r>
        <w:rPr>
          <w:rFonts w:hint="eastAsia" w:ascii="仿宋" w:eastAsia="仿宋"/>
          <w:w w:val="100"/>
          <w:sz w:val="30"/>
          <w:szCs w:val="30"/>
          <w:lang w:val="en-US" w:eastAsia="zh-CN"/>
        </w:rPr>
        <w:t>24.85</w:t>
      </w:r>
      <w:r>
        <w:rPr>
          <w:rFonts w:hint="eastAsia" w:ascii="仿宋" w:eastAsia="仿宋"/>
          <w:w w:val="100"/>
          <w:sz w:val="30"/>
          <w:szCs w:val="30"/>
          <w:lang w:eastAsia="zh-CN"/>
        </w:rPr>
        <w:t>万元</w:t>
      </w:r>
      <w:r>
        <w:rPr>
          <w:rFonts w:hint="eastAsia" w:ascii="仿宋" w:eastAsia="仿宋"/>
          <w:w w:val="100"/>
          <w:sz w:val="30"/>
          <w:szCs w:val="30"/>
        </w:rPr>
        <w:t>，占比</w:t>
      </w:r>
      <w:r>
        <w:rPr>
          <w:rFonts w:hint="eastAsia" w:ascii="仿宋" w:eastAsia="仿宋"/>
          <w:w w:val="100"/>
          <w:sz w:val="30"/>
          <w:szCs w:val="30"/>
          <w:lang w:val="en-US" w:eastAsia="zh-CN"/>
        </w:rPr>
        <w:t>0.9</w:t>
      </w:r>
      <w:r>
        <w:rPr>
          <w:rFonts w:hint="eastAsia" w:ascii="仿宋" w:eastAsia="仿宋"/>
          <w:w w:val="100"/>
          <w:sz w:val="30"/>
          <w:szCs w:val="30"/>
        </w:rPr>
        <w:t>%</w:t>
      </w:r>
      <w:r>
        <w:rPr>
          <w:rFonts w:hint="eastAsia" w:ascii="仿宋" w:hAnsi="仿宋" w:eastAsia="仿宋" w:cs="仿宋"/>
          <w:w w:val="100"/>
          <w:kern w:val="0"/>
          <w:sz w:val="30"/>
          <w:szCs w:val="30"/>
          <w:lang w:val="en-US" w:eastAsia="zh-CN"/>
        </w:rPr>
        <w:t>。</w:t>
      </w:r>
    </w:p>
    <w:p w14:paraId="70AE90B0">
      <w:pPr>
        <w:spacing w:line="600" w:lineRule="exact"/>
        <w:ind w:left="0" w:firstLine="420" w:firstLineChars="200"/>
        <w:outlineLvl w:val="2"/>
        <w:rPr>
          <w:rFonts w:hint="eastAsia" w:ascii="仿宋" w:eastAsia="仿宋"/>
          <w:sz w:val="30"/>
          <w:szCs w:val="30"/>
        </w:rPr>
      </w:pPr>
      <w:r>
        <w:rPr>
          <w:rFonts w:hint="eastAsia"/>
          <w:lang w:val="en-US" w:eastAsia="zh-CN"/>
        </w:rPr>
        <w:drawing>
          <wp:anchor distT="0" distB="0" distL="114935" distR="114935" simplePos="0" relativeHeight="251659264" behindDoc="1" locked="0" layoutInCell="1" allowOverlap="1">
            <wp:simplePos x="0" y="0"/>
            <wp:positionH relativeFrom="column">
              <wp:posOffset>49530</wp:posOffset>
            </wp:positionH>
            <wp:positionV relativeFrom="paragraph">
              <wp:posOffset>-8034020</wp:posOffset>
            </wp:positionV>
            <wp:extent cx="4977130" cy="2976245"/>
            <wp:effectExtent l="4445" t="4445" r="9525" b="10160"/>
            <wp:wrapTight wrapText="bothSides">
              <wp:wrapPolygon>
                <wp:start x="-19" y="-32"/>
                <wp:lineTo x="-19" y="21535"/>
                <wp:lineTo x="21559" y="21535"/>
                <wp:lineTo x="21559" y="-32"/>
                <wp:lineTo x="-19" y="-32"/>
              </wp:wrapPolygon>
            </wp:wrapTight>
            <wp:docPr id="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4462D8D6">
      <w:pPr>
        <w:pStyle w:val="11"/>
        <w:rPr>
          <w:rFonts w:hint="eastAsia"/>
          <w:lang w:eastAsia="zh-CN"/>
        </w:rPr>
      </w:pPr>
    </w:p>
    <w:p w14:paraId="3AE438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4C3C1CF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14"/>
    </w:p>
    <w:p w14:paraId="3C490E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15" w:name="_Toc15377444"/>
      <w:bookmarkStart w:id="16" w:name="_Toc15378460"/>
      <w:bookmarkStart w:id="17"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eastAsia="仿宋_GB2312" w:cs="仿宋_GB2312"/>
          <w:sz w:val="32"/>
          <w:szCs w:val="32"/>
          <w:lang w:val="en-US" w:eastAsia="zh-CN"/>
        </w:rPr>
        <w:t>2625.25</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15"/>
      <w:bookmarkEnd w:id="16"/>
      <w:bookmarkEnd w:id="17"/>
    </w:p>
    <w:p w14:paraId="22BA18B8">
      <w:pPr>
        <w:spacing w:line="600" w:lineRule="exact"/>
        <w:ind w:firstLine="600" w:firstLineChars="200"/>
        <w:rPr>
          <w:rFonts w:hint="eastAsia" w:ascii="仿宋" w:eastAsia="仿宋" w:cs="仿宋"/>
          <w:kern w:val="0"/>
          <w:sz w:val="30"/>
          <w:szCs w:val="30"/>
          <w:lang w:bidi="ar-SA"/>
        </w:rPr>
      </w:pPr>
      <w:r>
        <w:rPr>
          <w:rFonts w:hint="eastAsia" w:ascii="仿宋" w:eastAsia="仿宋" w:cs="仿宋"/>
          <w:kern w:val="0"/>
          <w:sz w:val="30"/>
          <w:szCs w:val="30"/>
          <w:lang w:val="en-US" w:eastAsia="zh-CN" w:bidi="ar-SA"/>
        </w:rPr>
        <w:t>1.2070102一般行政管理事务</w:t>
      </w:r>
      <w:r>
        <w:rPr>
          <w:rFonts w:hint="eastAsia" w:ascii="仿宋" w:eastAsia="仿宋" w:cs="仿宋"/>
          <w:kern w:val="0"/>
          <w:sz w:val="30"/>
          <w:szCs w:val="30"/>
          <w:lang w:bidi="ar-SA"/>
        </w:rPr>
        <w:t>：</w:t>
      </w:r>
      <w:r>
        <w:rPr>
          <w:rStyle w:val="15"/>
          <w:rFonts w:hint="eastAsia" w:ascii="仿宋" w:eastAsia="仿宋"/>
          <w:b w:val="0"/>
          <w:bCs/>
          <w:sz w:val="32"/>
          <w:szCs w:val="32"/>
        </w:rPr>
        <w:t>支出决算为</w:t>
      </w:r>
      <w:r>
        <w:rPr>
          <w:rFonts w:hint="eastAsia" w:ascii="仿宋" w:eastAsia="仿宋" w:cs="仿宋"/>
          <w:kern w:val="0"/>
          <w:sz w:val="30"/>
          <w:szCs w:val="30"/>
          <w:lang w:val="en-US" w:eastAsia="zh-CN" w:bidi="ar-SA"/>
        </w:rPr>
        <w:t>3</w:t>
      </w:r>
      <w:r>
        <w:rPr>
          <w:rFonts w:hint="eastAsia" w:ascii="仿宋" w:eastAsia="仿宋" w:cs="仿宋"/>
          <w:kern w:val="0"/>
          <w:sz w:val="30"/>
          <w:szCs w:val="30"/>
          <w:lang w:eastAsia="zh-CN" w:bidi="ar-SA"/>
        </w:rPr>
        <w:t>万元，</w:t>
      </w:r>
      <w:r>
        <w:rPr>
          <w:rStyle w:val="15"/>
          <w:rFonts w:hint="eastAsia" w:ascii="仿宋" w:eastAsia="仿宋"/>
          <w:b w:val="0"/>
          <w:bCs/>
          <w:sz w:val="32"/>
          <w:szCs w:val="32"/>
        </w:rPr>
        <w:t>完成预算</w:t>
      </w:r>
      <w:r>
        <w:rPr>
          <w:rStyle w:val="15"/>
          <w:rFonts w:hint="eastAsia" w:ascii="仿宋" w:eastAsia="仿宋"/>
          <w:b w:val="0"/>
          <w:bCs/>
          <w:sz w:val="32"/>
          <w:szCs w:val="32"/>
          <w:lang w:val="en-US" w:eastAsia="zh-CN"/>
        </w:rPr>
        <w:t>100</w:t>
      </w:r>
      <w:r>
        <w:rPr>
          <w:rStyle w:val="15"/>
          <w:rFonts w:hint="eastAsia" w:ascii="仿宋" w:eastAsia="仿宋"/>
          <w:b w:val="0"/>
          <w:bCs/>
          <w:sz w:val="32"/>
          <w:szCs w:val="32"/>
        </w:rPr>
        <w:t>%，决算数等于预算数。</w:t>
      </w:r>
    </w:p>
    <w:p w14:paraId="54E9B187">
      <w:pPr>
        <w:spacing w:line="600" w:lineRule="exact"/>
        <w:ind w:firstLine="640" w:firstLineChars="200"/>
        <w:rPr>
          <w:rFonts w:hint="eastAsia" w:ascii="仿宋" w:eastAsia="仿宋"/>
          <w:b/>
          <w:sz w:val="32"/>
          <w:szCs w:val="32"/>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仿宋" w:eastAsia="仿宋" w:cs="仿宋"/>
          <w:kern w:val="0"/>
          <w:sz w:val="30"/>
          <w:szCs w:val="30"/>
          <w:lang w:val="en-US" w:eastAsia="zh-CN" w:bidi="ar-SA"/>
        </w:rPr>
        <w:t>2070103机关服务</w:t>
      </w:r>
      <w:r>
        <w:rPr>
          <w:rFonts w:hint="eastAsia" w:ascii="仿宋" w:eastAsia="仿宋" w:cs="仿宋"/>
          <w:kern w:val="0"/>
          <w:sz w:val="30"/>
          <w:szCs w:val="30"/>
          <w:lang w:bidi="ar-SA"/>
        </w:rPr>
        <w:t>：</w:t>
      </w:r>
      <w:r>
        <w:rPr>
          <w:rFonts w:hint="eastAsia" w:ascii="仿宋" w:eastAsia="仿宋" w:cs="仿宋"/>
          <w:kern w:val="0"/>
          <w:sz w:val="30"/>
          <w:szCs w:val="30"/>
          <w:lang w:eastAsia="zh-CN" w:bidi="ar-SA"/>
        </w:rPr>
        <w:t>支出决算数为</w:t>
      </w:r>
      <w:r>
        <w:rPr>
          <w:rFonts w:hint="eastAsia" w:ascii="仿宋" w:eastAsia="仿宋" w:cs="仿宋"/>
          <w:kern w:val="0"/>
          <w:sz w:val="30"/>
          <w:szCs w:val="30"/>
          <w:lang w:val="en-US" w:eastAsia="zh-CN" w:bidi="ar-SA"/>
        </w:rPr>
        <w:t>242.72</w:t>
      </w:r>
      <w:r>
        <w:rPr>
          <w:rFonts w:hint="eastAsia" w:ascii="仿宋" w:eastAsia="仿宋" w:cs="仿宋"/>
          <w:kern w:val="0"/>
          <w:sz w:val="30"/>
          <w:szCs w:val="30"/>
          <w:lang w:eastAsia="zh-CN" w:bidi="ar-SA"/>
        </w:rPr>
        <w:t>万元，</w:t>
      </w:r>
      <w:r>
        <w:rPr>
          <w:rStyle w:val="15"/>
          <w:rFonts w:hint="eastAsia" w:ascii="仿宋" w:eastAsia="仿宋"/>
          <w:b w:val="0"/>
          <w:bCs/>
          <w:sz w:val="32"/>
          <w:szCs w:val="32"/>
        </w:rPr>
        <w:t>完成预算</w:t>
      </w:r>
      <w:r>
        <w:rPr>
          <w:rStyle w:val="15"/>
          <w:rFonts w:hint="eastAsia" w:ascii="仿宋" w:eastAsia="仿宋"/>
          <w:b w:val="0"/>
          <w:bCs/>
          <w:sz w:val="32"/>
          <w:szCs w:val="32"/>
          <w:lang w:val="en-US" w:eastAsia="zh-CN"/>
        </w:rPr>
        <w:t>100</w:t>
      </w:r>
      <w:r>
        <w:rPr>
          <w:rStyle w:val="15"/>
          <w:rFonts w:hint="eastAsia" w:ascii="仿宋" w:eastAsia="仿宋"/>
          <w:b w:val="0"/>
          <w:bCs/>
          <w:sz w:val="32"/>
          <w:szCs w:val="32"/>
        </w:rPr>
        <w:t>%，决算数等于预算数。</w:t>
      </w:r>
    </w:p>
    <w:p w14:paraId="36686F4C">
      <w:pPr>
        <w:spacing w:line="600" w:lineRule="exact"/>
        <w:ind w:firstLine="640" w:firstLineChars="200"/>
        <w:rPr>
          <w:rFonts w:hint="eastAsia" w:ascii="仿宋" w:eastAsia="仿宋"/>
          <w:b/>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仿宋" w:eastAsia="仿宋" w:cs="仿宋"/>
          <w:kern w:val="0"/>
          <w:sz w:val="30"/>
          <w:szCs w:val="30"/>
          <w:lang w:val="en-US" w:eastAsia="zh-CN" w:bidi="ar-SA"/>
        </w:rPr>
        <w:t>2070199其他文化和旅游支出：支出决算数为87.52万元，</w:t>
      </w:r>
      <w:r>
        <w:rPr>
          <w:rStyle w:val="15"/>
          <w:rFonts w:hint="eastAsia" w:ascii="仿宋" w:eastAsia="仿宋"/>
          <w:b w:val="0"/>
          <w:bCs/>
          <w:sz w:val="32"/>
          <w:szCs w:val="32"/>
        </w:rPr>
        <w:t>完成预算</w:t>
      </w:r>
      <w:r>
        <w:rPr>
          <w:rStyle w:val="15"/>
          <w:rFonts w:hint="eastAsia" w:ascii="仿宋" w:eastAsia="仿宋"/>
          <w:b w:val="0"/>
          <w:bCs/>
          <w:sz w:val="32"/>
          <w:szCs w:val="32"/>
          <w:lang w:val="en-US" w:eastAsia="zh-CN"/>
        </w:rPr>
        <w:t>100</w:t>
      </w:r>
      <w:r>
        <w:rPr>
          <w:rStyle w:val="15"/>
          <w:rFonts w:hint="eastAsia" w:ascii="仿宋" w:eastAsia="仿宋"/>
          <w:b w:val="0"/>
          <w:bCs/>
          <w:sz w:val="32"/>
          <w:szCs w:val="32"/>
        </w:rPr>
        <w:t>%，决算数等于预算数。</w:t>
      </w:r>
    </w:p>
    <w:p w14:paraId="5C17D27D">
      <w:pPr>
        <w:spacing w:line="600" w:lineRule="exact"/>
        <w:ind w:firstLine="640" w:firstLineChars="200"/>
        <w:rPr>
          <w:rFonts w:hint="eastAsia" w:ascii="仿宋" w:eastAsia="仿宋"/>
          <w:b/>
          <w:sz w:val="32"/>
          <w:szCs w:val="32"/>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仿宋" w:eastAsia="仿宋" w:cs="仿宋"/>
          <w:kern w:val="0"/>
          <w:sz w:val="30"/>
          <w:szCs w:val="30"/>
          <w:lang w:val="en-US" w:eastAsia="zh-CN" w:bidi="ar-SA"/>
        </w:rPr>
        <w:t>2079999其他文化旅游体育和传媒支出：支出决算数为80万元，</w:t>
      </w:r>
      <w:r>
        <w:rPr>
          <w:rStyle w:val="15"/>
          <w:rFonts w:hint="eastAsia" w:ascii="仿宋" w:eastAsia="仿宋"/>
          <w:b w:val="0"/>
          <w:bCs/>
          <w:sz w:val="32"/>
          <w:szCs w:val="32"/>
        </w:rPr>
        <w:t>完成预算</w:t>
      </w:r>
      <w:r>
        <w:rPr>
          <w:rStyle w:val="15"/>
          <w:rFonts w:hint="eastAsia" w:ascii="仿宋" w:eastAsia="仿宋"/>
          <w:b w:val="0"/>
          <w:bCs/>
          <w:sz w:val="32"/>
          <w:szCs w:val="32"/>
          <w:lang w:val="en-US" w:eastAsia="zh-CN"/>
        </w:rPr>
        <w:t>100</w:t>
      </w:r>
      <w:r>
        <w:rPr>
          <w:rStyle w:val="15"/>
          <w:rFonts w:hint="eastAsia" w:ascii="仿宋" w:eastAsia="仿宋"/>
          <w:b w:val="0"/>
          <w:bCs/>
          <w:sz w:val="32"/>
          <w:szCs w:val="32"/>
        </w:rPr>
        <w:t>%，决算数等于预算数。</w:t>
      </w:r>
    </w:p>
    <w:p w14:paraId="5E576377">
      <w:pPr>
        <w:spacing w:line="600" w:lineRule="exact"/>
        <w:ind w:firstLine="640" w:firstLineChars="200"/>
        <w:rPr>
          <w:rFonts w:hint="eastAsia" w:ascii="仿宋" w:eastAsia="仿宋" w:cs="仿宋"/>
          <w:kern w:val="0"/>
          <w:sz w:val="30"/>
          <w:szCs w:val="30"/>
          <w:lang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 w:eastAsia="仿宋" w:cs="仿宋"/>
          <w:kern w:val="0"/>
          <w:sz w:val="30"/>
          <w:szCs w:val="30"/>
          <w:lang w:bidi="ar-SA"/>
        </w:rPr>
        <w:t>2210210住房公积金</w:t>
      </w:r>
      <w:r>
        <w:rPr>
          <w:rFonts w:hint="eastAsia" w:ascii="仿宋" w:eastAsia="仿宋" w:cs="仿宋"/>
          <w:kern w:val="0"/>
          <w:sz w:val="30"/>
          <w:szCs w:val="30"/>
          <w:lang w:eastAsia="zh-CN" w:bidi="ar-SA"/>
        </w:rPr>
        <w:t>：支出决算数为</w:t>
      </w:r>
      <w:r>
        <w:rPr>
          <w:rFonts w:hint="eastAsia" w:ascii="仿宋" w:eastAsia="仿宋" w:cs="仿宋"/>
          <w:kern w:val="0"/>
          <w:sz w:val="30"/>
          <w:szCs w:val="30"/>
          <w:lang w:val="en-US" w:eastAsia="zh-CN" w:bidi="ar-SA"/>
        </w:rPr>
        <w:t>24.85</w:t>
      </w:r>
      <w:r>
        <w:rPr>
          <w:rFonts w:hint="eastAsia" w:ascii="仿宋" w:eastAsia="仿宋" w:cs="仿宋"/>
          <w:kern w:val="0"/>
          <w:sz w:val="30"/>
          <w:szCs w:val="30"/>
          <w:lang w:eastAsia="zh-CN" w:bidi="ar-SA"/>
        </w:rPr>
        <w:t>万元，</w:t>
      </w:r>
      <w:r>
        <w:rPr>
          <w:rStyle w:val="15"/>
          <w:rFonts w:hint="eastAsia" w:ascii="仿宋" w:eastAsia="仿宋"/>
          <w:b w:val="0"/>
          <w:bCs/>
          <w:sz w:val="32"/>
          <w:szCs w:val="32"/>
        </w:rPr>
        <w:t>完成预算</w:t>
      </w:r>
      <w:r>
        <w:rPr>
          <w:rStyle w:val="15"/>
          <w:rFonts w:hint="eastAsia" w:ascii="仿宋" w:eastAsia="仿宋"/>
          <w:b w:val="0"/>
          <w:bCs/>
          <w:sz w:val="32"/>
          <w:szCs w:val="32"/>
          <w:lang w:val="en-US" w:eastAsia="zh-CN"/>
        </w:rPr>
        <w:t>100</w:t>
      </w:r>
      <w:r>
        <w:rPr>
          <w:rStyle w:val="15"/>
          <w:rFonts w:hint="eastAsia" w:ascii="仿宋" w:eastAsia="仿宋"/>
          <w:b w:val="0"/>
          <w:bCs/>
          <w:sz w:val="32"/>
          <w:szCs w:val="32"/>
        </w:rPr>
        <w:t>%，决算数等于预算数。</w:t>
      </w:r>
    </w:p>
    <w:p w14:paraId="008B6F04">
      <w:pPr>
        <w:spacing w:line="600" w:lineRule="exact"/>
        <w:ind w:firstLine="640" w:firstLineChars="200"/>
        <w:rPr>
          <w:rFonts w:hint="eastAsia" w:ascii="仿宋" w:eastAsia="仿宋" w:cs="仿宋"/>
          <w:kern w:val="0"/>
          <w:sz w:val="30"/>
          <w:szCs w:val="30"/>
          <w:lang w:bidi="ar-SA"/>
        </w:rPr>
      </w:pPr>
      <w:r>
        <w:rPr>
          <w:rFonts w:hint="eastAsia" w:ascii="Times New Roman" w:hAnsi="Times New Roman" w:eastAsia="仿宋_GB2312" w:cs="仿宋_GB2312"/>
          <w:color w:val="auto"/>
          <w:kern w:val="2"/>
          <w:sz w:val="32"/>
          <w:szCs w:val="32"/>
          <w:highlight w:val="none"/>
          <w:lang w:val="en-US" w:eastAsia="zh-CN" w:bidi="ar-SA"/>
        </w:rPr>
        <w:t>6.</w:t>
      </w:r>
      <w:r>
        <w:rPr>
          <w:rFonts w:hint="eastAsia" w:ascii="仿宋" w:eastAsia="仿宋" w:cs="仿宋"/>
          <w:kern w:val="0"/>
          <w:sz w:val="30"/>
          <w:szCs w:val="30"/>
          <w:lang w:bidi="ar-SA"/>
        </w:rPr>
        <w:t>2101102事业单位医疗</w:t>
      </w:r>
      <w:r>
        <w:rPr>
          <w:rFonts w:hint="eastAsia" w:ascii="仿宋" w:eastAsia="仿宋" w:cs="仿宋"/>
          <w:kern w:val="0"/>
          <w:sz w:val="30"/>
          <w:szCs w:val="30"/>
          <w:lang w:val="en-US" w:eastAsia="zh-CN" w:bidi="ar-SA"/>
        </w:rPr>
        <w:t>:支出决算数为23.14</w:t>
      </w:r>
      <w:r>
        <w:rPr>
          <w:rFonts w:hint="eastAsia" w:ascii="仿宋" w:eastAsia="仿宋" w:cs="仿宋"/>
          <w:kern w:val="0"/>
          <w:sz w:val="30"/>
          <w:szCs w:val="30"/>
          <w:lang w:eastAsia="zh-CN" w:bidi="ar-SA"/>
        </w:rPr>
        <w:t>万元，</w:t>
      </w:r>
      <w:r>
        <w:rPr>
          <w:rStyle w:val="15"/>
          <w:rFonts w:hint="eastAsia" w:ascii="仿宋" w:eastAsia="仿宋"/>
          <w:b w:val="0"/>
          <w:bCs/>
          <w:sz w:val="32"/>
          <w:szCs w:val="32"/>
        </w:rPr>
        <w:t>完成预算</w:t>
      </w:r>
      <w:r>
        <w:rPr>
          <w:rStyle w:val="15"/>
          <w:rFonts w:hint="eastAsia" w:ascii="仿宋" w:eastAsia="仿宋"/>
          <w:b w:val="0"/>
          <w:bCs/>
          <w:sz w:val="32"/>
          <w:szCs w:val="32"/>
          <w:lang w:val="en-US" w:eastAsia="zh-CN"/>
        </w:rPr>
        <w:t>100</w:t>
      </w:r>
      <w:r>
        <w:rPr>
          <w:rStyle w:val="15"/>
          <w:rFonts w:hint="eastAsia" w:ascii="仿宋" w:eastAsia="仿宋"/>
          <w:b w:val="0"/>
          <w:bCs/>
          <w:sz w:val="32"/>
          <w:szCs w:val="32"/>
        </w:rPr>
        <w:t>%，决算数等于预算数。</w:t>
      </w:r>
    </w:p>
    <w:p w14:paraId="4B31CB08">
      <w:pPr>
        <w:spacing w:line="600" w:lineRule="exact"/>
        <w:ind w:firstLine="600" w:firstLineChars="200"/>
        <w:rPr>
          <w:rFonts w:hint="eastAsia" w:ascii="仿宋" w:eastAsia="仿宋"/>
          <w:b/>
          <w:sz w:val="32"/>
          <w:szCs w:val="32"/>
        </w:rPr>
      </w:pPr>
      <w:r>
        <w:rPr>
          <w:rFonts w:hint="eastAsia" w:ascii="仿宋" w:eastAsia="仿宋" w:cs="仿宋"/>
          <w:kern w:val="0"/>
          <w:sz w:val="30"/>
          <w:szCs w:val="30"/>
          <w:lang w:val="en-US" w:eastAsia="zh-CN" w:bidi="ar-SA"/>
        </w:rPr>
        <w:t>7.</w:t>
      </w:r>
      <w:r>
        <w:rPr>
          <w:rFonts w:hint="eastAsia" w:ascii="仿宋" w:eastAsia="仿宋" w:cs="仿宋"/>
          <w:kern w:val="0"/>
          <w:sz w:val="30"/>
          <w:szCs w:val="30"/>
          <w:lang w:bidi="ar-SA"/>
        </w:rPr>
        <w:t>2080505养老保险</w:t>
      </w:r>
      <w:r>
        <w:rPr>
          <w:rFonts w:hint="eastAsia" w:ascii="仿宋" w:eastAsia="仿宋" w:cs="仿宋"/>
          <w:kern w:val="0"/>
          <w:sz w:val="30"/>
          <w:szCs w:val="30"/>
          <w:lang w:eastAsia="zh-CN" w:bidi="ar-SA"/>
        </w:rPr>
        <w:t>：支出决算数为</w:t>
      </w:r>
      <w:r>
        <w:rPr>
          <w:rFonts w:hint="eastAsia" w:ascii="仿宋" w:eastAsia="仿宋" w:cs="仿宋"/>
          <w:kern w:val="0"/>
          <w:sz w:val="30"/>
          <w:szCs w:val="30"/>
          <w:lang w:val="en-US" w:eastAsia="zh-CN" w:bidi="ar-SA"/>
        </w:rPr>
        <w:t>29.2</w:t>
      </w:r>
      <w:r>
        <w:rPr>
          <w:rFonts w:hint="eastAsia" w:ascii="仿宋" w:eastAsia="仿宋" w:cs="仿宋"/>
          <w:kern w:val="0"/>
          <w:sz w:val="30"/>
          <w:szCs w:val="30"/>
          <w:lang w:eastAsia="zh-CN" w:bidi="ar-SA"/>
        </w:rPr>
        <w:t>万元，</w:t>
      </w:r>
      <w:r>
        <w:rPr>
          <w:rStyle w:val="15"/>
          <w:rFonts w:hint="eastAsia" w:ascii="仿宋" w:eastAsia="仿宋"/>
          <w:b w:val="0"/>
          <w:bCs/>
          <w:sz w:val="32"/>
          <w:szCs w:val="32"/>
        </w:rPr>
        <w:t>完成预算</w:t>
      </w:r>
      <w:r>
        <w:rPr>
          <w:rStyle w:val="15"/>
          <w:rFonts w:hint="eastAsia" w:ascii="仿宋" w:eastAsia="仿宋"/>
          <w:b w:val="0"/>
          <w:bCs/>
          <w:sz w:val="32"/>
          <w:szCs w:val="32"/>
          <w:lang w:val="en-US" w:eastAsia="zh-CN"/>
        </w:rPr>
        <w:t>100</w:t>
      </w:r>
      <w:r>
        <w:rPr>
          <w:rStyle w:val="15"/>
          <w:rFonts w:hint="eastAsia" w:ascii="仿宋" w:eastAsia="仿宋"/>
          <w:b w:val="0"/>
          <w:bCs/>
          <w:sz w:val="32"/>
          <w:szCs w:val="32"/>
        </w:rPr>
        <w:t>%，决算数等于预算数。</w:t>
      </w:r>
    </w:p>
    <w:p w14:paraId="56123771">
      <w:pPr>
        <w:spacing w:line="600" w:lineRule="exact"/>
        <w:ind w:firstLine="600" w:firstLineChars="200"/>
        <w:rPr>
          <w:rFonts w:hint="eastAsia" w:ascii="仿宋" w:eastAsia="仿宋"/>
          <w:b/>
          <w:sz w:val="32"/>
          <w:szCs w:val="32"/>
        </w:rPr>
      </w:pPr>
      <w:r>
        <w:rPr>
          <w:rFonts w:hint="eastAsia" w:ascii="仿宋" w:eastAsia="仿宋" w:cs="仿宋"/>
          <w:kern w:val="0"/>
          <w:sz w:val="30"/>
          <w:szCs w:val="30"/>
          <w:lang w:val="en-US" w:eastAsia="zh-CN" w:bidi="ar-SA"/>
        </w:rPr>
        <w:t>8.</w:t>
      </w:r>
      <w:r>
        <w:rPr>
          <w:rFonts w:hint="eastAsia" w:ascii="仿宋" w:eastAsia="仿宋" w:cs="仿宋"/>
          <w:kern w:val="0"/>
          <w:sz w:val="30"/>
          <w:szCs w:val="30"/>
          <w:lang w:bidi="ar-SA"/>
        </w:rPr>
        <w:t>2080506职业年金</w:t>
      </w:r>
      <w:r>
        <w:rPr>
          <w:rFonts w:hint="eastAsia" w:ascii="仿宋" w:eastAsia="仿宋" w:cs="仿宋"/>
          <w:kern w:val="0"/>
          <w:sz w:val="30"/>
          <w:szCs w:val="30"/>
          <w:lang w:eastAsia="zh-CN" w:bidi="ar-SA"/>
        </w:rPr>
        <w:t>：支出决算数为</w:t>
      </w:r>
      <w:r>
        <w:rPr>
          <w:rFonts w:hint="eastAsia" w:ascii="仿宋" w:eastAsia="仿宋" w:cs="仿宋"/>
          <w:kern w:val="0"/>
          <w:sz w:val="30"/>
          <w:szCs w:val="30"/>
          <w:lang w:val="en-US" w:eastAsia="zh-CN" w:bidi="ar-SA"/>
        </w:rPr>
        <w:t>14.6</w:t>
      </w:r>
      <w:r>
        <w:rPr>
          <w:rFonts w:hint="eastAsia" w:ascii="仿宋" w:eastAsia="仿宋" w:cs="仿宋"/>
          <w:kern w:val="0"/>
          <w:sz w:val="30"/>
          <w:szCs w:val="30"/>
          <w:lang w:eastAsia="zh-CN" w:bidi="ar-SA"/>
        </w:rPr>
        <w:t>万元，</w:t>
      </w:r>
      <w:r>
        <w:rPr>
          <w:rStyle w:val="15"/>
          <w:rFonts w:hint="eastAsia" w:ascii="仿宋" w:eastAsia="仿宋"/>
          <w:b w:val="0"/>
          <w:bCs/>
          <w:sz w:val="32"/>
          <w:szCs w:val="32"/>
        </w:rPr>
        <w:t>完成预算</w:t>
      </w:r>
      <w:r>
        <w:rPr>
          <w:rStyle w:val="15"/>
          <w:rFonts w:hint="eastAsia" w:ascii="仿宋" w:eastAsia="仿宋"/>
          <w:b w:val="0"/>
          <w:bCs/>
          <w:sz w:val="32"/>
          <w:szCs w:val="32"/>
          <w:lang w:val="en-US" w:eastAsia="zh-CN"/>
        </w:rPr>
        <w:t>100</w:t>
      </w:r>
      <w:r>
        <w:rPr>
          <w:rStyle w:val="15"/>
          <w:rFonts w:hint="eastAsia" w:ascii="仿宋" w:eastAsia="仿宋"/>
          <w:b w:val="0"/>
          <w:bCs/>
          <w:sz w:val="32"/>
          <w:szCs w:val="32"/>
        </w:rPr>
        <w:t>%，决算数等于预算数。</w:t>
      </w:r>
    </w:p>
    <w:p w14:paraId="61B35E57">
      <w:pPr>
        <w:spacing w:line="600" w:lineRule="exact"/>
        <w:ind w:firstLine="600" w:firstLineChars="200"/>
        <w:rPr>
          <w:rStyle w:val="15"/>
          <w:rFonts w:hint="eastAsia" w:ascii="仿宋" w:eastAsia="仿宋"/>
          <w:b w:val="0"/>
          <w:bCs/>
          <w:sz w:val="32"/>
          <w:szCs w:val="32"/>
        </w:rPr>
      </w:pPr>
      <w:r>
        <w:rPr>
          <w:rFonts w:hint="eastAsia" w:ascii="仿宋" w:eastAsia="仿宋" w:cs="仿宋"/>
          <w:kern w:val="0"/>
          <w:sz w:val="30"/>
          <w:szCs w:val="30"/>
          <w:lang w:val="en-US" w:eastAsia="zh-CN" w:bidi="ar-SA"/>
        </w:rPr>
        <w:t>9.</w:t>
      </w:r>
      <w:r>
        <w:rPr>
          <w:rFonts w:hint="eastAsia" w:ascii="仿宋" w:eastAsia="仿宋" w:cs="仿宋"/>
          <w:kern w:val="0"/>
          <w:sz w:val="30"/>
          <w:szCs w:val="30"/>
          <w:lang w:bidi="ar-SA"/>
        </w:rPr>
        <w:t>2101199其他行政事业医疗支出</w:t>
      </w:r>
      <w:r>
        <w:rPr>
          <w:rFonts w:hint="eastAsia" w:ascii="仿宋" w:eastAsia="仿宋" w:cs="仿宋"/>
          <w:kern w:val="0"/>
          <w:sz w:val="30"/>
          <w:szCs w:val="30"/>
          <w:lang w:eastAsia="zh-CN" w:bidi="ar-SA"/>
        </w:rPr>
        <w:t>：支出决算数为</w:t>
      </w:r>
      <w:r>
        <w:rPr>
          <w:rFonts w:hint="eastAsia" w:ascii="仿宋" w:eastAsia="仿宋" w:cs="仿宋"/>
          <w:kern w:val="0"/>
          <w:sz w:val="30"/>
          <w:szCs w:val="30"/>
          <w:lang w:val="en-US" w:eastAsia="zh-CN" w:bidi="ar-SA"/>
        </w:rPr>
        <w:t>2.56</w:t>
      </w:r>
      <w:r>
        <w:rPr>
          <w:rFonts w:hint="eastAsia" w:ascii="仿宋" w:eastAsia="仿宋" w:cs="仿宋"/>
          <w:kern w:val="0"/>
          <w:sz w:val="30"/>
          <w:szCs w:val="30"/>
          <w:lang w:eastAsia="zh-CN" w:bidi="ar-SA"/>
        </w:rPr>
        <w:t>万元</w:t>
      </w:r>
      <w:r>
        <w:rPr>
          <w:rStyle w:val="15"/>
          <w:rFonts w:hint="eastAsia" w:ascii="仿宋" w:eastAsia="仿宋"/>
          <w:b w:val="0"/>
          <w:bCs/>
          <w:sz w:val="32"/>
          <w:szCs w:val="32"/>
        </w:rPr>
        <w:t>完成预算</w:t>
      </w:r>
      <w:r>
        <w:rPr>
          <w:rStyle w:val="15"/>
          <w:rFonts w:hint="eastAsia" w:ascii="仿宋" w:eastAsia="仿宋"/>
          <w:b w:val="0"/>
          <w:bCs/>
          <w:sz w:val="32"/>
          <w:szCs w:val="32"/>
          <w:lang w:val="en-US" w:eastAsia="zh-CN"/>
        </w:rPr>
        <w:t>100</w:t>
      </w:r>
      <w:r>
        <w:rPr>
          <w:rStyle w:val="15"/>
          <w:rFonts w:hint="eastAsia" w:ascii="仿宋" w:eastAsia="仿宋"/>
          <w:b w:val="0"/>
          <w:bCs/>
          <w:sz w:val="32"/>
          <w:szCs w:val="32"/>
        </w:rPr>
        <w:t>%，决算数等于预算数。</w:t>
      </w:r>
    </w:p>
    <w:p w14:paraId="482C2FC0">
      <w:pPr>
        <w:tabs>
          <w:tab w:val="right" w:pos="8306"/>
        </w:tabs>
        <w:spacing w:line="600" w:lineRule="exact"/>
        <w:ind w:firstLine="640"/>
        <w:outlineLvl w:val="1"/>
        <w:rPr>
          <w:rStyle w:val="17"/>
          <w:rFonts w:ascii="Times New Roman" w:hAnsi="Times New Roman"/>
          <w:color w:val="auto"/>
          <w:highlight w:val="none"/>
        </w:rPr>
      </w:pPr>
      <w:bookmarkStart w:id="18" w:name="_Toc15377214"/>
      <w:bookmarkStart w:id="1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17"/>
          <w:rFonts w:hint="eastAsia" w:ascii="Times New Roman" w:hAnsi="Times New Roman" w:eastAsia="黑体"/>
          <w:b w:val="0"/>
          <w:color w:val="auto"/>
          <w:highlight w:val="none"/>
        </w:rPr>
        <w:t>般公共预算财政拨款基本支出决算情况说明</w:t>
      </w:r>
      <w:bookmarkEnd w:id="18"/>
      <w:bookmarkEnd w:id="19"/>
      <w:r>
        <w:rPr>
          <w:rStyle w:val="17"/>
          <w:rFonts w:ascii="Times New Roman" w:hAnsi="Times New Roman" w:eastAsia="黑体"/>
          <w:b w:val="0"/>
          <w:color w:val="auto"/>
          <w:highlight w:val="none"/>
        </w:rPr>
        <w:tab/>
      </w:r>
    </w:p>
    <w:p w14:paraId="029E1F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eastAsia="仿宋_GB2312" w:cs="仿宋_GB2312"/>
          <w:sz w:val="32"/>
          <w:szCs w:val="32"/>
          <w:lang w:val="en-US" w:eastAsia="zh-CN"/>
        </w:rPr>
        <w:t>336.61</w:t>
      </w:r>
      <w:r>
        <w:rPr>
          <w:rFonts w:hint="eastAsia" w:asci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，其中：人员经费</w:t>
      </w:r>
      <w:r>
        <w:rPr>
          <w:rFonts w:hint="eastAsia" w:ascii="仿宋_GB2312" w:eastAsia="仿宋_GB2312" w:cs="仿宋_GB2312"/>
          <w:sz w:val="32"/>
          <w:szCs w:val="32"/>
          <w:lang w:val="en-US" w:eastAsia="zh-CN"/>
        </w:rPr>
        <w:t>315.84</w:t>
      </w:r>
      <w:r>
        <w:rPr>
          <w:rFonts w:hint="eastAsia" w:asci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eastAsia="仿宋_GB2312" w:cs="仿宋_GB2312"/>
          <w:sz w:val="32"/>
          <w:szCs w:val="32"/>
          <w:lang w:val="en-US" w:eastAsia="zh-CN"/>
        </w:rPr>
        <w:t>20.77</w:t>
      </w:r>
      <w:r>
        <w:rPr>
          <w:rFonts w:hint="eastAsia" w:asci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65B8986">
      <w:pPr>
        <w:spacing w:line="600" w:lineRule="exact"/>
        <w:ind w:firstLine="640" w:firstLineChars="200"/>
        <w:outlineLvl w:val="1"/>
        <w:rPr>
          <w:rStyle w:val="17"/>
          <w:rFonts w:ascii="Times New Roman" w:hAnsi="Times New Roman" w:eastAsia="黑体"/>
          <w:b w:val="0"/>
          <w:color w:val="auto"/>
          <w:highlight w:val="none"/>
        </w:rPr>
      </w:pPr>
      <w:bookmarkStart w:id="20" w:name="_Toc15377215"/>
      <w:bookmarkStart w:id="21" w:name="_Toc15396609"/>
      <w:r>
        <w:rPr>
          <w:rFonts w:hint="eastAsia" w:ascii="Times New Roman" w:hAnsi="Times New Roman" w:eastAsia="黑体"/>
          <w:color w:val="auto"/>
          <w:sz w:val="32"/>
          <w:szCs w:val="32"/>
          <w:highlight w:val="none"/>
        </w:rPr>
        <w:t>七、</w:t>
      </w:r>
      <w:r>
        <w:rPr>
          <w:rStyle w:val="17"/>
          <w:rFonts w:hint="eastAsia" w:ascii="Times New Roman" w:hAnsi="Times New Roman" w:eastAsia="黑体"/>
          <w:b w:val="0"/>
          <w:color w:val="auto"/>
          <w:highlight w:val="none"/>
        </w:rPr>
        <w:t>财政拨款</w:t>
      </w:r>
      <w:r>
        <w:rPr>
          <w:rStyle w:val="17"/>
          <w:rFonts w:hint="eastAsia" w:ascii="Times New Roman" w:hAnsi="Times New Roman" w:eastAsia="黑体"/>
          <w:color w:val="auto"/>
          <w:highlight w:val="none"/>
        </w:rPr>
        <w:t>“</w:t>
      </w:r>
      <w:r>
        <w:rPr>
          <w:rStyle w:val="17"/>
          <w:rFonts w:hint="eastAsia" w:ascii="Times New Roman" w:hAnsi="Times New Roman" w:eastAsia="黑体"/>
          <w:b w:val="0"/>
          <w:color w:val="auto"/>
          <w:highlight w:val="none"/>
        </w:rPr>
        <w:t>三公”经费支出决算情况说明</w:t>
      </w:r>
      <w:bookmarkEnd w:id="20"/>
      <w:bookmarkEnd w:id="21"/>
    </w:p>
    <w:p w14:paraId="40B9498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22"/>
    </w:p>
    <w:p w14:paraId="7FF21D7B">
      <w:pPr>
        <w:spacing w:line="600" w:lineRule="exact"/>
        <w:ind w:firstLine="640"/>
        <w:rPr>
          <w:rFonts w:hint="eastAsia" w:ascii="仿宋" w:eastAsia="仿宋"/>
          <w:b/>
          <w:sz w:val="32"/>
          <w:szCs w:val="32"/>
        </w:rPr>
      </w:pPr>
      <w:r>
        <w:rPr>
          <w:rFonts w:hint="eastAsia" w:ascii="仿宋" w:eastAsia="仿宋"/>
          <w:sz w:val="32"/>
          <w:szCs w:val="32"/>
        </w:rPr>
        <w:t>年度“三公”经费财政拨款支出决算为</w:t>
      </w:r>
      <w:r>
        <w:rPr>
          <w:rFonts w:hint="eastAsia" w:ascii="仿宋" w:eastAsia="仿宋"/>
          <w:b/>
          <w:sz w:val="32"/>
          <w:szCs w:val="32"/>
        </w:rPr>
        <w:t>3</w:t>
      </w:r>
      <w:r>
        <w:rPr>
          <w:rFonts w:hint="eastAsia" w:ascii="仿宋" w:eastAsia="仿宋"/>
          <w:sz w:val="32"/>
          <w:szCs w:val="32"/>
          <w:lang w:eastAsia="zh-CN"/>
        </w:rPr>
        <w:t>万元</w:t>
      </w:r>
      <w:r>
        <w:rPr>
          <w:rFonts w:hint="eastAsia" w:ascii="仿宋" w:eastAsia="仿宋"/>
          <w:sz w:val="32"/>
          <w:szCs w:val="32"/>
        </w:rPr>
        <w:t>，完成预算</w:t>
      </w:r>
      <w:r>
        <w:rPr>
          <w:rFonts w:hint="eastAsia" w:ascii="仿宋" w:eastAsia="仿宋"/>
          <w:b/>
          <w:sz w:val="32"/>
          <w:szCs w:val="32"/>
        </w:rPr>
        <w:t>100</w:t>
      </w:r>
      <w:r>
        <w:rPr>
          <w:rFonts w:hint="eastAsia" w:ascii="仿宋" w:eastAsia="仿宋"/>
          <w:sz w:val="32"/>
          <w:szCs w:val="32"/>
        </w:rPr>
        <w:t>%，较上年度增加</w:t>
      </w:r>
      <w:r>
        <w:rPr>
          <w:rFonts w:hint="eastAsia" w:ascii="仿宋" w:eastAsia="仿宋"/>
          <w:sz w:val="32"/>
          <w:szCs w:val="32"/>
          <w:lang w:val="en-US" w:eastAsia="zh-CN"/>
        </w:rPr>
        <w:t>0</w:t>
      </w:r>
      <w:r>
        <w:rPr>
          <w:rFonts w:hint="eastAsia" w:ascii="仿宋" w:eastAsia="仿宋"/>
          <w:sz w:val="32"/>
          <w:szCs w:val="32"/>
          <w:lang w:eastAsia="zh-CN"/>
        </w:rPr>
        <w:t>万元</w:t>
      </w:r>
      <w:r>
        <w:rPr>
          <w:rFonts w:hint="eastAsia" w:ascii="仿宋" w:eastAsia="仿宋"/>
          <w:sz w:val="32"/>
          <w:szCs w:val="32"/>
        </w:rPr>
        <w:t>，增长</w:t>
      </w:r>
      <w:r>
        <w:rPr>
          <w:rFonts w:hint="eastAsia" w:ascii="仿宋" w:eastAsia="仿宋"/>
          <w:sz w:val="32"/>
          <w:szCs w:val="32"/>
          <w:lang w:val="en-US" w:eastAsia="zh-CN"/>
        </w:rPr>
        <w:t>0</w:t>
      </w:r>
      <w:r>
        <w:rPr>
          <w:rFonts w:hint="eastAsia" w:ascii="仿宋" w:eastAsia="仿宋"/>
          <w:sz w:val="32"/>
          <w:szCs w:val="32"/>
        </w:rPr>
        <w:t>%。决算数与预算数持平的主要原因是</w:t>
      </w:r>
      <w:r>
        <w:rPr>
          <w:rFonts w:hint="eastAsia" w:ascii="仿宋" w:eastAsia="仿宋"/>
          <w:sz w:val="32"/>
          <w:szCs w:val="32"/>
          <w:lang w:eastAsia="zh-CN"/>
        </w:rPr>
        <w:t>公务用车无变动</w:t>
      </w:r>
      <w:r>
        <w:rPr>
          <w:rFonts w:hint="eastAsia" w:ascii="仿宋" w:eastAsia="仿宋"/>
          <w:sz w:val="32"/>
          <w:szCs w:val="32"/>
        </w:rPr>
        <w:t>。</w:t>
      </w:r>
    </w:p>
    <w:p w14:paraId="71782E45">
      <w:pPr>
        <w:pStyle w:val="11"/>
        <w:rPr>
          <w:rFonts w:hint="eastAsia"/>
          <w:lang w:val="en-US" w:eastAsia="zh-CN"/>
        </w:rPr>
      </w:pPr>
    </w:p>
    <w:p w14:paraId="2045CAB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23"/>
    </w:p>
    <w:p w14:paraId="6A532661">
      <w:pPr>
        <w:spacing w:line="240" w:lineRule="auto"/>
        <w:ind w:firstLine="640"/>
        <w:rPr>
          <w:rFonts w:hint="eastAsia" w:ascii="仿宋" w:eastAsia="仿宋"/>
          <w:sz w:val="32"/>
          <w:szCs w:val="32"/>
        </w:rPr>
      </w:pPr>
      <w:r>
        <w:rPr>
          <w:rFonts w:hint="eastAsia" w:ascii="仿宋_GB2312" w:eastAsia="仿宋_GB2312" w:cs="仿宋_GB2312"/>
          <w:color w:val="auto"/>
          <w:kern w:val="2"/>
          <w:sz w:val="32"/>
          <w:szCs w:val="32"/>
          <w:highlight w:val="none"/>
          <w:lang w:val="en-US" w:eastAsia="zh-CN" w:bidi="ar-SA"/>
        </w:rPr>
        <w:t>2025</w:t>
      </w:r>
      <w:r>
        <w:rPr>
          <w:rFonts w:hint="eastAsia" w:ascii="仿宋" w:eastAsia="仿宋"/>
          <w:sz w:val="32"/>
          <w:szCs w:val="32"/>
        </w:rPr>
        <w:t>年度“三公”经费财政拨款支出决算中，因公出国（境）费支出决算</w:t>
      </w:r>
      <w:r>
        <w:rPr>
          <w:rFonts w:hint="eastAsia" w:ascii="仿宋" w:eastAsia="仿宋"/>
          <w:b/>
          <w:sz w:val="32"/>
          <w:szCs w:val="32"/>
        </w:rPr>
        <w:t>0</w:t>
      </w:r>
      <w:r>
        <w:rPr>
          <w:rFonts w:hint="eastAsia" w:ascii="仿宋" w:eastAsia="仿宋"/>
          <w:sz w:val="32"/>
          <w:szCs w:val="32"/>
          <w:lang w:eastAsia="zh-CN"/>
        </w:rPr>
        <w:t>万元</w:t>
      </w:r>
      <w:r>
        <w:rPr>
          <w:rFonts w:hint="eastAsia" w:ascii="仿宋" w:eastAsia="仿宋"/>
          <w:sz w:val="32"/>
          <w:szCs w:val="32"/>
        </w:rPr>
        <w:t>，占</w:t>
      </w:r>
      <w:r>
        <w:rPr>
          <w:rFonts w:hint="eastAsia" w:ascii="仿宋" w:eastAsia="仿宋"/>
          <w:b/>
          <w:sz w:val="32"/>
          <w:szCs w:val="32"/>
        </w:rPr>
        <w:t>0</w:t>
      </w:r>
      <w:r>
        <w:rPr>
          <w:rFonts w:hint="eastAsia" w:ascii="仿宋" w:eastAsia="仿宋"/>
          <w:sz w:val="32"/>
          <w:szCs w:val="32"/>
        </w:rPr>
        <w:t>%；公务用车购置及运行维护费支出决算</w:t>
      </w:r>
      <w:r>
        <w:rPr>
          <w:rFonts w:hint="eastAsia" w:ascii="仿宋" w:eastAsia="仿宋"/>
          <w:b/>
          <w:sz w:val="32"/>
          <w:szCs w:val="32"/>
        </w:rPr>
        <w:t>3</w:t>
      </w:r>
      <w:r>
        <w:rPr>
          <w:rFonts w:hint="eastAsia" w:ascii="仿宋" w:eastAsia="仿宋"/>
          <w:sz w:val="32"/>
          <w:szCs w:val="32"/>
          <w:lang w:eastAsia="zh-CN"/>
        </w:rPr>
        <w:t>万元</w:t>
      </w:r>
      <w:r>
        <w:rPr>
          <w:rFonts w:hint="eastAsia" w:ascii="仿宋" w:eastAsia="仿宋"/>
          <w:sz w:val="32"/>
          <w:szCs w:val="32"/>
        </w:rPr>
        <w:t>，占</w:t>
      </w:r>
      <w:r>
        <w:rPr>
          <w:rFonts w:hint="eastAsia" w:ascii="仿宋" w:eastAsia="仿宋"/>
          <w:b/>
          <w:sz w:val="32"/>
          <w:szCs w:val="32"/>
        </w:rPr>
        <w:t>100</w:t>
      </w:r>
      <w:r>
        <w:rPr>
          <w:rFonts w:hint="eastAsia" w:ascii="仿宋" w:eastAsia="仿宋"/>
          <w:sz w:val="32"/>
          <w:szCs w:val="32"/>
        </w:rPr>
        <w:t>%；公务接待费支出决算</w:t>
      </w:r>
      <w:r>
        <w:rPr>
          <w:rFonts w:hint="eastAsia" w:ascii="仿宋" w:eastAsia="仿宋"/>
          <w:b/>
          <w:sz w:val="32"/>
          <w:szCs w:val="32"/>
        </w:rPr>
        <w:t>0</w:t>
      </w:r>
      <w:r>
        <w:rPr>
          <w:rFonts w:hint="eastAsia" w:ascii="仿宋" w:eastAsia="仿宋"/>
          <w:sz w:val="32"/>
          <w:szCs w:val="32"/>
          <w:lang w:eastAsia="zh-CN"/>
        </w:rPr>
        <w:t>万元</w:t>
      </w:r>
      <w:r>
        <w:rPr>
          <w:rFonts w:hint="eastAsia" w:ascii="仿宋" w:eastAsia="仿宋"/>
          <w:sz w:val="32"/>
          <w:szCs w:val="32"/>
        </w:rPr>
        <w:t>，占</w:t>
      </w:r>
      <w:r>
        <w:rPr>
          <w:rFonts w:hint="eastAsia" w:ascii="仿宋" w:eastAsia="仿宋"/>
          <w:b/>
          <w:sz w:val="32"/>
          <w:szCs w:val="32"/>
        </w:rPr>
        <w:t>0</w:t>
      </w:r>
      <w:r>
        <w:rPr>
          <w:rFonts w:hint="eastAsia" w:ascii="仿宋" w:eastAsia="仿宋"/>
          <w:sz w:val="32"/>
          <w:szCs w:val="32"/>
        </w:rPr>
        <w:t>%。具体情况如下：</w:t>
      </w:r>
    </w:p>
    <w:p w14:paraId="19A775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30E91B68">
      <w:pPr>
        <w:spacing w:line="600" w:lineRule="exact"/>
        <w:ind w:firstLine="640"/>
        <w:rPr>
          <w:rFonts w:hint="eastAsia" w:ascii="仿宋_GB2312" w:eastAsia="仿宋_GB2312"/>
          <w:b/>
          <w:sz w:val="32"/>
          <w:szCs w:val="32"/>
        </w:rPr>
      </w:pPr>
      <w:r>
        <w:rPr>
          <w:rFonts w:ascii="仿宋" w:eastAsia="仿宋"/>
          <w:sz w:val="32"/>
          <w:szCs w:val="32"/>
          <w:lang w:eastAsia="zh-CN"/>
        </w:rPr>
        <w:drawing>
          <wp:anchor distT="0" distB="0" distL="114300" distR="114300" simplePos="0" relativeHeight="251659264" behindDoc="0" locked="0" layoutInCell="1" allowOverlap="1">
            <wp:simplePos x="0" y="0"/>
            <wp:positionH relativeFrom="column">
              <wp:posOffset>392430</wp:posOffset>
            </wp:positionH>
            <wp:positionV relativeFrom="paragraph">
              <wp:posOffset>69215</wp:posOffset>
            </wp:positionV>
            <wp:extent cx="4591050" cy="2762250"/>
            <wp:effectExtent l="0" t="0" r="0" b="0"/>
            <wp:wrapTight wrapText="bothSides">
              <wp:wrapPolygon>
                <wp:start x="0" y="0"/>
                <wp:lineTo x="0" y="21451"/>
                <wp:lineTo x="21510" y="21451"/>
                <wp:lineTo x="21510" y="0"/>
                <wp:lineTo x="0" y="0"/>
              </wp:wrapPolygon>
            </wp:wrapTight>
            <wp:docPr id="13" name="图片 3" descr="55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55551"/>
                    <pic:cNvPicPr>
                      <a:picLocks noChangeAspect="1"/>
                    </pic:cNvPicPr>
                  </pic:nvPicPr>
                  <pic:blipFill>
                    <a:blip r:embed="rId13"/>
                    <a:stretch>
                      <a:fillRect/>
                    </a:stretch>
                  </pic:blipFill>
                  <pic:spPr>
                    <a:xfrm>
                      <a:off x="0" y="0"/>
                      <a:ext cx="4591050" cy="2762250"/>
                    </a:xfrm>
                    <a:prstGeom prst="rect">
                      <a:avLst/>
                    </a:prstGeom>
                    <a:noFill/>
                    <a:ln w="9525" cap="flat" cmpd="sng">
                      <a:noFill/>
                      <a:prstDash val="solid"/>
                      <a:round/>
                    </a:ln>
                  </pic:spPr>
                </pic:pic>
              </a:graphicData>
            </a:graphic>
          </wp:anchor>
        </w:drawing>
      </w:r>
      <w:r>
        <w:rPr>
          <w:rFonts w:hint="eastAsia" w:ascii="Times New Roman" w:hAnsi="Times New Roman" w:eastAsia="仿宋_GB2312" w:cs="仿宋_GB2312"/>
          <w:b/>
          <w:bCs/>
          <w:color w:val="auto"/>
          <w:kern w:val="2"/>
          <w:sz w:val="32"/>
          <w:szCs w:val="32"/>
          <w:highlight w:val="none"/>
          <w:lang w:val="en-US" w:eastAsia="zh-CN" w:bidi="ar-SA"/>
        </w:rPr>
        <w:t>1.</w:t>
      </w:r>
      <w:r>
        <w:rPr>
          <w:rFonts w:hint="eastAsia" w:ascii="仿宋_GB2312" w:eastAsia="仿宋_GB2312"/>
          <w:sz w:val="32"/>
          <w:szCs w:val="32"/>
        </w:rPr>
        <w:t>安排因公出国（境）团组</w:t>
      </w:r>
      <w:r>
        <w:rPr>
          <w:rFonts w:hint="eastAsia" w:ascii="仿宋_GB2312" w:eastAsia="仿宋_GB2312"/>
          <w:b/>
          <w:sz w:val="32"/>
          <w:szCs w:val="32"/>
        </w:rPr>
        <w:t>0</w:t>
      </w:r>
      <w:r>
        <w:rPr>
          <w:rFonts w:hint="eastAsia" w:ascii="仿宋_GB2312" w:eastAsia="仿宋_GB2312"/>
          <w:sz w:val="32"/>
          <w:szCs w:val="32"/>
        </w:rPr>
        <w:t>次，出国（境）</w:t>
      </w:r>
      <w:r>
        <w:rPr>
          <w:rFonts w:hint="eastAsia" w:ascii="仿宋_GB2312" w:eastAsia="仿宋_GB2312"/>
          <w:b/>
          <w:sz w:val="32"/>
          <w:szCs w:val="32"/>
        </w:rPr>
        <w:t>0</w:t>
      </w:r>
      <w:r>
        <w:rPr>
          <w:rFonts w:hint="eastAsia" w:ascii="仿宋_GB2312" w:eastAsia="仿宋_GB2312"/>
          <w:sz w:val="32"/>
          <w:szCs w:val="32"/>
        </w:rPr>
        <w:t>人。因公出国（境）支出决算比202</w:t>
      </w:r>
      <w:r>
        <w:rPr>
          <w:rFonts w:hint="eastAsia" w:ascii="仿宋_GB2312" w:eastAsia="仿宋_GB2312"/>
          <w:sz w:val="32"/>
          <w:szCs w:val="32"/>
          <w:lang w:val="en-US" w:eastAsia="zh-CN"/>
        </w:rPr>
        <w:t>4</w:t>
      </w:r>
      <w:r>
        <w:rPr>
          <w:rFonts w:hint="eastAsia" w:ascii="仿宋_GB2312" w:eastAsia="仿宋_GB2312"/>
          <w:sz w:val="32"/>
          <w:szCs w:val="32"/>
        </w:rPr>
        <w:t>年增加</w:t>
      </w:r>
      <w:r>
        <w:rPr>
          <w:rFonts w:hint="eastAsia" w:ascii="仿宋_GB2312" w:eastAsia="仿宋_GB2312"/>
          <w:sz w:val="32"/>
          <w:szCs w:val="32"/>
          <w:lang w:val="en-US" w:eastAsia="zh-CN"/>
        </w:rPr>
        <w:t>0</w:t>
      </w:r>
      <w:r>
        <w:rPr>
          <w:rFonts w:hint="eastAsia" w:ascii="仿宋_GB2312" w:eastAsia="仿宋_GB2312"/>
          <w:sz w:val="32"/>
          <w:szCs w:val="32"/>
          <w:lang w:eastAsia="zh-CN"/>
        </w:rPr>
        <w:t>万元</w:t>
      </w:r>
      <w:r>
        <w:rPr>
          <w:rFonts w:hint="eastAsia" w:ascii="仿宋_GB2312" w:eastAsia="仿宋_GB2312"/>
          <w:sz w:val="32"/>
          <w:szCs w:val="32"/>
        </w:rPr>
        <w:t>，增长</w:t>
      </w:r>
      <w:r>
        <w:rPr>
          <w:rFonts w:hint="eastAsia" w:ascii="仿宋_GB2312" w:eastAsia="仿宋_GB2312"/>
          <w:sz w:val="32"/>
          <w:szCs w:val="32"/>
          <w:lang w:val="en-US" w:eastAsia="zh-CN"/>
        </w:rPr>
        <w:t>0</w:t>
      </w:r>
      <w:r>
        <w:rPr>
          <w:rFonts w:hint="eastAsia" w:ascii="仿宋_GB2312" w:eastAsia="仿宋_GB2312"/>
          <w:sz w:val="32"/>
          <w:szCs w:val="32"/>
        </w:rPr>
        <w:t>%。主要原因是</w:t>
      </w:r>
      <w:r>
        <w:rPr>
          <w:rFonts w:hint="eastAsia" w:ascii="仿宋_GB2312" w:eastAsia="仿宋_GB2312"/>
          <w:sz w:val="32"/>
          <w:szCs w:val="32"/>
          <w:lang w:eastAsia="zh-CN"/>
        </w:rPr>
        <w:t>无因公出国</w:t>
      </w:r>
      <w:r>
        <w:rPr>
          <w:rFonts w:hint="eastAsia" w:ascii="仿宋_GB2312" w:eastAsia="仿宋_GB2312"/>
          <w:sz w:val="32"/>
          <w:szCs w:val="32"/>
        </w:rPr>
        <w:t>。</w:t>
      </w:r>
    </w:p>
    <w:p w14:paraId="0D797477">
      <w:pPr>
        <w:spacing w:line="600" w:lineRule="exact"/>
        <w:ind w:firstLine="640"/>
        <w:rPr>
          <w:rFonts w:hint="eastAsia" w:ascii="仿宋_GB2312" w:eastAsia="仿宋_GB2312"/>
          <w:sz w:val="32"/>
          <w:szCs w:val="32"/>
        </w:rPr>
      </w:pPr>
      <w:r>
        <w:rPr>
          <w:rFonts w:hint="eastAsia" w:ascii="仿宋_GB2312" w:eastAsia="仿宋_GB2312"/>
          <w:b/>
          <w:sz w:val="32"/>
          <w:szCs w:val="32"/>
        </w:rPr>
        <w:t>2.公务用车购置及运行维护费支出</w:t>
      </w:r>
      <w:r>
        <w:rPr>
          <w:rFonts w:hint="eastAsia" w:ascii="仿宋" w:eastAsia="仿宋"/>
          <w:b/>
          <w:sz w:val="32"/>
          <w:szCs w:val="32"/>
        </w:rPr>
        <w:t>3</w:t>
      </w:r>
      <w:r>
        <w:rPr>
          <w:rFonts w:hint="eastAsia" w:ascii="仿宋_GB2312" w:eastAsia="仿宋_GB2312"/>
          <w:sz w:val="32"/>
          <w:szCs w:val="32"/>
          <w:lang w:eastAsia="zh-CN"/>
        </w:rPr>
        <w:t>万元</w:t>
      </w:r>
      <w:r>
        <w:rPr>
          <w:rFonts w:hint="eastAsia" w:ascii="仿宋_GB2312" w:eastAsia="仿宋_GB2312"/>
          <w:sz w:val="32"/>
          <w:szCs w:val="32"/>
        </w:rPr>
        <w:t>,</w:t>
      </w:r>
      <w:r>
        <w:rPr>
          <w:rStyle w:val="15"/>
          <w:rFonts w:hint="eastAsia" w:ascii="仿宋" w:eastAsia="仿宋"/>
          <w:b w:val="0"/>
          <w:bCs/>
          <w:sz w:val="32"/>
          <w:szCs w:val="32"/>
        </w:rPr>
        <w:t>完成预算</w:t>
      </w:r>
      <w:r>
        <w:rPr>
          <w:rStyle w:val="15"/>
          <w:rFonts w:hint="eastAsia" w:ascii="仿宋" w:eastAsia="仿宋"/>
          <w:bCs/>
          <w:sz w:val="32"/>
          <w:szCs w:val="32"/>
        </w:rPr>
        <w:t>100</w:t>
      </w:r>
      <w:r>
        <w:rPr>
          <w:rStyle w:val="15"/>
          <w:rFonts w:hint="eastAsia" w:ascii="仿宋" w:eastAsia="仿宋"/>
          <w:b w:val="0"/>
          <w:bCs/>
          <w:sz w:val="32"/>
          <w:szCs w:val="32"/>
        </w:rPr>
        <w:t>%。</w:t>
      </w:r>
      <w:r>
        <w:rPr>
          <w:rFonts w:hint="eastAsia" w:ascii="仿宋_GB2312" w:eastAsia="仿宋_GB2312"/>
          <w:sz w:val="32"/>
          <w:szCs w:val="32"/>
        </w:rPr>
        <w:t>公务用车购置及运行维护费支出决算比202</w:t>
      </w:r>
      <w:r>
        <w:rPr>
          <w:rFonts w:hint="eastAsia" w:ascii="仿宋_GB2312" w:eastAsia="仿宋_GB2312"/>
          <w:sz w:val="32"/>
          <w:szCs w:val="32"/>
          <w:lang w:val="en-US" w:eastAsia="zh-CN"/>
        </w:rPr>
        <w:t>4</w:t>
      </w:r>
      <w:r>
        <w:rPr>
          <w:rFonts w:hint="eastAsia" w:ascii="仿宋_GB2312" w:eastAsia="仿宋_GB2312"/>
          <w:sz w:val="32"/>
          <w:szCs w:val="32"/>
        </w:rPr>
        <w:t>年度增加</w:t>
      </w:r>
      <w:r>
        <w:rPr>
          <w:rFonts w:hint="eastAsia" w:ascii="仿宋_GB2312" w:eastAsia="仿宋_GB2312"/>
          <w:sz w:val="32"/>
          <w:szCs w:val="32"/>
          <w:lang w:val="en-US" w:eastAsia="zh-CN"/>
        </w:rPr>
        <w:t>0</w:t>
      </w:r>
      <w:r>
        <w:rPr>
          <w:rFonts w:hint="eastAsia" w:ascii="仿宋_GB2312" w:eastAsia="仿宋_GB2312"/>
          <w:sz w:val="32"/>
          <w:szCs w:val="32"/>
          <w:lang w:eastAsia="zh-CN"/>
        </w:rPr>
        <w:t>万</w:t>
      </w:r>
      <w:r>
        <w:rPr>
          <w:rFonts w:hint="eastAsia" w:ascii="仿宋_GB2312" w:eastAsia="仿宋_GB2312"/>
          <w:sz w:val="32"/>
          <w:szCs w:val="32"/>
        </w:rPr>
        <w:t>元，增长</w:t>
      </w:r>
      <w:r>
        <w:rPr>
          <w:rFonts w:hint="eastAsia" w:ascii="仿宋_GB2312" w:eastAsia="仿宋_GB2312"/>
          <w:sz w:val="32"/>
          <w:szCs w:val="32"/>
          <w:lang w:val="en-US" w:eastAsia="zh-CN"/>
        </w:rPr>
        <w:t>0</w:t>
      </w:r>
      <w:r>
        <w:rPr>
          <w:rFonts w:hint="eastAsia" w:ascii="仿宋_GB2312" w:eastAsia="仿宋_GB2312"/>
          <w:sz w:val="32"/>
          <w:szCs w:val="32"/>
        </w:rPr>
        <w:t>%。主要原因是公务用车购置及运行维护费</w:t>
      </w:r>
      <w:r>
        <w:rPr>
          <w:rFonts w:hint="eastAsia" w:ascii="仿宋_GB2312" w:eastAsia="仿宋_GB2312"/>
          <w:sz w:val="32"/>
          <w:szCs w:val="32"/>
          <w:lang w:eastAsia="zh-CN"/>
        </w:rPr>
        <w:t>无变动</w:t>
      </w:r>
      <w:r>
        <w:rPr>
          <w:rFonts w:hint="eastAsia" w:ascii="仿宋_GB2312" w:eastAsia="仿宋_GB2312"/>
          <w:sz w:val="32"/>
          <w:szCs w:val="32"/>
        </w:rPr>
        <w:t>。</w:t>
      </w:r>
    </w:p>
    <w:p w14:paraId="5B0B17C7">
      <w:pPr>
        <w:spacing w:line="600" w:lineRule="exact"/>
        <w:ind w:firstLine="640" w:firstLineChars="200"/>
        <w:rPr>
          <w:rFonts w:hint="eastAsia"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 w:eastAsia="仿宋"/>
          <w:b/>
          <w:bCs w:val="0"/>
          <w:sz w:val="32"/>
          <w:szCs w:val="32"/>
        </w:rPr>
        <w:t>0</w:t>
      </w:r>
      <w:r>
        <w:rPr>
          <w:rFonts w:hint="eastAsia" w:ascii="仿宋_GB2312" w:eastAsia="仿宋_GB2312"/>
          <w:sz w:val="32"/>
          <w:szCs w:val="32"/>
          <w:lang w:eastAsia="zh-CN"/>
        </w:rPr>
        <w:t>万元</w:t>
      </w:r>
      <w:r>
        <w:rPr>
          <w:rFonts w:hint="eastAsia" w:ascii="仿宋_GB2312" w:eastAsia="仿宋_GB2312"/>
          <w:sz w:val="32"/>
          <w:szCs w:val="32"/>
        </w:rPr>
        <w:t>。全年按规定更新购置公务用车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lang w:eastAsia="zh-CN"/>
        </w:rPr>
        <w:t>万元</w:t>
      </w:r>
      <w:r>
        <w:rPr>
          <w:rFonts w:hint="eastAsia" w:ascii="仿宋_GB2312" w:eastAsia="仿宋_GB2312"/>
          <w:sz w:val="32"/>
          <w:szCs w:val="32"/>
        </w:rPr>
        <w:t>，越野车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lang w:eastAsia="zh-CN"/>
        </w:rPr>
        <w:t>万元</w:t>
      </w:r>
      <w:r>
        <w:rPr>
          <w:rFonts w:hint="eastAsia" w:ascii="仿宋_GB2312" w:eastAsia="仿宋_GB2312"/>
          <w:sz w:val="32"/>
          <w:szCs w:val="32"/>
        </w:rPr>
        <w:t>，载客汽车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lang w:eastAsia="zh-CN"/>
        </w:rPr>
        <w:t>万元</w:t>
      </w:r>
      <w:r>
        <w:rPr>
          <w:rFonts w:hint="eastAsia" w:ascii="仿宋_GB2312" w:eastAsia="仿宋_GB2312"/>
          <w:sz w:val="32"/>
          <w:szCs w:val="32"/>
        </w:rPr>
        <w:t>。截至202</w:t>
      </w:r>
      <w:r>
        <w:rPr>
          <w:rFonts w:hint="eastAsia" w:ascii="仿宋_GB2312" w:eastAsia="仿宋_GB2312"/>
          <w:sz w:val="32"/>
          <w:szCs w:val="32"/>
          <w:lang w:val="en-US" w:eastAsia="zh-CN"/>
        </w:rPr>
        <w:t>5</w:t>
      </w:r>
      <w:r>
        <w:rPr>
          <w:rFonts w:hint="eastAsia" w:ascii="仿宋_GB2312" w:eastAsia="仿宋_GB2312"/>
          <w:sz w:val="32"/>
          <w:szCs w:val="32"/>
        </w:rPr>
        <w:t>年12月31日，单位共有公务用车</w:t>
      </w:r>
      <w:r>
        <w:rPr>
          <w:rFonts w:hint="eastAsia" w:ascii="仿宋_GB2312" w:eastAsia="仿宋_GB2312"/>
          <w:sz w:val="32"/>
          <w:szCs w:val="32"/>
          <w:lang w:val="en-US" w:eastAsia="zh-CN"/>
        </w:rPr>
        <w:t>1</w:t>
      </w:r>
      <w:r>
        <w:rPr>
          <w:rFonts w:hint="eastAsia" w:ascii="仿宋_GB2312" w:eastAsia="仿宋_GB2312"/>
          <w:sz w:val="32"/>
          <w:szCs w:val="32"/>
        </w:rPr>
        <w:t>辆，其中：轿车</w:t>
      </w:r>
      <w:r>
        <w:rPr>
          <w:rFonts w:hint="eastAsia" w:ascii="仿宋_GB2312" w:eastAsia="仿宋_GB2312"/>
          <w:sz w:val="32"/>
          <w:szCs w:val="32"/>
          <w:lang w:val="en-US" w:eastAsia="zh-CN"/>
        </w:rPr>
        <w:t>1</w:t>
      </w:r>
      <w:r>
        <w:rPr>
          <w:rFonts w:hint="eastAsia" w:ascii="仿宋_GB2312" w:eastAsia="仿宋_GB2312"/>
          <w:sz w:val="32"/>
          <w:szCs w:val="32"/>
        </w:rPr>
        <w:t>辆、越野车</w:t>
      </w:r>
      <w:r>
        <w:rPr>
          <w:rFonts w:hint="eastAsia" w:ascii="仿宋_GB2312" w:eastAsia="仿宋_GB2312"/>
          <w:sz w:val="32"/>
          <w:szCs w:val="32"/>
          <w:lang w:val="en-US" w:eastAsia="zh-CN"/>
        </w:rPr>
        <w:t>0</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p>
    <w:p w14:paraId="6CB19B5E">
      <w:pPr>
        <w:spacing w:line="600" w:lineRule="exact"/>
        <w:ind w:firstLine="640"/>
        <w:rPr>
          <w:rFonts w:hint="eastAsia" w:ascii="仿宋_GB2312" w:eastAsia="仿宋_GB2312"/>
          <w:sz w:val="32"/>
          <w:szCs w:val="32"/>
        </w:rPr>
      </w:pPr>
      <w:r>
        <w:rPr>
          <w:rFonts w:hint="eastAsia" w:ascii="仿宋_GB2312" w:eastAsia="仿宋_GB2312"/>
          <w:b/>
          <w:sz w:val="32"/>
          <w:szCs w:val="32"/>
        </w:rPr>
        <w:t>公务用车运行维护费支出</w:t>
      </w:r>
      <w:r>
        <w:rPr>
          <w:rFonts w:hint="eastAsia" w:ascii="仿宋" w:eastAsia="仿宋"/>
          <w:b/>
          <w:sz w:val="32"/>
          <w:szCs w:val="32"/>
        </w:rPr>
        <w:t>3</w:t>
      </w:r>
      <w:r>
        <w:rPr>
          <w:rFonts w:hint="eastAsia" w:ascii="仿宋_GB2312" w:eastAsia="仿宋_GB2312"/>
          <w:sz w:val="32"/>
          <w:szCs w:val="32"/>
          <w:lang w:eastAsia="zh-CN"/>
        </w:rPr>
        <w:t>万元</w:t>
      </w:r>
      <w:r>
        <w:rPr>
          <w:rFonts w:hint="eastAsia" w:ascii="仿宋_GB2312" w:eastAsia="仿宋_GB2312"/>
          <w:sz w:val="32"/>
          <w:szCs w:val="32"/>
        </w:rPr>
        <w:t>。主要用于</w:t>
      </w:r>
      <w:r>
        <w:rPr>
          <w:rFonts w:hint="eastAsia" w:ascii="仿宋_GB2312" w:eastAsia="仿宋_GB2312"/>
          <w:sz w:val="32"/>
          <w:szCs w:val="32"/>
          <w:lang w:eastAsia="zh-CN"/>
        </w:rPr>
        <w:t>出差及下乡工作</w:t>
      </w:r>
      <w:r>
        <w:rPr>
          <w:rFonts w:hint="eastAsia" w:ascii="仿宋_GB2312" w:eastAsia="仿宋_GB2312"/>
          <w:sz w:val="32"/>
          <w:szCs w:val="32"/>
        </w:rPr>
        <w:t>等所需的公务用车燃料费、维修费、过路过桥费、保险费等支出。</w:t>
      </w:r>
    </w:p>
    <w:p w14:paraId="09BD0E59">
      <w:pPr>
        <w:numPr>
          <w:ilvl w:val="0"/>
          <w:numId w:val="3"/>
        </w:numPr>
        <w:spacing w:line="600" w:lineRule="exact"/>
        <w:ind w:left="0" w:firstLine="640"/>
        <w:rPr>
          <w:rFonts w:hint="eastAsia" w:ascii="仿宋_GB2312" w:eastAsia="仿宋_GB2312"/>
          <w:sz w:val="32"/>
          <w:szCs w:val="32"/>
        </w:rPr>
      </w:pPr>
      <w:r>
        <w:rPr>
          <w:rFonts w:hint="eastAsia" w:ascii="仿宋_GB2312" w:eastAsia="仿宋_GB2312"/>
          <w:b/>
          <w:sz w:val="32"/>
          <w:szCs w:val="32"/>
        </w:rPr>
        <w:t>公务接待费支出</w:t>
      </w:r>
      <w:r>
        <w:rPr>
          <w:rFonts w:hint="eastAsia" w:ascii="仿宋" w:eastAsia="仿宋"/>
          <w:b/>
          <w:sz w:val="32"/>
          <w:szCs w:val="32"/>
        </w:rPr>
        <w:t>0</w:t>
      </w:r>
      <w:r>
        <w:rPr>
          <w:rFonts w:hint="eastAsia" w:ascii="仿宋_GB2312" w:eastAsia="仿宋_GB2312"/>
          <w:sz w:val="32"/>
          <w:szCs w:val="32"/>
          <w:lang w:eastAsia="zh-CN"/>
        </w:rPr>
        <w:t>万元</w:t>
      </w:r>
      <w:r>
        <w:rPr>
          <w:rFonts w:hint="eastAsia" w:ascii="仿宋_GB2312" w:eastAsia="仿宋_GB2312"/>
          <w:sz w:val="32"/>
          <w:szCs w:val="32"/>
        </w:rPr>
        <w:t>，</w:t>
      </w:r>
      <w:r>
        <w:rPr>
          <w:rStyle w:val="15"/>
          <w:rFonts w:hint="eastAsia" w:ascii="仿宋" w:eastAsia="仿宋"/>
          <w:b w:val="0"/>
          <w:bCs/>
          <w:sz w:val="32"/>
          <w:szCs w:val="32"/>
        </w:rPr>
        <w:t>完成预算0%。</w:t>
      </w:r>
      <w:r>
        <w:rPr>
          <w:rFonts w:hint="eastAsia" w:ascii="仿宋_GB2312" w:eastAsia="仿宋_GB2312"/>
          <w:sz w:val="32"/>
          <w:szCs w:val="32"/>
        </w:rPr>
        <w:t>公务接待费支出决算比202</w:t>
      </w:r>
      <w:r>
        <w:rPr>
          <w:rFonts w:hint="eastAsia" w:ascii="仿宋_GB2312" w:eastAsia="仿宋_GB2312"/>
          <w:sz w:val="32"/>
          <w:szCs w:val="32"/>
          <w:lang w:val="en-US" w:eastAsia="zh-CN"/>
        </w:rPr>
        <w:t>5</w:t>
      </w:r>
      <w:r>
        <w:rPr>
          <w:rFonts w:hint="eastAsia" w:ascii="仿宋_GB2312" w:eastAsia="仿宋_GB2312"/>
          <w:sz w:val="32"/>
          <w:szCs w:val="32"/>
        </w:rPr>
        <w:t>年度增加</w:t>
      </w:r>
      <w:r>
        <w:rPr>
          <w:rFonts w:hint="eastAsia" w:ascii="仿宋_GB2312" w:eastAsia="仿宋_GB2312"/>
          <w:sz w:val="32"/>
          <w:szCs w:val="32"/>
          <w:lang w:val="en-US" w:eastAsia="zh-CN"/>
        </w:rPr>
        <w:t>0</w:t>
      </w:r>
      <w:r>
        <w:rPr>
          <w:rFonts w:hint="eastAsia" w:ascii="仿宋_GB2312" w:eastAsia="仿宋_GB2312"/>
          <w:sz w:val="32"/>
          <w:szCs w:val="32"/>
          <w:lang w:eastAsia="zh-CN"/>
        </w:rPr>
        <w:t>万元</w:t>
      </w:r>
      <w:r>
        <w:rPr>
          <w:rFonts w:hint="eastAsia" w:ascii="仿宋_GB2312" w:eastAsia="仿宋_GB2312"/>
          <w:sz w:val="32"/>
          <w:szCs w:val="32"/>
        </w:rPr>
        <w:t>，增长</w:t>
      </w:r>
      <w:r>
        <w:rPr>
          <w:rFonts w:hint="eastAsia" w:ascii="仿宋_GB2312" w:eastAsia="仿宋_GB2312"/>
          <w:sz w:val="32"/>
          <w:szCs w:val="32"/>
          <w:lang w:val="en-US" w:eastAsia="zh-CN"/>
        </w:rPr>
        <w:t>0</w:t>
      </w:r>
      <w:r>
        <w:rPr>
          <w:rFonts w:hint="eastAsia" w:ascii="仿宋_GB2312" w:eastAsia="仿宋_GB2312"/>
          <w:sz w:val="32"/>
          <w:szCs w:val="32"/>
        </w:rPr>
        <w:t>%。主要原因是</w:t>
      </w:r>
      <w:r>
        <w:rPr>
          <w:rFonts w:hint="eastAsia" w:ascii="仿宋_GB2312" w:eastAsia="仿宋_GB2312"/>
          <w:sz w:val="32"/>
          <w:szCs w:val="32"/>
          <w:lang w:eastAsia="zh-CN"/>
        </w:rPr>
        <w:t>我单位无公务接待</w:t>
      </w:r>
      <w:r>
        <w:rPr>
          <w:rFonts w:hint="eastAsia" w:ascii="仿宋_GB2312" w:eastAsia="仿宋_GB2312"/>
          <w:sz w:val="32"/>
          <w:szCs w:val="32"/>
        </w:rPr>
        <w:t>。</w:t>
      </w:r>
    </w:p>
    <w:p w14:paraId="74C02BEB">
      <w:pPr>
        <w:pStyle w:val="2"/>
        <w:rPr>
          <w:rFonts w:hint="eastAsia" w:ascii="仿宋_GB2312" w:eastAsia="仿宋_GB2312"/>
          <w:sz w:val="32"/>
          <w:szCs w:val="32"/>
          <w:lang w:eastAsia="zh-CN"/>
        </w:rPr>
      </w:pPr>
      <w:r>
        <w:rPr>
          <w:rFonts w:hint="eastAsia" w:ascii="仿宋" w:eastAsia="仿宋"/>
          <w:b/>
          <w:sz w:val="32"/>
          <w:szCs w:val="32"/>
        </w:rPr>
        <w:t>国内公务接待支出0</w:t>
      </w:r>
      <w:r>
        <w:rPr>
          <w:rFonts w:hint="eastAsia" w:ascii="仿宋_GB2312" w:eastAsia="仿宋_GB2312"/>
          <w:sz w:val="32"/>
          <w:szCs w:val="32"/>
          <w:lang w:eastAsia="zh-CN"/>
        </w:rPr>
        <w:t>万元</w:t>
      </w:r>
      <w:r>
        <w:rPr>
          <w:rFonts w:hint="eastAsia" w:ascii="仿宋_GB2312" w:eastAsia="仿宋_GB2312"/>
          <w:sz w:val="32"/>
          <w:szCs w:val="32"/>
        </w:rPr>
        <w:t>，</w:t>
      </w:r>
      <w:r>
        <w:rPr>
          <w:rFonts w:hint="eastAsia" w:ascii="仿宋" w:eastAsia="仿宋"/>
          <w:b/>
          <w:sz w:val="32"/>
          <w:szCs w:val="32"/>
        </w:rPr>
        <w:t>外事接待支出0</w:t>
      </w:r>
      <w:r>
        <w:rPr>
          <w:rFonts w:hint="eastAsia" w:ascii="仿宋_GB2312" w:eastAsia="仿宋_GB2312"/>
          <w:sz w:val="32"/>
          <w:szCs w:val="32"/>
          <w:lang w:eastAsia="zh-CN"/>
        </w:rPr>
        <w:t>万元。</w:t>
      </w:r>
    </w:p>
    <w:p w14:paraId="3F49056B">
      <w:pPr>
        <w:spacing w:line="600" w:lineRule="exact"/>
        <w:ind w:firstLine="640" w:firstLineChars="200"/>
        <w:outlineLvl w:val="1"/>
        <w:rPr>
          <w:rStyle w:val="17"/>
          <w:rFonts w:ascii="Times New Roman" w:hAnsi="Times New Roman" w:eastAsia="黑体"/>
          <w:color w:val="auto"/>
          <w:highlight w:val="none"/>
        </w:rPr>
      </w:pPr>
      <w:bookmarkStart w:id="24" w:name="_Toc15396610"/>
      <w:bookmarkStart w:id="25" w:name="_Toc15377218"/>
      <w:r>
        <w:rPr>
          <w:rFonts w:hint="eastAsia" w:ascii="Times New Roman" w:hAnsi="Times New Roman" w:eastAsia="黑体"/>
          <w:color w:val="auto"/>
          <w:sz w:val="32"/>
          <w:szCs w:val="32"/>
          <w:highlight w:val="none"/>
        </w:rPr>
        <w:t>八、</w:t>
      </w:r>
      <w:r>
        <w:rPr>
          <w:rStyle w:val="17"/>
          <w:rFonts w:hint="eastAsia" w:ascii="Times New Roman" w:hAnsi="Times New Roman" w:eastAsia="黑体"/>
          <w:b w:val="0"/>
          <w:color w:val="auto"/>
          <w:highlight w:val="none"/>
        </w:rPr>
        <w:t>政府性基金预算支出决算情况说明</w:t>
      </w:r>
      <w:bookmarkEnd w:id="24"/>
      <w:bookmarkEnd w:id="25"/>
    </w:p>
    <w:p w14:paraId="7077D2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年度政府性基金预算财政拨款支出</w:t>
      </w:r>
      <w:r>
        <w:rPr>
          <w:rFonts w:hint="eastAsia" w:ascii="仿宋" w:eastAsia="仿宋"/>
          <w:b/>
          <w:sz w:val="32"/>
          <w:szCs w:val="32"/>
        </w:rPr>
        <w:t>0</w:t>
      </w:r>
      <w:r>
        <w:rPr>
          <w:rFonts w:hint="eastAsia" w:ascii="仿宋_GB2312" w:eastAsia="仿宋_GB2312"/>
          <w:sz w:val="32"/>
          <w:szCs w:val="32"/>
          <w:lang w:eastAsia="zh-CN"/>
        </w:rPr>
        <w:t>万元，与上年相比无变化。</w:t>
      </w:r>
    </w:p>
    <w:p w14:paraId="70236369">
      <w:pPr>
        <w:spacing w:line="600" w:lineRule="exact"/>
        <w:ind w:left="630"/>
        <w:outlineLvl w:val="1"/>
        <w:rPr>
          <w:rStyle w:val="17"/>
          <w:rFonts w:ascii="Times New Roman" w:hAnsi="Times New Roman" w:eastAsia="黑体"/>
          <w:b w:val="0"/>
          <w:color w:val="auto"/>
          <w:highlight w:val="none"/>
        </w:rPr>
      </w:pPr>
      <w:bookmarkStart w:id="26" w:name="_Toc15396611"/>
      <w:bookmarkStart w:id="27" w:name="_Toc15377219"/>
      <w:r>
        <w:rPr>
          <w:rStyle w:val="17"/>
          <w:rFonts w:hint="eastAsia" w:ascii="Times New Roman" w:hAnsi="Times New Roman" w:eastAsia="黑体"/>
          <w:b w:val="0"/>
          <w:color w:val="auto"/>
          <w:highlight w:val="none"/>
          <w:lang w:eastAsia="zh-CN"/>
        </w:rPr>
        <w:t>九、</w:t>
      </w:r>
      <w:r>
        <w:rPr>
          <w:rStyle w:val="17"/>
          <w:rFonts w:hint="eastAsia" w:ascii="Times New Roman" w:hAnsi="Times New Roman" w:eastAsia="黑体"/>
          <w:b w:val="0"/>
          <w:color w:val="auto"/>
          <w:highlight w:val="none"/>
        </w:rPr>
        <w:t>国有资本经营预算支出决算情况说明</w:t>
      </w:r>
      <w:bookmarkEnd w:id="26"/>
      <w:bookmarkEnd w:id="27"/>
    </w:p>
    <w:p w14:paraId="5130FD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年度国有资本经营预算财政拨款支出</w:t>
      </w:r>
      <w:r>
        <w:rPr>
          <w:rFonts w:hint="eastAsia" w:ascii="仿宋" w:eastAsia="仿宋"/>
          <w:b/>
          <w:sz w:val="32"/>
          <w:szCs w:val="32"/>
        </w:rPr>
        <w:t>0</w:t>
      </w:r>
      <w:r>
        <w:rPr>
          <w:rFonts w:hint="eastAsia" w:ascii="仿宋_GB2312" w:eastAsia="仿宋_GB2312"/>
          <w:sz w:val="32"/>
          <w:szCs w:val="32"/>
          <w:lang w:eastAsia="zh-CN"/>
        </w:rPr>
        <w:t>万元，与上年相比无变化。</w:t>
      </w:r>
    </w:p>
    <w:p w14:paraId="7933CA44">
      <w:pPr>
        <w:spacing w:line="600" w:lineRule="exact"/>
        <w:ind w:left="630"/>
        <w:outlineLvl w:val="1"/>
        <w:rPr>
          <w:rStyle w:val="17"/>
          <w:rFonts w:hint="eastAsia" w:ascii="Times New Roman" w:hAnsi="Times New Roman" w:eastAsia="黑体"/>
          <w:b w:val="0"/>
          <w:color w:val="auto"/>
          <w:highlight w:val="none"/>
        </w:rPr>
      </w:pPr>
      <w:bookmarkStart w:id="28" w:name="_Toc15396612"/>
      <w:bookmarkStart w:id="29" w:name="_Toc15377221"/>
      <w:r>
        <w:rPr>
          <w:rStyle w:val="17"/>
          <w:rFonts w:hint="eastAsia" w:ascii="Times New Roman" w:hAnsi="Times New Roman" w:eastAsia="黑体"/>
          <w:b w:val="0"/>
          <w:color w:val="auto"/>
          <w:highlight w:val="none"/>
          <w:lang w:eastAsia="zh-CN"/>
        </w:rPr>
        <w:t>十、</w:t>
      </w:r>
      <w:r>
        <w:rPr>
          <w:rStyle w:val="17"/>
          <w:rFonts w:hint="eastAsia" w:ascii="Times New Roman" w:hAnsi="Times New Roman" w:eastAsia="黑体"/>
          <w:b w:val="0"/>
          <w:color w:val="auto"/>
          <w:highlight w:val="none"/>
        </w:rPr>
        <w:t>其他重要事项的情况说明</w:t>
      </w:r>
      <w:bookmarkEnd w:id="28"/>
      <w:bookmarkEnd w:id="29"/>
    </w:p>
    <w:p w14:paraId="52626CE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22"/>
      <w:r>
        <w:rPr>
          <w:rFonts w:hint="eastAsia" w:ascii="Times New Roman" w:hAnsi="Times New Roman" w:eastAsia="楷体_GB2312" w:cs="楷体_GB2312"/>
          <w:b/>
          <w:color w:val="auto"/>
          <w:sz w:val="32"/>
          <w:szCs w:val="32"/>
          <w:highlight w:val="none"/>
        </w:rPr>
        <w:t>（一）机关运行经费支出情况</w:t>
      </w:r>
      <w:bookmarkEnd w:id="30"/>
    </w:p>
    <w:p w14:paraId="330D20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年度，阿坝州若尔盖县旅游景区管理局机关运行经费支出</w:t>
      </w:r>
      <w:r>
        <w:rPr>
          <w:rFonts w:hint="eastAsia" w:ascii="仿宋" w:eastAsia="仿宋"/>
          <w:b/>
          <w:sz w:val="32"/>
          <w:szCs w:val="32"/>
        </w:rPr>
        <w:t>0</w:t>
      </w:r>
      <w:r>
        <w:rPr>
          <w:rFonts w:hint="eastAsia" w:ascii="仿宋_GB2312" w:eastAsia="仿宋_GB2312"/>
          <w:sz w:val="32"/>
          <w:szCs w:val="32"/>
          <w:lang w:eastAsia="zh-CN"/>
        </w:rPr>
        <w:t>万元</w:t>
      </w:r>
      <w:r>
        <w:rPr>
          <w:rFonts w:hint="eastAsia" w:ascii="仿宋_GB2312" w:eastAsia="仿宋_GB2312"/>
          <w:sz w:val="32"/>
          <w:szCs w:val="32"/>
        </w:rPr>
        <w:t>，比202</w:t>
      </w:r>
      <w:r>
        <w:rPr>
          <w:rFonts w:hint="eastAsia" w:ascii="仿宋_GB2312" w:eastAsia="仿宋_GB2312"/>
          <w:sz w:val="32"/>
          <w:szCs w:val="32"/>
          <w:lang w:val="en-US" w:eastAsia="zh-CN"/>
        </w:rPr>
        <w:t>4</w:t>
      </w:r>
      <w:r>
        <w:rPr>
          <w:rFonts w:hint="eastAsia" w:ascii="仿宋_GB2312" w:eastAsia="仿宋_GB2312"/>
          <w:sz w:val="32"/>
          <w:szCs w:val="32"/>
        </w:rPr>
        <w:t>年度增加</w:t>
      </w:r>
      <w:r>
        <w:rPr>
          <w:rFonts w:hint="eastAsia" w:ascii="仿宋_GB2312" w:eastAsia="仿宋_GB2312"/>
          <w:sz w:val="32"/>
          <w:szCs w:val="32"/>
          <w:lang w:val="en-US" w:eastAsia="zh-CN"/>
        </w:rPr>
        <w:t>0</w:t>
      </w:r>
      <w:r>
        <w:rPr>
          <w:rFonts w:hint="eastAsia" w:ascii="仿宋_GB2312" w:eastAsia="仿宋_GB2312"/>
          <w:sz w:val="32"/>
          <w:szCs w:val="32"/>
          <w:lang w:eastAsia="zh-CN"/>
        </w:rPr>
        <w:t>万元</w:t>
      </w:r>
      <w:r>
        <w:rPr>
          <w:rFonts w:hint="eastAsia" w:ascii="仿宋_GB2312" w:eastAsia="仿宋_GB2312"/>
          <w:sz w:val="32"/>
          <w:szCs w:val="32"/>
        </w:rPr>
        <w:t>，与202</w:t>
      </w:r>
      <w:r>
        <w:rPr>
          <w:rFonts w:hint="eastAsia" w:ascii="仿宋_GB2312" w:eastAsia="仿宋_GB2312"/>
          <w:sz w:val="32"/>
          <w:szCs w:val="32"/>
          <w:lang w:val="en-US" w:eastAsia="zh-CN"/>
        </w:rPr>
        <w:t>4</w:t>
      </w:r>
      <w:r>
        <w:rPr>
          <w:rFonts w:hint="eastAsia" w:ascii="仿宋_GB2312" w:eastAsia="仿宋_GB2312"/>
          <w:sz w:val="32"/>
          <w:szCs w:val="32"/>
        </w:rPr>
        <w:t>年度决算数持平。主要原因是</w:t>
      </w:r>
      <w:r>
        <w:rPr>
          <w:rFonts w:hint="eastAsia" w:ascii="仿宋_GB2312" w:eastAsia="仿宋_GB2312"/>
          <w:sz w:val="32"/>
          <w:szCs w:val="32"/>
          <w:lang w:eastAsia="zh-CN"/>
        </w:rPr>
        <w:t>无机关运行经费</w:t>
      </w:r>
      <w:r>
        <w:rPr>
          <w:rFonts w:hint="eastAsia" w:ascii="仿宋_GB2312" w:eastAsia="仿宋_GB2312"/>
          <w:sz w:val="32"/>
          <w:szCs w:val="32"/>
        </w:rPr>
        <w:t>。</w:t>
      </w:r>
    </w:p>
    <w:p w14:paraId="01CE8CF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23"/>
      <w:r>
        <w:rPr>
          <w:rFonts w:hint="eastAsia" w:ascii="Times New Roman" w:hAnsi="Times New Roman" w:eastAsia="楷体_GB2312" w:cs="楷体_GB2312"/>
          <w:b/>
          <w:color w:val="auto"/>
          <w:sz w:val="32"/>
          <w:szCs w:val="32"/>
          <w:highlight w:val="none"/>
        </w:rPr>
        <w:t>（二）政府采购支出情况</w:t>
      </w:r>
      <w:bookmarkEnd w:id="31"/>
    </w:p>
    <w:p w14:paraId="3484EF79">
      <w:pPr>
        <w:spacing w:line="600" w:lineRule="exact"/>
        <w:ind w:firstLine="640"/>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w:t>
      </w:r>
      <w:r>
        <w:rPr>
          <w:rFonts w:hint="eastAsia" w:ascii="仿宋_GB2312" w:eastAsia="仿宋_GB2312" w:cs="仿宋_GB2312"/>
          <w:sz w:val="32"/>
          <w:szCs w:val="32"/>
        </w:rPr>
        <w:t>阿坝州若尔盖县旅游景区管理局</w:t>
      </w:r>
      <w:r>
        <w:rPr>
          <w:rFonts w:hint="eastAsia" w:ascii="仿宋_GB2312" w:eastAsia="仿宋_GB2312" w:cs="仿宋_GB2312"/>
          <w:color w:val="auto"/>
          <w:kern w:val="2"/>
          <w:sz w:val="32"/>
          <w:szCs w:val="32"/>
          <w:highlight w:val="none"/>
          <w:lang w:val="en-US" w:eastAsia="zh-CN" w:bidi="ar-SA"/>
        </w:rPr>
        <w:t>政府采购支出总额</w:t>
      </w:r>
      <w:r>
        <w:rPr>
          <w:rFonts w:hint="eastAsia" w:ascii="仿宋_GB2312" w:eastAsia="仿宋_GB2312" w:cs="仿宋_GB2312"/>
          <w:sz w:val="32"/>
          <w:szCs w:val="32"/>
          <w:lang w:val="en-US" w:eastAsia="zh-CN"/>
        </w:rPr>
        <w:t>0</w:t>
      </w:r>
      <w:r>
        <w:rPr>
          <w:rFonts w:hint="eastAsia" w:ascii="仿宋_GB2312" w:eastAsia="仿宋_GB2312" w:cs="仿宋_GB2312"/>
          <w:color w:val="auto"/>
          <w:kern w:val="2"/>
          <w:sz w:val="32"/>
          <w:szCs w:val="32"/>
          <w:highlight w:val="none"/>
          <w:lang w:val="en-US" w:eastAsia="zh-CN" w:bidi="ar-SA"/>
        </w:rPr>
        <w:t>万元，其中：政府采购货物支出</w:t>
      </w:r>
      <w:r>
        <w:rPr>
          <w:rFonts w:hint="eastAsia" w:ascii="仿宋_GB2312" w:eastAsia="仿宋_GB2312" w:cs="仿宋_GB2312"/>
          <w:sz w:val="32"/>
          <w:szCs w:val="32"/>
          <w:lang w:val="en-US" w:eastAsia="zh-CN"/>
        </w:rPr>
        <w:t>0</w:t>
      </w:r>
      <w:r>
        <w:rPr>
          <w:rFonts w:hint="eastAsia" w:ascii="仿宋_GB2312" w:eastAsia="仿宋_GB2312" w:cs="仿宋_GB2312"/>
          <w:color w:val="auto"/>
          <w:kern w:val="2"/>
          <w:sz w:val="32"/>
          <w:szCs w:val="32"/>
          <w:highlight w:val="none"/>
          <w:lang w:val="en-US" w:eastAsia="zh-CN" w:bidi="ar-SA"/>
        </w:rPr>
        <w:t>万元、政府采购工程支出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万元、政府采购服务支出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万元。授予中小企业合同金额</w:t>
      </w:r>
      <w:r>
        <w:rPr>
          <w:rFonts w:hint="eastAsia" w:ascii="仿宋_GB2312" w:eastAsia="仿宋_GB2312" w:cs="仿宋_GB2312"/>
          <w:sz w:val="32"/>
          <w:szCs w:val="32"/>
          <w:lang w:val="en-US" w:eastAsia="zh-CN"/>
        </w:rPr>
        <w:t>0</w:t>
      </w:r>
      <w:r>
        <w:rPr>
          <w:rFonts w:hint="eastAsia" w:ascii="仿宋_GB2312"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%，其中：授予小微企业合同金额0万元，占政府采购支出总额的</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w:t>
      </w:r>
    </w:p>
    <w:p w14:paraId="6AC8C60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24"/>
      <w:r>
        <w:rPr>
          <w:rFonts w:hint="eastAsia" w:ascii="Times New Roman" w:hAnsi="Times New Roman" w:eastAsia="楷体_GB2312" w:cs="楷体_GB2312"/>
          <w:b/>
          <w:color w:val="auto"/>
          <w:sz w:val="32"/>
          <w:szCs w:val="32"/>
          <w:highlight w:val="none"/>
        </w:rPr>
        <w:t>（三）国有资产占有使用情况</w:t>
      </w:r>
      <w:bookmarkEnd w:id="32"/>
    </w:p>
    <w:p w14:paraId="02EB2E66">
      <w:pPr>
        <w:spacing w:line="600" w:lineRule="exact"/>
        <w:ind w:firstLine="640" w:firstLineChars="200"/>
        <w:outlineLvl w:val="2"/>
        <w:rPr>
          <w:rFonts w:hint="eastAsia" w:ascii="仿宋_GB2312" w:eastAsia="仿宋_GB2312"/>
          <w:sz w:val="32"/>
          <w:szCs w:val="32"/>
        </w:rPr>
      </w:pPr>
      <w:r>
        <w:rPr>
          <w:rFonts w:hint="eastAsia" w:ascii="仿宋_GB2312" w:eastAsia="仿宋_GB2312"/>
          <w:sz w:val="32"/>
          <w:szCs w:val="32"/>
        </w:rPr>
        <w:t>截至202</w:t>
      </w:r>
      <w:r>
        <w:rPr>
          <w:rFonts w:hint="eastAsia" w:ascii="仿宋_GB2312" w:eastAsia="仿宋_GB2312"/>
          <w:sz w:val="32"/>
          <w:szCs w:val="32"/>
          <w:lang w:val="en-US" w:eastAsia="zh-CN"/>
        </w:rPr>
        <w:t>5</w:t>
      </w:r>
      <w:r>
        <w:rPr>
          <w:rFonts w:hint="eastAsia" w:ascii="仿宋_GB2312" w:eastAsia="仿宋_GB2312"/>
          <w:sz w:val="32"/>
          <w:szCs w:val="32"/>
        </w:rPr>
        <w:t>年12月31日，阿坝州若尔盖县旅游景区管理局共有车辆</w:t>
      </w:r>
      <w:r>
        <w:rPr>
          <w:rFonts w:hint="eastAsia" w:ascii="仿宋_GB2312" w:eastAsia="仿宋_GB2312"/>
          <w:b/>
          <w:sz w:val="32"/>
          <w:szCs w:val="32"/>
        </w:rPr>
        <w:t>1</w:t>
      </w:r>
      <w:r>
        <w:rPr>
          <w:rFonts w:hint="eastAsia" w:ascii="仿宋_GB2312" w:eastAsia="仿宋_GB2312"/>
          <w:sz w:val="32"/>
          <w:szCs w:val="32"/>
        </w:rPr>
        <w:t>辆，其中：主要领导干部用车</w:t>
      </w:r>
      <w:r>
        <w:rPr>
          <w:rFonts w:hint="eastAsia" w:ascii="仿宋_GB2312" w:eastAsia="仿宋_GB2312"/>
          <w:sz w:val="32"/>
          <w:szCs w:val="32"/>
          <w:lang w:val="en-US" w:eastAsia="zh-CN"/>
        </w:rPr>
        <w:t>0</w:t>
      </w:r>
      <w:r>
        <w:rPr>
          <w:rFonts w:hint="eastAsia" w:ascii="仿宋_GB2312" w:eastAsia="仿宋_GB2312"/>
          <w:sz w:val="32"/>
          <w:szCs w:val="32"/>
        </w:rPr>
        <w:t>辆、机要通信用车</w:t>
      </w:r>
      <w:r>
        <w:rPr>
          <w:rFonts w:hint="eastAsia" w:ascii="仿宋_GB2312" w:eastAsia="仿宋_GB2312"/>
          <w:sz w:val="32"/>
          <w:szCs w:val="32"/>
          <w:lang w:val="en-US" w:eastAsia="zh-CN"/>
        </w:rPr>
        <w:t>0</w:t>
      </w:r>
      <w:r>
        <w:rPr>
          <w:rFonts w:hint="eastAsia" w:ascii="仿宋_GB2312" w:eastAsia="仿宋_GB2312"/>
          <w:sz w:val="32"/>
          <w:szCs w:val="32"/>
        </w:rPr>
        <w:t>辆、应急保障用车</w:t>
      </w:r>
      <w:r>
        <w:rPr>
          <w:rFonts w:hint="eastAsia" w:ascii="仿宋_GB2312" w:eastAsia="仿宋_GB2312"/>
          <w:sz w:val="32"/>
          <w:szCs w:val="32"/>
          <w:lang w:val="en-US" w:eastAsia="zh-CN"/>
        </w:rPr>
        <w:t>0</w:t>
      </w:r>
      <w:r>
        <w:rPr>
          <w:rFonts w:hint="eastAsia" w:ascii="仿宋_GB2312" w:eastAsia="仿宋_GB2312"/>
          <w:sz w:val="32"/>
          <w:szCs w:val="32"/>
        </w:rPr>
        <w:t>辆、其他用车</w:t>
      </w:r>
      <w:r>
        <w:rPr>
          <w:rFonts w:hint="eastAsia" w:ascii="仿宋_GB2312" w:eastAsia="仿宋_GB2312"/>
          <w:sz w:val="32"/>
          <w:szCs w:val="32"/>
          <w:lang w:val="en-US" w:eastAsia="zh-CN"/>
        </w:rPr>
        <w:t>1</w:t>
      </w:r>
      <w:r>
        <w:rPr>
          <w:rFonts w:hint="eastAsia" w:ascii="仿宋_GB2312" w:eastAsia="仿宋_GB2312"/>
          <w:sz w:val="32"/>
          <w:szCs w:val="32"/>
        </w:rPr>
        <w:t>辆，其他用车主要是用于</w:t>
      </w:r>
      <w:r>
        <w:rPr>
          <w:rFonts w:hint="eastAsia" w:ascii="仿宋_GB2312" w:eastAsia="仿宋_GB2312"/>
          <w:sz w:val="32"/>
          <w:szCs w:val="32"/>
          <w:lang w:eastAsia="zh-CN"/>
        </w:rPr>
        <w:t>出差及下乡开展工作</w:t>
      </w:r>
      <w:r>
        <w:rPr>
          <w:rFonts w:hint="eastAsia" w:ascii="仿宋_GB2312" w:eastAsia="仿宋_GB2312"/>
          <w:sz w:val="32"/>
          <w:szCs w:val="32"/>
        </w:rPr>
        <w:t>。单价100</w:t>
      </w:r>
      <w:r>
        <w:rPr>
          <w:rFonts w:hint="eastAsia" w:ascii="仿宋_GB2312" w:eastAsia="仿宋_GB2312"/>
          <w:sz w:val="32"/>
          <w:szCs w:val="32"/>
          <w:lang w:eastAsia="zh-CN"/>
        </w:rPr>
        <w:t>万</w:t>
      </w:r>
      <w:r>
        <w:rPr>
          <w:rFonts w:hint="eastAsia" w:ascii="仿宋_GB2312" w:eastAsia="仿宋_GB2312"/>
          <w:sz w:val="32"/>
          <w:szCs w:val="32"/>
        </w:rPr>
        <w:t>元以上设备（不含车辆）</w:t>
      </w:r>
      <w:r>
        <w:rPr>
          <w:rFonts w:hint="eastAsia" w:ascii="仿宋_GB2312" w:eastAsia="仿宋_GB2312"/>
          <w:b/>
          <w:sz w:val="32"/>
          <w:szCs w:val="32"/>
        </w:rPr>
        <w:t>0</w:t>
      </w:r>
      <w:r>
        <w:rPr>
          <w:rFonts w:hint="eastAsia" w:ascii="仿宋_GB2312" w:eastAsia="仿宋_GB2312"/>
          <w:sz w:val="32"/>
          <w:szCs w:val="32"/>
        </w:rPr>
        <w:t>台（套）。</w:t>
      </w:r>
    </w:p>
    <w:p w14:paraId="1C045FF9">
      <w:pPr>
        <w:numPr>
          <w:ilvl w:val="0"/>
          <w:numId w:val="4"/>
        </w:numPr>
        <w:spacing w:line="600" w:lineRule="exact"/>
        <w:ind w:left="0"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预算绩效管理情况</w:t>
      </w:r>
    </w:p>
    <w:p w14:paraId="34F31BF3">
      <w:pPr>
        <w:spacing w:line="600" w:lineRule="exact"/>
        <w:ind w:left="0" w:firstLine="640" w:firstLineChars="200"/>
        <w:outlineLvl w:val="2"/>
        <w:rPr>
          <w:rFonts w:hint="eastAsia" w:ascii="仿宋" w:eastAsia="仿宋" w:cs="仿宋"/>
          <w:kern w:val="0"/>
          <w:sz w:val="30"/>
          <w:szCs w:val="30"/>
          <w:lang w:bidi="ar-SA"/>
        </w:rPr>
      </w:pPr>
      <w:r>
        <w:rPr>
          <w:rFonts w:hint="eastAsia" w:ascii="仿宋_GB2312" w:eastAsia="仿宋_GB2312"/>
          <w:sz w:val="32"/>
          <w:szCs w:val="32"/>
        </w:rPr>
        <w:t>根据预算绩效管理要求，本单位在202</w:t>
      </w:r>
      <w:r>
        <w:rPr>
          <w:rFonts w:hint="eastAsia" w:ascii="仿宋_GB2312" w:eastAsia="仿宋_GB2312"/>
          <w:sz w:val="32"/>
          <w:szCs w:val="32"/>
          <w:lang w:val="en-US" w:eastAsia="zh-CN"/>
        </w:rPr>
        <w:t>5</w:t>
      </w:r>
      <w:r>
        <w:rPr>
          <w:rFonts w:hint="eastAsia" w:ascii="仿宋_GB2312" w:eastAsia="仿宋_GB2312"/>
          <w:sz w:val="32"/>
          <w:szCs w:val="32"/>
        </w:rPr>
        <w:t>年度预算编制阶段，</w:t>
      </w:r>
      <w:r>
        <w:rPr>
          <w:rFonts w:hint="eastAsia" w:ascii="仿宋" w:eastAsia="仿宋" w:cs="仿宋"/>
          <w:kern w:val="0"/>
          <w:sz w:val="30"/>
          <w:szCs w:val="30"/>
          <w:lang w:bidi="ar-SA"/>
        </w:rPr>
        <w:t>申报的项目，应该建立在科学测算、整体评估、切合实际的基础上。但为了在年初争取更多的财政资金,想方设法将项目做多、预算做大，等财政批复、甚至资金到位后，才具体安排使用计划。因缺乏前期的详细调研和科学测算，使得预算脱离实际需要。实际执行之后，有部分项目还需要改变实施计划，而造成资金暂缓使用，形成了大量的资金结存；有部分项目资金可能有富余，就提高开支标准、扩大支出范围，或挂暂存款后挪作他用，或结余沉淀在单位；有部分项目资金又可能不够，造成项目不能按时按质按量完成，需要继续向财政部门申请资金，影响了财政资金的使用效益。</w:t>
      </w:r>
    </w:p>
    <w:p w14:paraId="57BF4936">
      <w:p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p>
    <w:p w14:paraId="3464BDA7">
      <w:pPr>
        <w:spacing w:line="600" w:lineRule="exact"/>
        <w:jc w:val="left"/>
        <w:rPr>
          <w:rFonts w:ascii="Times New Roman" w:hAnsi="Times New Roman"/>
          <w:b/>
          <w:color w:val="auto"/>
          <w:sz w:val="44"/>
          <w:szCs w:val="44"/>
          <w:highlight w:val="none"/>
        </w:rPr>
      </w:pPr>
    </w:p>
    <w:p w14:paraId="22053043">
      <w:pPr>
        <w:spacing w:line="600" w:lineRule="exact"/>
        <w:jc w:val="left"/>
        <w:rPr>
          <w:rFonts w:hint="eastAsia" w:ascii="宋体"/>
          <w:b/>
          <w:sz w:val="44"/>
          <w:szCs w:val="44"/>
        </w:rPr>
      </w:pPr>
      <w:bookmarkStart w:id="33" w:name="_Toc15396614"/>
    </w:p>
    <w:p w14:paraId="7A77F8B6">
      <w:pPr>
        <w:pStyle w:val="2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1.财政拨款收入：指单位从同级财政部门取得的财政预算资金。</w:t>
      </w:r>
    </w:p>
    <w:p w14:paraId="137B7819">
      <w:pPr>
        <w:pStyle w:val="2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2.事业收入：指事业单位开展专业业务活动及辅助活动取得的收入。</w:t>
      </w:r>
    </w:p>
    <w:p w14:paraId="093596FA">
      <w:pPr>
        <w:pStyle w:val="2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3.经营收入：指事业单位在专业业务活动及其辅助活动之外开展非独立核算经营活动取得的收入。</w:t>
      </w:r>
    </w:p>
    <w:p w14:paraId="15857AD7">
      <w:pPr>
        <w:pStyle w:val="2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 xml:space="preserve">4.其他收入：指单位取得的除上述收入以外的各项收入。 </w:t>
      </w:r>
    </w:p>
    <w:p w14:paraId="784A38CD">
      <w:pPr>
        <w:pStyle w:val="2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5.</w:t>
      </w:r>
      <w:r>
        <w:rPr>
          <w:rFonts w:hint="eastAsia" w:ascii="仿宋_GB2312" w:eastAsia="仿宋_GB2312"/>
          <w:sz w:val="32"/>
          <w:szCs w:val="32"/>
        </w:rPr>
        <w:t>使用非财政拨款结余（含专用结余）</w:t>
      </w:r>
      <w:r>
        <w:rPr>
          <w:rFonts w:hint="eastAsia" w:ascii="仿宋_GB2312" w:eastAsia="仿宋_GB2312"/>
          <w:color w:val="auto"/>
          <w:sz w:val="32"/>
          <w:szCs w:val="32"/>
        </w:rPr>
        <w:t xml:space="preserve">：指事业单位使用以前年度积累的非财政拨款结余弥补当年收支差额的金额。 </w:t>
      </w:r>
    </w:p>
    <w:p w14:paraId="6A80C9C9">
      <w:pPr>
        <w:pStyle w:val="2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 xml:space="preserve">6.年初结转和结余：指以前年度尚未完成、结转到本年按有关规定继续使用的资金。 </w:t>
      </w:r>
    </w:p>
    <w:p w14:paraId="25A2EA9B">
      <w:pPr>
        <w:pStyle w:val="2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7.结余分配：指事业单位按照会计制度规定缴纳的所得税、提取的专用结余以及转入非财政拨款结余的金额等。</w:t>
      </w:r>
    </w:p>
    <w:p w14:paraId="671098CB">
      <w:pPr>
        <w:pStyle w:val="2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8.年末结转和结余：指单位按有关规定结转到下年或以后年度继续使用的资金。</w:t>
      </w:r>
    </w:p>
    <w:p w14:paraId="33EFE706">
      <w:pPr>
        <w:keepNext w:val="0"/>
        <w:keepLines w:val="0"/>
        <w:widowControl/>
        <w:suppressLineNumbers w:val="0"/>
        <w:spacing w:line="540" w:lineRule="exact"/>
        <w:ind w:left="0"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9.一般公共服务201：指是政府收支分类科目中的一个“类”级科目，其下包括人大事务、政协事务、政府办公厅及相关机构事务、发展与改革事务、统计信息事务、财政事务等37个款级科目。 一般公共服务主要反映政府提供一般公共服务的支出。</w:t>
      </w:r>
    </w:p>
    <w:p w14:paraId="637C3494">
      <w:pPr>
        <w:keepNext w:val="0"/>
        <w:keepLines w:val="0"/>
        <w:widowControl/>
        <w:suppressLineNumbers w:val="0"/>
        <w:spacing w:line="540" w:lineRule="exact"/>
        <w:ind w:left="0"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10.公共安全204：指为了维护国家公共安全而必需的经费支出。包括的范围是：各级公安机关、国家安全机关的业务经费、人员经费、活动经费、居民身份证经费、看守所、拘留所、收容所的经费，公安干部培训经费，警察学校经费。</w:t>
      </w:r>
    </w:p>
    <w:p w14:paraId="05B40223">
      <w:pPr>
        <w:keepNext w:val="0"/>
        <w:keepLines w:val="0"/>
        <w:widowControl/>
        <w:suppressLineNumbers w:val="0"/>
        <w:spacing w:line="540" w:lineRule="exact"/>
        <w:ind w:left="0"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11.文化旅游体育与传媒207：指用于组织职工进行文化活动、体育活动的支出，用于宣传的支出。</w:t>
      </w:r>
    </w:p>
    <w:p w14:paraId="6F853F38">
      <w:pPr>
        <w:keepNext w:val="0"/>
        <w:keepLines w:val="0"/>
        <w:widowControl/>
        <w:suppressLineNumbers w:val="0"/>
        <w:spacing w:line="540" w:lineRule="exact"/>
        <w:ind w:left="0"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12.社会保障和就业208：指社会保险基金补助支出、行政事业单位离退休支出、就业补助支出、城市居民最低生活保障支出、农村最低生活保障支出、自然灾害生活救助支出。</w:t>
      </w:r>
    </w:p>
    <w:p w14:paraId="692C9971">
      <w:pPr>
        <w:keepNext w:val="0"/>
        <w:keepLines w:val="0"/>
        <w:widowControl/>
        <w:suppressLineNumbers w:val="0"/>
        <w:spacing w:line="540" w:lineRule="exact"/>
        <w:ind w:left="0"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13.卫生健康210：指公共卫生领域具有很强外部效应和非排他性的公共物品。卫生支出应由政府提供公共卫生(如传染病防治)。</w:t>
      </w:r>
    </w:p>
    <w:p w14:paraId="432D9729">
      <w:pPr>
        <w:keepNext w:val="0"/>
        <w:keepLines w:val="0"/>
        <w:widowControl/>
        <w:suppressLineNumbers w:val="0"/>
        <w:spacing w:line="540" w:lineRule="exact"/>
        <w:ind w:left="0"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14.节能环保211：指环境保护支出。用于环境污染等各种研究。</w:t>
      </w:r>
    </w:p>
    <w:p w14:paraId="132AE808">
      <w:pPr>
        <w:keepNext w:val="0"/>
        <w:keepLines w:val="0"/>
        <w:widowControl/>
        <w:suppressLineNumbers w:val="0"/>
        <w:spacing w:line="540" w:lineRule="exact"/>
        <w:ind w:left="0"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15.城乡社区212：指政府城乡社区事务支出，包括城乡社区管理事务支出、城乡社区规划与管理支出、城乡社区公共设施支出、城乡社区住宅支出、城乡社区环境卫生支出、建设市场管理与监督支出等。</w:t>
      </w:r>
    </w:p>
    <w:p w14:paraId="1174E17E">
      <w:pPr>
        <w:keepNext w:val="0"/>
        <w:keepLines w:val="0"/>
        <w:widowControl/>
        <w:suppressLineNumbers w:val="0"/>
        <w:spacing w:line="540" w:lineRule="exact"/>
        <w:ind w:left="0"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16.农林水213：指农业支出、林业支出、水利支出、扶贫支出、农业综合开发支出。</w:t>
      </w:r>
    </w:p>
    <w:p w14:paraId="582E050C">
      <w:pPr>
        <w:keepNext w:val="0"/>
        <w:keepLines w:val="0"/>
        <w:widowControl/>
        <w:suppressLineNumbers w:val="0"/>
        <w:spacing w:line="540" w:lineRule="exact"/>
        <w:ind w:left="0"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17.住房保障221：指社会保障税,是我国社会保险制度的保障对象目前只是针对城镇职工、城镇个体工商户和灵活就业人员,改革的趋向是建立并完善“统帐结合”的社会保险制度。</w:t>
      </w:r>
    </w:p>
    <w:p w14:paraId="1ECF6BE5">
      <w:pPr>
        <w:ind w:firstLine="640" w:firstLineChars="200"/>
        <w:rPr>
          <w:rFonts w:hint="eastAsia" w:ascii="仿宋_GB2312" w:eastAsia="仿宋_GB2312"/>
          <w:sz w:val="32"/>
          <w:szCs w:val="32"/>
        </w:rPr>
      </w:pPr>
    </w:p>
    <w:p w14:paraId="464A9FF9">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18</w:t>
      </w:r>
      <w:r>
        <w:rPr>
          <w:rFonts w:hint="eastAsia" w:ascii="仿宋_GB2312" w:eastAsia="仿宋_GB2312"/>
          <w:sz w:val="32"/>
          <w:szCs w:val="32"/>
        </w:rPr>
        <w:t>.基本支出：指为保障机构正常运转、完成日常工作任务而发生的人员支出和公用支出。</w:t>
      </w:r>
    </w:p>
    <w:p w14:paraId="60480B5E">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19</w:t>
      </w:r>
      <w:r>
        <w:rPr>
          <w:rFonts w:hint="eastAsia" w:ascii="仿宋_GB2312" w:eastAsia="仿宋_GB2312"/>
          <w:sz w:val="32"/>
          <w:szCs w:val="32"/>
        </w:rPr>
        <w:t xml:space="preserve">.项目支出：指在基本支出之外为完成特定行政任务和事业发展目标所发生的支出。 </w:t>
      </w:r>
    </w:p>
    <w:p w14:paraId="379D06A8">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20</w:t>
      </w:r>
      <w:r>
        <w:rPr>
          <w:rFonts w:hint="eastAsia" w:ascii="仿宋_GB2312" w:eastAsia="仿宋_GB2312"/>
          <w:sz w:val="32"/>
          <w:szCs w:val="32"/>
        </w:rPr>
        <w:t>.经营支出：指事业单位在专业业务活动及其辅助活动之外开展非独立核算经营活动发生的支出。</w:t>
      </w:r>
    </w:p>
    <w:p w14:paraId="508C69B3">
      <w:pPr>
        <w:pStyle w:val="2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21</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CD29988">
      <w:pPr>
        <w:pStyle w:val="2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22</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49FF6B0">
      <w:pPr>
        <w:spacing w:line="600" w:lineRule="exact"/>
        <w:jc w:val="center"/>
        <w:rPr>
          <w:rFonts w:hint="eastAsia" w:ascii="仿宋_GB2312" w:eastAsia="仿宋_GB2312"/>
          <w:color w:val="auto"/>
          <w:sz w:val="32"/>
          <w:szCs w:val="32"/>
        </w:rPr>
      </w:pPr>
    </w:p>
    <w:p w14:paraId="27D2A9FF">
      <w:pPr>
        <w:spacing w:line="600" w:lineRule="exact"/>
        <w:jc w:val="center"/>
        <w:rPr>
          <w:rFonts w:hint="eastAsia" w:ascii="仿宋_GB2312" w:eastAsia="仿宋_GB2312"/>
          <w:color w:val="auto"/>
          <w:sz w:val="32"/>
          <w:szCs w:val="32"/>
        </w:rPr>
      </w:pPr>
    </w:p>
    <w:p w14:paraId="0B92C921">
      <w:pPr>
        <w:spacing w:line="600" w:lineRule="exact"/>
        <w:jc w:val="both"/>
        <w:rPr>
          <w:rFonts w:hint="eastAsia" w:ascii="仿宋_GB2312" w:eastAsia="仿宋_GB2312"/>
          <w:color w:val="auto"/>
          <w:sz w:val="32"/>
          <w:szCs w:val="32"/>
        </w:rPr>
      </w:pPr>
    </w:p>
    <w:p w14:paraId="7E5122CB">
      <w:pPr>
        <w:spacing w:line="600" w:lineRule="exact"/>
        <w:ind w:firstLine="2200" w:firstLineChars="500"/>
        <w:jc w:val="both"/>
        <w:rPr>
          <w:rStyle w:val="16"/>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33"/>
    </w:p>
    <w:p w14:paraId="07C9F399">
      <w:pPr>
        <w:keepNext w:val="0"/>
        <w:keepLines w:val="0"/>
        <w:widowControl/>
        <w:suppressLineNumbers w:val="0"/>
        <w:shd w:val="clear" w:color="auto" w:fill="FFFFFF"/>
        <w:ind w:left="2560" w:hanging="2560" w:hangingChars="800"/>
        <w:rPr>
          <w:rFonts w:hint="eastAsia" w:ascii="Times New Roman" w:hAnsi="Times New Roman" w:eastAsia="黑体" w:cs="Times New Roman"/>
          <w:color w:val="000000"/>
          <w:kern w:val="2"/>
          <w:sz w:val="32"/>
          <w:szCs w:val="32"/>
          <w:highlight w:val="none"/>
          <w:u w:val="none"/>
          <w:shd w:val="clear" w:color="auto" w:fill="FFFFFF"/>
          <w:lang w:val="en-US" w:eastAsia="zh-CN"/>
        </w:rPr>
      </w:pPr>
      <w:r>
        <w:rPr>
          <w:rFonts w:hint="eastAsia" w:eastAsia="黑体" w:cs="黑体"/>
          <w:color w:val="auto"/>
          <w:sz w:val="32"/>
          <w:szCs w:val="32"/>
          <w:highlight w:val="none"/>
          <w:lang w:val="en-US" w:eastAsia="zh-CN"/>
        </w:rPr>
        <w:t xml:space="preserve">   </w:t>
      </w:r>
      <w:r>
        <w:rPr>
          <w:rFonts w:hint="eastAsia" w:ascii="Times New Roman" w:hAnsi="Times New Roman" w:eastAsia="仿宋_GB2312" w:cs="Times New Roman"/>
          <w:kern w:val="2"/>
          <w:sz w:val="32"/>
          <w:szCs w:val="32"/>
          <w:u w:val="none"/>
          <w:lang w:val="zh-CN" w:eastAsia="zh-CN"/>
        </w:rPr>
        <w:t>附件</w:t>
      </w:r>
      <w:r>
        <w:rPr>
          <w:rFonts w:hint="eastAsia" w:ascii="Times New Roman" w:hAnsi="Times New Roman" w:cs="Times New Roman"/>
          <w:kern w:val="2"/>
          <w:sz w:val="32"/>
          <w:szCs w:val="32"/>
          <w:u w:val="none"/>
          <w:lang w:val="zh-CN" w:eastAsia="zh-CN"/>
        </w:rPr>
        <w:t>：</w:t>
      </w:r>
      <w:r>
        <w:rPr>
          <w:rFonts w:hint="eastAsia" w:cs="Times New Roman"/>
          <w:kern w:val="2"/>
          <w:sz w:val="32"/>
          <w:szCs w:val="32"/>
          <w:u w:val="none"/>
          <w:lang w:val="en-US" w:eastAsia="zh-CN"/>
        </w:rPr>
        <w:t xml:space="preserve"> </w:t>
      </w:r>
      <w:r>
        <w:rPr>
          <w:rFonts w:hint="eastAsia" w:ascii="Times New Roman" w:hAnsi="Times New Roman" w:cs="Times New Roman"/>
          <w:kern w:val="2"/>
          <w:sz w:val="32"/>
          <w:szCs w:val="32"/>
          <w:u w:val="none"/>
          <w:lang w:val="en-US" w:eastAsia="zh-CN"/>
        </w:rPr>
        <w:t>1.若尔盖县旅游景区管理局预算绩效评价报告</w:t>
      </w:r>
    </w:p>
    <w:p w14:paraId="4EC5CBDC">
      <w:pPr>
        <w:pStyle w:val="5"/>
        <w:ind w:left="0" w:firstLine="1600" w:firstLineChars="500"/>
        <w:rPr>
          <w:rFonts w:hint="eastAsia" w:ascii="Times New Roman" w:hAnsi="Times New Roman" w:eastAsia="仿宋_GB2312" w:cs="Times New Roman"/>
          <w:kern w:val="2"/>
          <w:sz w:val="32"/>
          <w:szCs w:val="32"/>
          <w:u w:val="none"/>
          <w:lang w:val="en-US" w:eastAsia="zh-CN"/>
        </w:rPr>
      </w:pPr>
      <w:r>
        <w:rPr>
          <w:rFonts w:hint="eastAsia" w:ascii="Times New Roman" w:hAnsi="Times New Roman" w:cs="Times New Roman"/>
          <w:kern w:val="2"/>
          <w:sz w:val="32"/>
          <w:szCs w:val="32"/>
          <w:u w:val="none"/>
          <w:lang w:val="en-US" w:eastAsia="zh-CN"/>
        </w:rPr>
        <w:t>2.</w:t>
      </w:r>
      <w:r>
        <w:rPr>
          <w:rFonts w:hint="eastAsia" w:ascii="Times New Roman" w:hAnsi="Times New Roman" w:eastAsia="仿宋_GB2312" w:cs="Times New Roman"/>
          <w:kern w:val="2"/>
          <w:sz w:val="32"/>
          <w:szCs w:val="32"/>
          <w:u w:val="none"/>
          <w:lang w:val="en-US" w:eastAsia="zh-CN"/>
        </w:rPr>
        <w:t>部门整体支出绩效目标表</w:t>
      </w:r>
    </w:p>
    <w:p w14:paraId="1D66E13C">
      <w:pPr>
        <w:pStyle w:val="5"/>
        <w:ind w:firstLine="1600" w:firstLineChars="500"/>
        <w:rPr>
          <w:rFonts w:hint="eastAsia" w:ascii="Times New Roman" w:hAnsi="Times New Roman" w:cs="Times New Roman"/>
          <w:kern w:val="2"/>
          <w:sz w:val="32"/>
          <w:szCs w:val="32"/>
          <w:u w:val="none"/>
          <w:lang w:val="en-US" w:eastAsia="zh-CN"/>
        </w:rPr>
      </w:pPr>
      <w:r>
        <w:rPr>
          <w:rFonts w:hint="eastAsia" w:ascii="Times New Roman" w:hAnsi="Times New Roman" w:cs="Times New Roman"/>
          <w:kern w:val="2"/>
          <w:sz w:val="32"/>
          <w:szCs w:val="32"/>
          <w:u w:val="none"/>
          <w:lang w:val="en-US" w:eastAsia="zh-CN"/>
        </w:rPr>
        <w:t>3.若尔盖县旅游景区管理局预算项目绩效评价报告</w:t>
      </w:r>
    </w:p>
    <w:p w14:paraId="585651E1">
      <w:pPr>
        <w:pStyle w:val="5"/>
        <w:ind w:firstLine="1600" w:firstLineChars="500"/>
        <w:rPr>
          <w:rFonts w:hint="eastAsia" w:ascii="Times New Roman" w:hAnsi="Times New Roman" w:cs="Times New Roman"/>
          <w:kern w:val="2"/>
          <w:sz w:val="32"/>
          <w:szCs w:val="32"/>
          <w:u w:val="none"/>
          <w:lang w:val="en-US" w:eastAsia="zh-CN"/>
        </w:rPr>
      </w:pPr>
      <w:r>
        <w:rPr>
          <w:rFonts w:hint="eastAsia" w:ascii="Times New Roman" w:hAnsi="Times New Roman" w:cs="Times New Roman"/>
          <w:kern w:val="2"/>
          <w:sz w:val="32"/>
          <w:szCs w:val="32"/>
          <w:u w:val="none"/>
          <w:lang w:val="en-US" w:eastAsia="zh-CN"/>
        </w:rPr>
        <w:t>4.部门预算项目支出绩效自评表</w:t>
      </w:r>
    </w:p>
    <w:p w14:paraId="229D1AA4">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16"/>
          <w:rFonts w:hint="eastAsia" w:ascii="Times New Roman" w:hAnsi="Times New Roman" w:eastAsia="黑体"/>
          <w:b w:val="0"/>
          <w:color w:val="auto"/>
          <w:highlight w:val="none"/>
        </w:rPr>
        <w:t>五部分 附表</w:t>
      </w:r>
      <w:bookmarkStart w:id="34" w:name="_Toc15396619"/>
    </w:p>
    <w:p w14:paraId="0F9AA5B8">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8BE4A0E">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34"/>
    </w:p>
    <w:p w14:paraId="5FA2E19C">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5" w:name="_Toc15396620"/>
      <w:r>
        <w:rPr>
          <w:rFonts w:hint="eastAsia" w:ascii="Times New Roman" w:hAnsi="Times New Roman" w:eastAsia="仿宋_GB2312" w:cs="仿宋_GB2312"/>
          <w:color w:val="auto"/>
          <w:sz w:val="32"/>
          <w:szCs w:val="32"/>
          <w:highlight w:val="none"/>
        </w:rPr>
        <w:t>二、收入决算表</w:t>
      </w:r>
      <w:bookmarkEnd w:id="35"/>
    </w:p>
    <w:p w14:paraId="24C6B861">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6" w:name="_Toc15396621"/>
      <w:r>
        <w:rPr>
          <w:rFonts w:hint="eastAsia" w:ascii="Times New Roman" w:hAnsi="Times New Roman" w:eastAsia="仿宋_GB2312" w:cs="仿宋_GB2312"/>
          <w:color w:val="auto"/>
          <w:sz w:val="32"/>
          <w:szCs w:val="32"/>
          <w:highlight w:val="none"/>
        </w:rPr>
        <w:t>三、支出决算表</w:t>
      </w:r>
      <w:bookmarkEnd w:id="36"/>
    </w:p>
    <w:p w14:paraId="5260A140">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7" w:name="_Toc15396622"/>
      <w:r>
        <w:rPr>
          <w:rFonts w:hint="eastAsia" w:ascii="Times New Roman" w:hAnsi="Times New Roman" w:eastAsia="仿宋_GB2312" w:cs="仿宋_GB2312"/>
          <w:color w:val="auto"/>
          <w:sz w:val="32"/>
          <w:szCs w:val="32"/>
          <w:highlight w:val="none"/>
        </w:rPr>
        <w:t>四、财政拨款收入支出决算总表</w:t>
      </w:r>
      <w:bookmarkEnd w:id="37"/>
    </w:p>
    <w:p w14:paraId="73B24A8A">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8" w:name="_Toc15396623"/>
      <w:r>
        <w:rPr>
          <w:rFonts w:hint="eastAsia" w:ascii="Times New Roman" w:hAnsi="Times New Roman" w:eastAsia="仿宋_GB2312" w:cs="仿宋_GB2312"/>
          <w:color w:val="auto"/>
          <w:sz w:val="32"/>
          <w:szCs w:val="32"/>
          <w:highlight w:val="none"/>
        </w:rPr>
        <w:t>五、财政拨款支出决算明细表</w:t>
      </w:r>
      <w:bookmarkEnd w:id="38"/>
      <w:bookmarkStart w:id="39" w:name="_Toc15396624"/>
    </w:p>
    <w:p w14:paraId="095EE29B">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39"/>
    </w:p>
    <w:p w14:paraId="0BE732C0">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0" w:name="_Toc15396625"/>
      <w:r>
        <w:rPr>
          <w:rFonts w:hint="eastAsia" w:ascii="Times New Roman" w:hAnsi="Times New Roman" w:eastAsia="仿宋_GB2312" w:cs="仿宋_GB2312"/>
          <w:color w:val="auto"/>
          <w:sz w:val="32"/>
          <w:szCs w:val="32"/>
          <w:highlight w:val="none"/>
        </w:rPr>
        <w:t>七、一般公共预算财政拨款支出决算明细表</w:t>
      </w:r>
      <w:bookmarkEnd w:id="40"/>
    </w:p>
    <w:p w14:paraId="57D4DFC4">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1" w:name="_Toc15396626"/>
      <w:r>
        <w:rPr>
          <w:rFonts w:hint="eastAsia" w:ascii="Times New Roman" w:hAnsi="Times New Roman" w:eastAsia="仿宋_GB2312" w:cs="仿宋_GB2312"/>
          <w:color w:val="auto"/>
          <w:sz w:val="32"/>
          <w:szCs w:val="32"/>
          <w:highlight w:val="none"/>
        </w:rPr>
        <w:t>八、一般公共预算财政拨款基本支出决算表</w:t>
      </w:r>
      <w:bookmarkEnd w:id="41"/>
    </w:p>
    <w:p w14:paraId="5591E7BC">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2" w:name="_Toc15396627"/>
      <w:r>
        <w:rPr>
          <w:rFonts w:hint="eastAsia" w:ascii="Times New Roman" w:hAnsi="Times New Roman" w:eastAsia="仿宋_GB2312" w:cs="仿宋_GB2312"/>
          <w:color w:val="auto"/>
          <w:sz w:val="32"/>
          <w:szCs w:val="32"/>
          <w:highlight w:val="none"/>
        </w:rPr>
        <w:t>九、一般公共预算财政拨款项目支出决算表</w:t>
      </w:r>
      <w:bookmarkEnd w:id="42"/>
    </w:p>
    <w:p w14:paraId="6DB9A265">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3" w:name="_Toc15396628"/>
      <w:r>
        <w:rPr>
          <w:rFonts w:hint="eastAsia" w:ascii="Times New Roman" w:hAnsi="Times New Roman" w:eastAsia="仿宋_GB2312" w:cs="仿宋_GB2312"/>
          <w:color w:val="auto"/>
          <w:sz w:val="32"/>
          <w:szCs w:val="32"/>
          <w:highlight w:val="none"/>
        </w:rPr>
        <w:t>十、</w:t>
      </w:r>
      <w:bookmarkEnd w:id="43"/>
      <w:r>
        <w:rPr>
          <w:rFonts w:hint="eastAsia" w:ascii="Times New Roman" w:hAnsi="Times New Roman" w:eastAsia="仿宋_GB2312" w:cs="仿宋_GB2312"/>
          <w:color w:val="auto"/>
          <w:sz w:val="32"/>
          <w:szCs w:val="32"/>
          <w:highlight w:val="none"/>
        </w:rPr>
        <w:t>政府性基金预算财政拨款收入支出决算表</w:t>
      </w:r>
    </w:p>
    <w:p w14:paraId="66370815">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4" w:name="_Toc15396629"/>
      <w:r>
        <w:rPr>
          <w:rFonts w:hint="eastAsia" w:ascii="Times New Roman" w:hAnsi="Times New Roman" w:eastAsia="仿宋_GB2312" w:cs="仿宋_GB2312"/>
          <w:color w:val="auto"/>
          <w:sz w:val="32"/>
          <w:szCs w:val="32"/>
          <w:highlight w:val="none"/>
        </w:rPr>
        <w:t>十一、</w:t>
      </w:r>
      <w:bookmarkEnd w:id="4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9F6EE78">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5" w:name="_Toc15396630"/>
      <w:r>
        <w:rPr>
          <w:rFonts w:hint="eastAsia" w:ascii="Times New Roman" w:hAnsi="Times New Roman" w:eastAsia="仿宋_GB2312" w:cs="仿宋_GB2312"/>
          <w:color w:val="auto"/>
          <w:sz w:val="32"/>
          <w:szCs w:val="32"/>
          <w:highlight w:val="none"/>
        </w:rPr>
        <w:t>十二、</w:t>
      </w:r>
      <w:bookmarkEnd w:id="45"/>
      <w:r>
        <w:rPr>
          <w:rFonts w:hint="eastAsia" w:ascii="Times New Roman" w:hAnsi="Times New Roman" w:eastAsia="仿宋_GB2312" w:cs="仿宋_GB2312"/>
          <w:color w:val="auto"/>
          <w:sz w:val="32"/>
          <w:szCs w:val="32"/>
          <w:highlight w:val="none"/>
          <w:lang w:eastAsia="zh-CN"/>
        </w:rPr>
        <w:t>国有资本经营预算财政拨款支出决算表</w:t>
      </w:r>
    </w:p>
    <w:p w14:paraId="3F873056">
      <w:pPr>
        <w:pStyle w:val="12"/>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pPr>
      <w:bookmarkStart w:id="46" w:name="_Toc15396631"/>
      <w:r>
        <w:rPr>
          <w:rFonts w:hint="eastAsia" w:ascii="Times New Roman" w:hAnsi="Times New Roman" w:eastAsia="仿宋_GB2312" w:cs="仿宋_GB2312"/>
          <w:color w:val="auto"/>
          <w:sz w:val="32"/>
          <w:szCs w:val="32"/>
          <w:highlight w:val="none"/>
        </w:rPr>
        <w:t>十三、</w:t>
      </w:r>
      <w:bookmarkEnd w:id="46"/>
      <w:r>
        <w:rPr>
          <w:rFonts w:hint="eastAsia" w:ascii="Times New Roman" w:hAnsi="Times New Roman" w:eastAsia="仿宋_GB2312" w:cs="仿宋_GB2312"/>
          <w:color w:val="auto"/>
          <w:sz w:val="32"/>
          <w:szCs w:val="32"/>
          <w:highlight w:val="none"/>
          <w:lang w:eastAsia="zh-CN"/>
        </w:rPr>
        <w:t>财政拨款“三公”经费支出决算表</w:t>
      </w:r>
    </w:p>
    <w:sectPr>
      <w:head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文鼎CS仿宋体">
    <w:altName w:val="仿宋"/>
    <w:panose1 w:val="020B0604020202020204"/>
    <w:charset w:val="00"/>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Lucida Sans">
    <w:altName w:val="Lucida Sans Unicode"/>
    <w:panose1 w:val="020B0602030504020204"/>
    <w:charset w:val="01"/>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2FCC6">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0D201">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060D201">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0C7EE">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BA68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AF8AE1"/>
    <w:multiLevelType w:val="singleLevel"/>
    <w:tmpl w:val="36AF8AE1"/>
    <w:lvl w:ilvl="0" w:tentative="0">
      <w:start w:val="3"/>
      <w:numFmt w:val="decimal"/>
      <w:isLgl/>
      <w:lvlText w:val="%1."/>
      <w:legacy w:legacy="1" w:legacySpace="0" w:legacyIndent="0"/>
      <w:lvlJc w:val="left"/>
      <w:pPr>
        <w:ind w:left="0" w:firstLine="0"/>
      </w:pPr>
    </w:lvl>
  </w:abstractNum>
  <w:abstractNum w:abstractNumId="1">
    <w:nsid w:val="3818A09A"/>
    <w:multiLevelType w:val="singleLevel"/>
    <w:tmpl w:val="3818A09A"/>
    <w:lvl w:ilvl="0" w:tentative="0">
      <w:start w:val="1"/>
      <w:numFmt w:val="chineseCounting"/>
      <w:isLgl/>
      <w:suff w:val="nothing"/>
      <w:lvlText w:val="%1、"/>
      <w:legacy w:legacy="1" w:legacySpace="0" w:legacyIndent="0"/>
      <w:lvlJc w:val="left"/>
      <w:pPr>
        <w:ind w:left="0" w:firstLine="0"/>
      </w:pPr>
      <w:rPr>
        <w:rFonts w:hint="eastAsia"/>
      </w:rPr>
    </w:lvl>
  </w:abstractNum>
  <w:abstractNum w:abstractNumId="2">
    <w:nsid w:val="4CD1A1D5"/>
    <w:multiLevelType w:val="singleLevel"/>
    <w:tmpl w:val="4CD1A1D5"/>
    <w:lvl w:ilvl="0" w:tentative="0">
      <w:start w:val="4"/>
      <w:numFmt w:val="chineseCounting"/>
      <w:suff w:val="nothing"/>
      <w:lvlText w:val="（%1）"/>
      <w:lvlJc w:val="left"/>
      <w:pPr>
        <w:ind w:left="0" w:firstLine="0"/>
      </w:pPr>
    </w:lvl>
  </w:abstractNum>
  <w:abstractNum w:abstractNumId="3">
    <w:nsid w:val="4CD1E107"/>
    <w:multiLevelType w:val="singleLevel"/>
    <w:tmpl w:val="4CD1E107"/>
    <w:lvl w:ilvl="0" w:tentative="0">
      <w:start w:val="2"/>
      <w:numFmt w:val="chineseCounting"/>
      <w:suff w:val="nothing"/>
      <w:lvlText w:val="（%1）"/>
      <w:lvlJc w:val="left"/>
      <w:pPr>
        <w:ind w:left="0" w:firstLine="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30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6F64BD"/>
    <w:rsid w:val="02BF27D9"/>
    <w:rsid w:val="02CC37B1"/>
    <w:rsid w:val="05373427"/>
    <w:rsid w:val="09EE33D1"/>
    <w:rsid w:val="0DB97B61"/>
    <w:rsid w:val="0E2B6CEC"/>
    <w:rsid w:val="118455FE"/>
    <w:rsid w:val="1E107405"/>
    <w:rsid w:val="217F1765"/>
    <w:rsid w:val="233D465B"/>
    <w:rsid w:val="243B4024"/>
    <w:rsid w:val="27EF059B"/>
    <w:rsid w:val="28D133B3"/>
    <w:rsid w:val="2A382F60"/>
    <w:rsid w:val="36E26A8A"/>
    <w:rsid w:val="37232979"/>
    <w:rsid w:val="3F6F64BD"/>
    <w:rsid w:val="41CE1B66"/>
    <w:rsid w:val="4346632E"/>
    <w:rsid w:val="4A270604"/>
    <w:rsid w:val="4A5F22FE"/>
    <w:rsid w:val="4E1F6E51"/>
    <w:rsid w:val="525D4452"/>
    <w:rsid w:val="52CE71D0"/>
    <w:rsid w:val="56CD3966"/>
    <w:rsid w:val="635C2F85"/>
    <w:rsid w:val="681B2C39"/>
    <w:rsid w:val="6CC026C4"/>
    <w:rsid w:val="701F2888"/>
    <w:rsid w:val="78EF5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6"/>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17"/>
    <w:unhideWhenUsed/>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680"/>
    </w:pPr>
    <w:rPr>
      <w:rFonts w:eastAsia="文鼎CS仿宋体"/>
      <w:sz w:val="32"/>
      <w:szCs w:val="32"/>
    </w:rPr>
  </w:style>
  <w:style w:type="paragraph" w:styleId="5">
    <w:name w:val="Body Text"/>
    <w:basedOn w:val="1"/>
    <w:qFormat/>
    <w:uiPriority w:val="0"/>
    <w:pPr>
      <w:spacing w:before="30"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hAnsi="仿宋_GB2312"/>
      <w:szCs w:val="32"/>
    </w:rPr>
  </w:style>
  <w:style w:type="paragraph" w:styleId="7">
    <w:name w:val="Body Text First Indent 2"/>
    <w:basedOn w:val="6"/>
    <w:qFormat/>
    <w:uiPriority w:val="0"/>
    <w:pPr>
      <w:ind w:firstLine="200" w:firstLine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pPr>
      <w:tabs>
        <w:tab w:val="right" w:leader="dot" w:pos="8296"/>
      </w:tabs>
      <w:spacing w:before="93"/>
      <w:jc w:val="center"/>
    </w:pPr>
    <w:rPr>
      <w:rFonts w:ascii="仿宋" w:eastAsia="仿宋"/>
      <w:sz w:val="28"/>
      <w:szCs w:val="28"/>
    </w:rPr>
  </w:style>
  <w:style w:type="paragraph" w:styleId="11">
    <w:name w:val="footnote text"/>
    <w:basedOn w:val="1"/>
    <w:next w:val="7"/>
    <w:qFormat/>
    <w:uiPriority w:val="0"/>
    <w:pPr>
      <w:snapToGrid w:val="0"/>
      <w:jc w:val="left"/>
    </w:pPr>
    <w:rPr>
      <w:sz w:val="18"/>
      <w:szCs w:val="18"/>
    </w:rPr>
  </w:style>
  <w:style w:type="paragraph" w:styleId="12">
    <w:name w:val="toc 2"/>
    <w:basedOn w:val="1"/>
    <w:next w:val="1"/>
    <w:qFormat/>
    <w:uiPriority w:val="0"/>
    <w:pPr>
      <w:tabs>
        <w:tab w:val="right" w:leader="dot" w:pos="8296"/>
      </w:tabs>
      <w:ind w:left="200" w:leftChars="200"/>
    </w:pPr>
  </w:style>
  <w:style w:type="character" w:styleId="15">
    <w:name w:val="Strong"/>
    <w:basedOn w:val="14"/>
    <w:qFormat/>
    <w:uiPriority w:val="0"/>
    <w:rPr>
      <w:b/>
    </w:rPr>
  </w:style>
  <w:style w:type="character" w:customStyle="1" w:styleId="16">
    <w:name w:val="heading 1 Char"/>
    <w:basedOn w:val="14"/>
    <w:link w:val="3"/>
    <w:qFormat/>
    <w:uiPriority w:val="0"/>
    <w:rPr>
      <w:b/>
      <w:bCs/>
      <w:kern w:val="44"/>
      <w:sz w:val="44"/>
      <w:szCs w:val="44"/>
    </w:rPr>
  </w:style>
  <w:style w:type="character" w:customStyle="1" w:styleId="17">
    <w:name w:val="heading 2 Char"/>
    <w:basedOn w:val="14"/>
    <w:link w:val="4"/>
    <w:qFormat/>
    <w:uiPriority w:val="0"/>
    <w:rPr>
      <w:rFonts w:ascii="Cambria" w:hAnsi="Cambria" w:eastAsia="宋体" w:cs="Times New Roman"/>
      <w:b/>
      <w:bCs/>
      <w:sz w:val="32"/>
      <w:szCs w:val="32"/>
    </w:rPr>
  </w:style>
  <w:style w:type="paragraph" w:customStyle="1" w:styleId="18">
    <w:name w:val="普通(网站) Char"/>
    <w:basedOn w:val="1"/>
    <w:qFormat/>
    <w:uiPriority w:val="0"/>
    <w:pPr>
      <w:keepNext w:val="0"/>
      <w:keepLines w:val="0"/>
      <w:widowControl/>
      <w:suppressLineNumbers w:val="0"/>
      <w:spacing w:before="100" w:beforeAutospacing="1" w:after="100" w:afterAutospacing="1"/>
      <w:ind w:left="0" w:right="0"/>
      <w:jc w:val="left"/>
    </w:pPr>
    <w:rPr>
      <w:rFonts w:ascii="宋体" w:eastAsia="宋体" w:cs="宋体"/>
      <w:kern w:val="0"/>
      <w:sz w:val="24"/>
      <w:szCs w:val="24"/>
      <w:lang w:val="en-US" w:eastAsia="zh-CN" w:bidi="ar-SA"/>
    </w:rPr>
  </w:style>
  <w:style w:type="paragraph" w:styleId="19">
    <w:name w:val="List Paragraph"/>
    <w:basedOn w:val="1"/>
    <w:qFormat/>
    <w:uiPriority w:val="0"/>
    <w:pPr>
      <w:ind w:firstLine="200" w:firstLineChars="200"/>
    </w:pPr>
  </w:style>
  <w:style w:type="paragraph" w:customStyle="1" w:styleId="20">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stacked"/>
        <c:varyColors val="0"/>
        <c:ser>
          <c:idx val="0"/>
          <c:order val="0"/>
          <c:tx>
            <c:strRef>
              <c:f>[工作簿1]Sheet1!$B$1</c:f>
              <c:strCache>
                <c:ptCount val="1"/>
                <c:pt idx="0">
                  <c:v>收入/支出</c:v>
                </c:pt>
              </c:strCache>
            </c:strRef>
          </c:tx>
          <c:spPr>
            <a:solidFill>
              <a:schemeClr val="accent4"/>
            </a:solidFill>
            <a:ln>
              <a:noFill/>
            </a:ln>
            <a:effectLst/>
          </c:spPr>
          <c:invertIfNegative val="0"/>
          <c:dLbls>
            <c:delete val="1"/>
          </c:dLbls>
          <c:cat>
            <c:numRef>
              <c:f>[工作簿1]Sheet1!$A$2:$A$3</c:f>
              <c:numCache>
                <c:formatCode>General</c:formatCode>
                <c:ptCount val="2"/>
                <c:pt idx="0">
                  <c:v>2024</c:v>
                </c:pt>
                <c:pt idx="1">
                  <c:v>2025</c:v>
                </c:pt>
              </c:numCache>
            </c:numRef>
          </c:cat>
          <c:val>
            <c:numRef>
              <c:f>[工作簿1]Sheet1!$B$2:$B$3</c:f>
              <c:numCache>
                <c:formatCode>General</c:formatCode>
                <c:ptCount val="2"/>
                <c:pt idx="0">
                  <c:v>2644</c:v>
                </c:pt>
                <c:pt idx="1">
                  <c:v>2625</c:v>
                </c:pt>
              </c:numCache>
            </c:numRef>
          </c:val>
        </c:ser>
        <c:dLbls>
          <c:showLegendKey val="0"/>
          <c:showVal val="0"/>
          <c:showCatName val="0"/>
          <c:showSerName val="0"/>
          <c:showPercent val="0"/>
          <c:showBubbleSize val="0"/>
        </c:dLbls>
        <c:gapWidth val="150"/>
        <c:overlap val="100"/>
        <c:axId val="997349060"/>
        <c:axId val="318825484"/>
      </c:barChart>
      <c:catAx>
        <c:axId val="9973490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825484"/>
        <c:crosses val="autoZero"/>
        <c:auto val="1"/>
        <c:lblAlgn val="ctr"/>
        <c:lblOffset val="100"/>
        <c:noMultiLvlLbl val="0"/>
      </c:catAx>
      <c:valAx>
        <c:axId val="3188254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7349060"/>
        <c:crosses val="autoZero"/>
        <c:crossBetween val="between"/>
      </c:valAx>
      <c:spPr>
        <a:noFill/>
        <a:ln>
          <a:noFill/>
        </a:ln>
        <a:effectLst/>
      </c:spPr>
    </c:plotArea>
    <c:plotVisOnly val="1"/>
    <c:dispBlanksAs val="gap"/>
    <c:showDLblsOverMax val="0"/>
    <c:extLst>
      <c:ext uri="{0b15fc19-7d7d-44ad-8c2d-2c3a37ce22c3}">
        <chartProps xmlns="https://web.wps.cn/et/2018/main" chartId="{90b3ce64-b55f-4f16-b2e7-9c51c4acd0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[工作簿1]Sheet1!$B$1</c:f>
              <c:strCache>
                <c:ptCount val="1"/>
                <c:pt idx="0">
                  <c:v>2025年总收入</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[工作簿1]Sheet1!$A$2:$A$3</c:f>
              <c:strCache>
                <c:ptCount val="2"/>
                <c:pt idx="0">
                  <c:v>年初结转和结余</c:v>
                </c:pt>
                <c:pt idx="1">
                  <c:v>一般公共预算财政收入</c:v>
                </c:pt>
              </c:strCache>
            </c:strRef>
          </c:cat>
          <c:val>
            <c:numRef>
              <c:f>[工作簿1]Sheet1!$B$2:$B$3</c:f>
              <c:numCache>
                <c:formatCode>General</c:formatCode>
                <c:ptCount val="2"/>
                <c:pt idx="0">
                  <c:v>2275.65</c:v>
                </c:pt>
                <c:pt idx="1">
                  <c:v>349.6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645f636-1254-4c36-9a5f-3cd2c095c22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5244004695623"/>
          <c:y val="0.104567586366798"/>
          <c:w val="0.573536810330371"/>
          <c:h val="0.79295154185022"/>
        </c:manualLayout>
      </c:layout>
      <c:pieChart>
        <c:varyColors val="1"/>
        <c:ser>
          <c:idx val="0"/>
          <c:order val="0"/>
          <c:tx>
            <c:strRef>
              <c:f>'Sheet1 (2)'!$B$1</c:f>
              <c:strCache>
                <c:ptCount val="1"/>
                <c:pt idx="0">
                  <c:v>列2</c:v>
                </c:pt>
              </c:strCache>
            </c:strRef>
          </c:tx>
          <c:spPr>
            <a:ln>
              <a:noFill/>
            </a:ln>
          </c:spPr>
          <c:explosion val="0"/>
          <c:dPt>
            <c:idx val="0"/>
            <c:bubble3D val="0"/>
            <c:spPr>
              <a:solidFill>
                <a:srgbClr val="F79646"/>
              </a:solidFill>
              <a:ln w="19050">
                <a:solidFill>
                  <a:srgbClr val="FFFFFF"/>
                </a:solidFill>
                <a:prstDash val="solid"/>
              </a:ln>
            </c:spPr>
          </c:dPt>
          <c:dPt>
            <c:idx val="1"/>
            <c:bubble3D val="0"/>
            <c:explosion val="0"/>
            <c:spPr>
              <a:solidFill>
                <a:srgbClr val="4BACC6"/>
              </a:solidFill>
              <a:ln w="19050">
                <a:solidFill>
                  <a:srgbClr val="FFFFFF"/>
                </a:solidFill>
                <a:prstDash val="solid"/>
              </a:ln>
            </c:spPr>
          </c:dPt>
          <c:dLbls>
            <c:dLbl>
              <c:idx val="0"/>
              <c:delete val="1"/>
            </c:dLbl>
            <c:dLbl>
              <c:idx val="1"/>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 (2)'!$A$2:$A$3</c:f>
              <c:strCache>
                <c:ptCount val="2"/>
                <c:pt idx="0">
                  <c:v>基本支出</c:v>
                </c:pt>
                <c:pt idx="1">
                  <c:v>项目支出</c:v>
                </c:pt>
              </c:strCache>
            </c:strRef>
          </c:cat>
          <c:val>
            <c:numRef>
              <c:f>'Sheet1 (2)'!$B$2:$B$3</c:f>
              <c:numCache>
                <c:formatCode>General</c:formatCode>
                <c:ptCount val="2"/>
                <c:pt idx="0">
                  <c:v>332.41</c:v>
                </c:pt>
                <c:pt idx="1">
                  <c:v>2311.73</c:v>
                </c:pt>
              </c:numCache>
            </c:numRef>
          </c:val>
        </c:ser>
        <c:dLbls>
          <c:showLegendKey val="0"/>
          <c:showVal val="0"/>
          <c:showCatName val="0"/>
          <c:showSerName val="0"/>
          <c:showPercent val="0"/>
          <c:showBubbleSize val="0"/>
          <c:showLeaderLines val="1"/>
        </c:dLbls>
        <c:firstSliceAng val="0"/>
      </c:pie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accea177-6fa6-4e3b-9b17-daa245b569bd}"/>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856388888888889"/>
          <c:y val="0.146990740740741"/>
          <c:w val="0.882"/>
          <c:h val="0.710972222222222"/>
        </c:manualLayout>
      </c:layout>
      <c:barChart>
        <c:barDir val="col"/>
        <c:grouping val="stacked"/>
        <c:varyColors val="0"/>
        <c:ser>
          <c:idx val="0"/>
          <c:order val="0"/>
          <c:tx>
            <c:strRef>
              <c:f>[工作簿1]Sheet1!$B$1</c:f>
              <c:strCache>
                <c:ptCount val="1"/>
                <c:pt idx="0">
                  <c:v>收入/支出</c:v>
                </c:pt>
              </c:strCache>
            </c:strRef>
          </c:tx>
          <c:spPr>
            <a:solidFill>
              <a:schemeClr val="accent6"/>
            </a:solidFill>
            <a:ln>
              <a:noFill/>
            </a:ln>
            <a:effectLst/>
          </c:spPr>
          <c:invertIfNegative val="0"/>
          <c:dLbls>
            <c:delete val="1"/>
          </c:dLbls>
          <c:cat>
            <c:strRef>
              <c:f>[工作簿1]Sheet1!$A$2:$A$3</c:f>
              <c:strCache>
                <c:ptCount val="2"/>
                <c:pt idx="0">
                  <c:v>2024年</c:v>
                </c:pt>
                <c:pt idx="1">
                  <c:v>2025年</c:v>
                </c:pt>
              </c:strCache>
            </c:strRef>
          </c:cat>
          <c:val>
            <c:numRef>
              <c:f>[工作簿1]Sheet1!$B$2:$B$3</c:f>
              <c:numCache>
                <c:formatCode>General</c:formatCode>
                <c:ptCount val="2"/>
                <c:pt idx="0">
                  <c:v>2644</c:v>
                </c:pt>
                <c:pt idx="1">
                  <c:v>2625</c:v>
                </c:pt>
              </c:numCache>
            </c:numRef>
          </c:val>
        </c:ser>
        <c:dLbls>
          <c:showLegendKey val="0"/>
          <c:showVal val="0"/>
          <c:showCatName val="0"/>
          <c:showSerName val="0"/>
          <c:showPercent val="0"/>
          <c:showBubbleSize val="0"/>
        </c:dLbls>
        <c:gapWidth val="150"/>
        <c:overlap val="100"/>
        <c:axId val="747150917"/>
        <c:axId val="487725267"/>
      </c:barChart>
      <c:catAx>
        <c:axId val="7471509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7725267"/>
        <c:crosses val="autoZero"/>
        <c:auto val="1"/>
        <c:lblAlgn val="ctr"/>
        <c:lblOffset val="100"/>
        <c:noMultiLvlLbl val="0"/>
      </c:catAx>
      <c:valAx>
        <c:axId val="4877252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7150917"/>
        <c:crosses val="autoZero"/>
        <c:crossBetween val="between"/>
      </c:valAx>
      <c:spPr>
        <a:noFill/>
        <a:ln>
          <a:noFill/>
        </a:ln>
        <a:effectLst/>
      </c:spPr>
    </c:plotArea>
    <c:plotVisOnly val="1"/>
    <c:dispBlanksAs val="gap"/>
    <c:showDLblsOverMax val="0"/>
    <c:extLst>
      <c:ext uri="{0b15fc19-7d7d-44ad-8c2d-2c3a37ce22c3}">
        <chartProps xmlns="https://web.wps.cn/et/2018/main" chartId="{0ea4fcd9-b69d-47f5-94f0-9e27be6f435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stacked"/>
        <c:varyColors val="0"/>
        <c:ser>
          <c:idx val="0"/>
          <c:order val="0"/>
          <c:tx>
            <c:strRef>
              <c:f>[工作簿1]Sheet1!$B$1</c:f>
              <c:strCache>
                <c:ptCount val="1"/>
                <c:pt idx="0">
                  <c:v>一般公共预算</c:v>
                </c:pt>
              </c:strCache>
            </c:strRef>
          </c:tx>
          <c:spPr>
            <a:solidFill>
              <a:schemeClr val="accent2"/>
            </a:solidFill>
            <a:ln>
              <a:noFill/>
            </a:ln>
            <a:effectLst/>
          </c:spPr>
          <c:invertIfNegative val="0"/>
          <c:dLbls>
            <c:delete val="1"/>
          </c:dLbls>
          <c:cat>
            <c:numRef>
              <c:f>[工作簿1]Sheet1!$A$2:$A$3</c:f>
              <c:numCache>
                <c:formatCode>General</c:formatCode>
                <c:ptCount val="2"/>
                <c:pt idx="0">
                  <c:v>2024</c:v>
                </c:pt>
                <c:pt idx="1">
                  <c:v>2025</c:v>
                </c:pt>
              </c:numCache>
            </c:numRef>
          </c:cat>
          <c:val>
            <c:numRef>
              <c:f>[工作簿1]Sheet1!$B$2:$B$3</c:f>
              <c:numCache>
                <c:formatCode>General</c:formatCode>
                <c:ptCount val="2"/>
                <c:pt idx="0">
                  <c:v>2644</c:v>
                </c:pt>
                <c:pt idx="1">
                  <c:v>2625</c:v>
                </c:pt>
              </c:numCache>
            </c:numRef>
          </c:val>
        </c:ser>
        <c:dLbls>
          <c:showLegendKey val="0"/>
          <c:showVal val="0"/>
          <c:showCatName val="0"/>
          <c:showSerName val="0"/>
          <c:showPercent val="0"/>
          <c:showBubbleSize val="0"/>
        </c:dLbls>
        <c:gapWidth val="150"/>
        <c:overlap val="100"/>
        <c:axId val="319567161"/>
        <c:axId val="303035713"/>
      </c:barChart>
      <c:catAx>
        <c:axId val="31956716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035713"/>
        <c:crosses val="autoZero"/>
        <c:auto val="1"/>
        <c:lblAlgn val="ctr"/>
        <c:lblOffset val="100"/>
        <c:noMultiLvlLbl val="0"/>
      </c:catAx>
      <c:valAx>
        <c:axId val="30303571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9567161"/>
        <c:crosses val="autoZero"/>
        <c:crossBetween val="between"/>
      </c:valAx>
      <c:spPr>
        <a:noFill/>
        <a:ln>
          <a:noFill/>
        </a:ln>
        <a:effectLst/>
      </c:spPr>
    </c:plotArea>
    <c:plotVisOnly val="1"/>
    <c:dispBlanksAs val="gap"/>
    <c:showDLblsOverMax val="0"/>
    <c:extLst>
      <c:ext uri="{0b15fc19-7d7d-44ad-8c2d-2c3a37ce22c3}">
        <chartProps xmlns="https://web.wps.cn/et/2018/main" chartId="{2f1a2534-0907-4b4d-afab-26a33182005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Times New Roman" panose="02020603050405020304"/>
                <a:ea typeface="宋体" panose="02010600030101010101" charset="-122"/>
                <a:cs typeface="Lucida Sans" panose="020B0602030504020204"/>
              </a:defRPr>
            </a:pPr>
            <a:r>
              <a:rPr lang="zh-CN"/>
              <a:t>支出</a:t>
            </a:r>
            <a:endParaRPr lang="zh-CN"/>
          </a:p>
        </c:rich>
      </c:tx>
      <c:layout/>
      <c:overlay val="0"/>
      <c:spPr>
        <a:noFill/>
        <a:ln>
          <a:noFill/>
        </a:ln>
        <a:effectLst/>
      </c:spPr>
    </c:title>
    <c:autoTitleDeleted val="0"/>
    <c:plotArea>
      <c:layout/>
      <c:pieChart>
        <c:varyColors val="1"/>
        <c:ser>
          <c:idx val="0"/>
          <c:order val="0"/>
          <c:tx>
            <c:strRef>
              <c:f>'Sheet1 (5)'!$B$1</c:f>
              <c:strCache>
                <c:ptCount val="1"/>
                <c:pt idx="0">
                  <c:v>支出</c:v>
                </c:pt>
              </c:strCache>
            </c:strRef>
          </c:tx>
          <c:spPr/>
          <c:explosion val="0"/>
          <c:dPt>
            <c:idx val="0"/>
            <c:bubble3D val="0"/>
            <c:explosion val="1"/>
            <c:spPr>
              <a:solidFill>
                <a:schemeClr val="accent6"/>
              </a:solidFill>
              <a:ln>
                <a:noFill/>
              </a:ln>
              <a:effectLst/>
            </c:spPr>
          </c:dPt>
          <c:dPt>
            <c:idx val="1"/>
            <c:bubble3D val="0"/>
            <c:spPr>
              <a:solidFill>
                <a:schemeClr val="accent5"/>
              </a:solidFill>
              <a:ln>
                <a:noFill/>
              </a:ln>
              <a:effectLst/>
            </c:spPr>
          </c:dPt>
          <c:dPt>
            <c:idx val="2"/>
            <c:bubble3D val="0"/>
            <c:spPr>
              <a:solidFill>
                <a:schemeClr val="accent4"/>
              </a:solidFill>
              <a:ln>
                <a:noFill/>
              </a:ln>
              <a:effectLst/>
            </c:spPr>
          </c:dPt>
          <c:dPt>
            <c:idx val="3"/>
            <c:bubble3D val="0"/>
            <c:spPr>
              <a:solidFill>
                <a:schemeClr val="accent6">
                  <a:lumMod val="60000"/>
                </a:schemeClr>
              </a:solidFill>
              <a:ln>
                <a:noFill/>
              </a:ln>
              <a:effectLst/>
            </c:spPr>
          </c:dPt>
          <c:dLbls>
            <c:dLbl>
              <c:idx val="0"/>
              <c:delete val="1"/>
            </c:dLbl>
            <c:dLbl>
              <c:idx val="1"/>
              <c:delete val="1"/>
            </c:dLbl>
            <c:dLbl>
              <c:idx val="2"/>
              <c:delete val="1"/>
            </c:dLbl>
            <c:dLbl>
              <c:idx val="3"/>
              <c:delete val="1"/>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'Sheet1 (5)'!$A$2:$A$5</c:f>
              <c:strCache>
                <c:ptCount val="4"/>
                <c:pt idx="0">
                  <c:v>文化旅游体育与传媒支出为</c:v>
                </c:pt>
                <c:pt idx="1">
                  <c:v>社会保障和就业支出</c:v>
                </c:pt>
                <c:pt idx="2">
                  <c:v>卫生健康支出</c:v>
                </c:pt>
                <c:pt idx="3">
                  <c:v>住房保障支出</c:v>
                </c:pt>
              </c:strCache>
            </c:strRef>
          </c:cat>
          <c:val>
            <c:numRef>
              <c:f>'Sheet1 (5)'!$B$2:$B$5</c:f>
              <c:numCache>
                <c:formatCode>General</c:formatCode>
                <c:ptCount val="4"/>
                <c:pt idx="0">
                  <c:v>2552.73</c:v>
                </c:pt>
                <c:pt idx="1">
                  <c:v>47.79</c:v>
                </c:pt>
                <c:pt idx="2">
                  <c:v>18.76</c:v>
                </c:pt>
                <c:pt idx="3">
                  <c:v>24.86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a4733ee2-365f-4e09-9195-0c01106ea790}"/>
      </c:ext>
    </c:extLst>
  </c:chart>
  <c:spPr>
    <a:solidFill>
      <a:srgbClr val="FFFFFF"/>
    </a:solidFill>
    <a:ln w="6350" cap="flat" cmpd="sng" algn="ctr">
      <a:solidFill>
        <a:srgbClr val="D9D9D9"/>
      </a:solidFill>
      <a:prstDash val="solid"/>
      <a:round/>
    </a:ln>
    <a:effectLst/>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withinLinear" id="17">
  <a:schemeClr val="accent4"/>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711</Words>
  <Characters>2218</Characters>
  <Lines>0</Lines>
  <Paragraphs>0</Paragraphs>
  <TotalTime>11</TotalTime>
  <ScaleCrop>false</ScaleCrop>
  <LinksUpToDate>false</LinksUpToDate>
  <CharactersWithSpaces>2236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2010-11-03T09:55:00Z</dcterms:created>
  <dc:creator>未来丶1397096269</dc:creator>
  <cp:lastModifiedBy>罐罐</cp:lastModifiedBy>
  <dcterms:modified xsi:type="dcterms:W3CDTF">2026-10-16T08:00:55Z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eyJoZGlkIjoiZjgxOGQwNTYxZDc0NjcyMDhjMGQ3ZWNkOTU4YTNiM2QiLCJ1c2VySWQiOiI2MDg0NzE1NzMifQ==</vt:lpwstr>
  </property>
  <property fmtid="{D5CDD505-2E9C-101B-9397-08002B2CF9AE}" pid="4" name="ICV">
    <vt:lpwstr>E72ADDF4F95E4BBB9346E2A8F4EC905E_12</vt:lpwstr>
  </property>
</Properties>
</file>