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A3780">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06267"/>
      <w:bookmarkStart w:id="2" w:name="_Toc15377425"/>
      <w:bookmarkStart w:id="3" w:name="_Toc15377193"/>
      <w:bookmarkStart w:id="4" w:name="_Toc15396597"/>
      <w:bookmarkStart w:id="5" w:name="_Toc15396475"/>
    </w:p>
    <w:p w14:paraId="4F4F5C69">
      <w:pPr>
        <w:pStyle w:val="6"/>
        <w:rPr>
          <w:rFonts w:hint="eastAsia" w:ascii="Times New Roman" w:hAnsi="Times New Roman" w:eastAsia="方正小标宋简体" w:cs="Times New Roman"/>
          <w:color w:val="auto"/>
          <w:kern w:val="2"/>
          <w:sz w:val="72"/>
          <w:szCs w:val="72"/>
          <w:highlight w:val="none"/>
          <w:lang w:val="en-US" w:eastAsia="zh-CN" w:bidi="ar-SA"/>
        </w:rPr>
      </w:pPr>
    </w:p>
    <w:p w14:paraId="6BD40CE7">
      <w:pPr>
        <w:pStyle w:val="6"/>
        <w:rPr>
          <w:rFonts w:hint="eastAsia" w:ascii="Times New Roman" w:hAnsi="Times New Roman" w:eastAsia="方正小标宋简体" w:cs="Times New Roman"/>
          <w:color w:val="auto"/>
          <w:kern w:val="2"/>
          <w:sz w:val="72"/>
          <w:szCs w:val="72"/>
          <w:highlight w:val="none"/>
          <w:lang w:val="en-US" w:eastAsia="zh-CN" w:bidi="ar-SA"/>
        </w:rPr>
      </w:pPr>
    </w:p>
    <w:p w14:paraId="7F83011F">
      <w:pPr>
        <w:adjustRightInd w:val="0"/>
        <w:snapToGrid w:val="0"/>
        <w:spacing w:line="360" w:lineRule="auto"/>
        <w:jc w:val="center"/>
        <w:outlineLvl w:val="9"/>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1077DF50">
      <w:pPr>
        <w:adjustRightInd w:val="0"/>
        <w:snapToGrid w:val="0"/>
        <w:spacing w:line="360" w:lineRule="auto"/>
        <w:jc w:val="center"/>
        <w:outlineLvl w:val="9"/>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lang w:val="en-US" w:eastAsia="zh-CN"/>
        </w:rPr>
        <w:t>阿坝州若尔盖县统计局</w:t>
      </w:r>
    </w:p>
    <w:p w14:paraId="10DF4567">
      <w:pPr>
        <w:adjustRightInd w:val="0"/>
        <w:snapToGrid w:val="0"/>
        <w:spacing w:line="360" w:lineRule="auto"/>
        <w:jc w:val="center"/>
        <w:outlineLvl w:val="9"/>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lang w:val="en-US" w:eastAsia="zh-CN"/>
        </w:rPr>
        <w:t>（大数据中心）单位决算</w:t>
      </w:r>
    </w:p>
    <w:p w14:paraId="68C923DE">
      <w:pPr>
        <w:spacing w:line="600" w:lineRule="exact"/>
        <w:jc w:val="center"/>
        <w:outlineLvl w:val="9"/>
        <w:rPr>
          <w:rFonts w:ascii="Times New Roman" w:hAnsi="Times New Roman" w:eastAsia="方正小标宋简体"/>
          <w:color w:val="auto"/>
          <w:sz w:val="72"/>
          <w:szCs w:val="72"/>
          <w:highlight w:val="none"/>
        </w:rPr>
      </w:pPr>
    </w:p>
    <w:p w14:paraId="594846BA">
      <w:pPr>
        <w:pStyle w:val="21"/>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360435F7">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902A9BA">
      <w:pPr>
        <w:pStyle w:val="14"/>
        <w:ind w:firstLine="1920" w:firstLineChars="6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日</w:t>
      </w:r>
    </w:p>
    <w:p w14:paraId="6BA6E12D">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8295"/>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569FB613">
          <w:pPr>
            <w:spacing w:before="0" w:beforeLines="0" w:after="0" w:afterLines="0" w:line="240" w:lineRule="auto"/>
            <w:ind w:left="0" w:leftChars="0" w:right="0" w:rightChars="0" w:firstLine="0" w:firstLineChars="0"/>
            <w:jc w:val="center"/>
          </w:pPr>
        </w:p>
        <w:p w14:paraId="17CDB908">
          <w:pPr>
            <w:pStyle w:val="14"/>
            <w:tabs>
              <w:tab w:val="right" w:leader="dot" w:pos="8306"/>
              <w:tab w:val="clear" w:pos="8296"/>
            </w:tabs>
          </w:pPr>
          <w:r>
            <w:fldChar w:fldCharType="begin"/>
          </w:r>
          <w:r>
            <w:instrText xml:space="preserve">TOC \o "1-3" \h \u </w:instrText>
          </w:r>
          <w:r>
            <w:fldChar w:fldCharType="separate"/>
          </w:r>
          <w:r>
            <w:fldChar w:fldCharType="begin"/>
          </w:r>
          <w:r>
            <w:instrText xml:space="preserve"> HYPERLINK \l _Toc1833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_Toc1833 \h </w:instrText>
          </w:r>
          <w:r>
            <w:fldChar w:fldCharType="separate"/>
          </w:r>
          <w:r>
            <w:t>3</w:t>
          </w:r>
          <w:r>
            <w:fldChar w:fldCharType="end"/>
          </w:r>
          <w:r>
            <w:fldChar w:fldCharType="end"/>
          </w:r>
        </w:p>
        <w:p w14:paraId="6DFE2E17">
          <w:pPr>
            <w:pStyle w:val="14"/>
            <w:tabs>
              <w:tab w:val="right" w:leader="dot" w:pos="8306"/>
              <w:tab w:val="clear" w:pos="8296"/>
            </w:tabs>
          </w:pPr>
          <w:r>
            <w:fldChar w:fldCharType="begin"/>
          </w:r>
          <w:r>
            <w:instrText xml:space="preserve"> HYPERLINK \l _Toc20530 </w:instrText>
          </w:r>
          <w:r>
            <w:fldChar w:fldCharType="separate"/>
          </w:r>
          <w:r>
            <w:rPr>
              <w:rFonts w:hint="eastAsia" w:ascii="楷体_GB2312" w:eastAsia="楷体_GB2312" w:cs="宋体"/>
              <w:szCs w:val="32"/>
            </w:rPr>
            <w:t xml:space="preserve">一、 </w:t>
          </w:r>
          <w:r>
            <w:rPr>
              <w:rFonts w:hint="eastAsia" w:ascii="Times New Roman" w:hAnsi="Times New Roman" w:eastAsia="黑体"/>
              <w:highlight w:val="none"/>
              <w:lang w:eastAsia="zh-CN"/>
            </w:rPr>
            <w:t>部门职责</w:t>
          </w:r>
          <w:r>
            <w:tab/>
          </w:r>
          <w:r>
            <w:fldChar w:fldCharType="begin"/>
          </w:r>
          <w:r>
            <w:instrText xml:space="preserve"> PAGEREF _Toc20530 \h </w:instrText>
          </w:r>
          <w:r>
            <w:fldChar w:fldCharType="separate"/>
          </w:r>
          <w:r>
            <w:t>3</w:t>
          </w:r>
          <w:r>
            <w:fldChar w:fldCharType="end"/>
          </w:r>
          <w:r>
            <w:fldChar w:fldCharType="end"/>
          </w:r>
        </w:p>
        <w:p w14:paraId="1601C71C">
          <w:pPr>
            <w:pStyle w:val="16"/>
            <w:tabs>
              <w:tab w:val="right" w:leader="dot" w:pos="8306"/>
              <w:tab w:val="clear" w:pos="8296"/>
            </w:tabs>
          </w:pPr>
          <w:r>
            <w:fldChar w:fldCharType="begin"/>
          </w:r>
          <w:r>
            <w:instrText xml:space="preserve"> HYPERLINK \l _Toc29636 </w:instrText>
          </w:r>
          <w:r>
            <w:fldChar w:fldCharType="separate"/>
          </w:r>
          <w:r>
            <w:rPr>
              <w:rFonts w:hint="eastAsia" w:ascii="仿宋" w:eastAsia="仿宋"/>
              <w:kern w:val="0"/>
              <w:szCs w:val="32"/>
            </w:rPr>
            <w:t>（一） 主要职能</w:t>
          </w:r>
          <w:r>
            <w:tab/>
          </w:r>
          <w:r>
            <w:fldChar w:fldCharType="begin"/>
          </w:r>
          <w:r>
            <w:instrText xml:space="preserve"> PAGEREF _Toc29636 \h </w:instrText>
          </w:r>
          <w:r>
            <w:fldChar w:fldCharType="separate"/>
          </w:r>
          <w:r>
            <w:t>3</w:t>
          </w:r>
          <w:r>
            <w:fldChar w:fldCharType="end"/>
          </w:r>
          <w:r>
            <w:fldChar w:fldCharType="end"/>
          </w:r>
        </w:p>
        <w:p w14:paraId="364B005A">
          <w:pPr>
            <w:pStyle w:val="16"/>
            <w:tabs>
              <w:tab w:val="right" w:leader="dot" w:pos="8306"/>
              <w:tab w:val="clear" w:pos="8296"/>
            </w:tabs>
          </w:pPr>
          <w:r>
            <w:fldChar w:fldCharType="begin"/>
          </w:r>
          <w:r>
            <w:instrText xml:space="preserve"> HYPERLINK \l _Toc7611 </w:instrText>
          </w:r>
          <w:r>
            <w:fldChar w:fldCharType="separate"/>
          </w:r>
          <w:r>
            <w:rPr>
              <w:rFonts w:hint="eastAsia" w:ascii="仿宋" w:eastAsia="仿宋"/>
              <w:szCs w:val="32"/>
            </w:rPr>
            <w:t>（二）202</w:t>
          </w:r>
          <w:r>
            <w:rPr>
              <w:rFonts w:hint="eastAsia" w:ascii="仿宋" w:eastAsia="仿宋"/>
              <w:szCs w:val="32"/>
              <w:lang w:val="en-US" w:eastAsia="zh-CN"/>
            </w:rPr>
            <w:t>5</w:t>
          </w:r>
          <w:r>
            <w:rPr>
              <w:rFonts w:hint="eastAsia" w:ascii="仿宋" w:eastAsia="仿宋"/>
              <w:szCs w:val="32"/>
            </w:rPr>
            <w:t>年重点工作完成情况。</w:t>
          </w:r>
          <w:r>
            <w:tab/>
          </w:r>
          <w:r>
            <w:fldChar w:fldCharType="begin"/>
          </w:r>
          <w:r>
            <w:instrText xml:space="preserve"> PAGEREF _Toc7611 \h </w:instrText>
          </w:r>
          <w:r>
            <w:fldChar w:fldCharType="separate"/>
          </w:r>
          <w:r>
            <w:t>3</w:t>
          </w:r>
          <w:r>
            <w:fldChar w:fldCharType="end"/>
          </w:r>
          <w:r>
            <w:fldChar w:fldCharType="end"/>
          </w:r>
        </w:p>
        <w:p w14:paraId="0AC765E5">
          <w:pPr>
            <w:pStyle w:val="14"/>
            <w:tabs>
              <w:tab w:val="right" w:leader="dot" w:pos="8306"/>
              <w:tab w:val="clear" w:pos="8296"/>
            </w:tabs>
          </w:pPr>
          <w:r>
            <w:fldChar w:fldCharType="begin"/>
          </w:r>
          <w:r>
            <w:instrText xml:space="preserve"> HYPERLINK \l _Toc28614 </w:instrText>
          </w:r>
          <w:r>
            <w:fldChar w:fldCharType="separate"/>
          </w:r>
          <w:r>
            <w:rPr>
              <w:rFonts w:hint="eastAsia" w:ascii="Times New Roman" w:hAnsi="Times New Roman" w:eastAsia="黑体"/>
              <w:bCs w:val="0"/>
            </w:rPr>
            <w:t xml:space="preserve">二、 </w:t>
          </w:r>
          <w:r>
            <w:rPr>
              <w:rFonts w:hint="eastAsia" w:ascii="Times New Roman" w:hAnsi="Times New Roman" w:eastAsia="黑体"/>
              <w:highlight w:val="none"/>
            </w:rPr>
            <w:t>机</w:t>
          </w:r>
          <w:r>
            <w:rPr>
              <w:rFonts w:hint="eastAsia" w:ascii="Times New Roman" w:hAnsi="Times New Roman" w:eastAsia="黑体"/>
              <w:bCs w:val="0"/>
              <w:highlight w:val="none"/>
            </w:rPr>
            <w:t>构设置</w:t>
          </w:r>
          <w:r>
            <w:tab/>
          </w:r>
          <w:r>
            <w:fldChar w:fldCharType="begin"/>
          </w:r>
          <w:r>
            <w:instrText xml:space="preserve"> PAGEREF _Toc28614 \h </w:instrText>
          </w:r>
          <w:r>
            <w:fldChar w:fldCharType="separate"/>
          </w:r>
          <w:r>
            <w:t>3</w:t>
          </w:r>
          <w:r>
            <w:fldChar w:fldCharType="end"/>
          </w:r>
          <w:r>
            <w:fldChar w:fldCharType="end"/>
          </w:r>
        </w:p>
        <w:p w14:paraId="09A30148">
          <w:pPr>
            <w:pStyle w:val="14"/>
            <w:tabs>
              <w:tab w:val="right" w:leader="dot" w:pos="8306"/>
              <w:tab w:val="clear" w:pos="8296"/>
            </w:tabs>
          </w:pPr>
          <w:r>
            <w:fldChar w:fldCharType="begin"/>
          </w:r>
          <w:r>
            <w:instrText xml:space="preserve"> HYPERLINK \l _Toc8196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_Toc8196 \h </w:instrText>
          </w:r>
          <w:r>
            <w:fldChar w:fldCharType="separate"/>
          </w:r>
          <w:r>
            <w:t>4</w:t>
          </w:r>
          <w:r>
            <w:fldChar w:fldCharType="end"/>
          </w:r>
          <w:r>
            <w:fldChar w:fldCharType="end"/>
          </w:r>
        </w:p>
        <w:p w14:paraId="0997042F">
          <w:pPr>
            <w:pStyle w:val="14"/>
            <w:tabs>
              <w:tab w:val="right" w:leader="dot" w:pos="8306"/>
              <w:tab w:val="clear" w:pos="8296"/>
            </w:tabs>
          </w:pPr>
          <w:r>
            <w:fldChar w:fldCharType="begin"/>
          </w:r>
          <w:r>
            <w:instrText xml:space="preserve"> HYPERLINK \l _Toc6552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_Toc6552 \h </w:instrText>
          </w:r>
          <w:r>
            <w:fldChar w:fldCharType="separate"/>
          </w:r>
          <w:r>
            <w:t>4</w:t>
          </w:r>
          <w:r>
            <w:fldChar w:fldCharType="end"/>
          </w:r>
          <w:r>
            <w:fldChar w:fldCharType="end"/>
          </w:r>
        </w:p>
        <w:p w14:paraId="0B7CA251">
          <w:pPr>
            <w:pStyle w:val="14"/>
            <w:tabs>
              <w:tab w:val="right" w:leader="dot" w:pos="8306"/>
              <w:tab w:val="clear" w:pos="8296"/>
            </w:tabs>
          </w:pPr>
          <w:r>
            <w:fldChar w:fldCharType="begin"/>
          </w:r>
          <w:r>
            <w:instrText xml:space="preserve"> HYPERLINK \l _Toc21921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_Toc21921 \h </w:instrText>
          </w:r>
          <w:r>
            <w:fldChar w:fldCharType="separate"/>
          </w:r>
          <w:r>
            <w:t>4</w:t>
          </w:r>
          <w:r>
            <w:fldChar w:fldCharType="end"/>
          </w:r>
          <w:r>
            <w:fldChar w:fldCharType="end"/>
          </w:r>
        </w:p>
        <w:p w14:paraId="270E10F9">
          <w:pPr>
            <w:pStyle w:val="14"/>
            <w:tabs>
              <w:tab w:val="right" w:leader="dot" w:pos="8306"/>
              <w:tab w:val="clear" w:pos="8296"/>
            </w:tabs>
          </w:pPr>
          <w:r>
            <w:fldChar w:fldCharType="begin"/>
          </w:r>
          <w:r>
            <w:instrText xml:space="preserve"> HYPERLINK \l _Toc4133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_Toc4133 \h </w:instrText>
          </w:r>
          <w:r>
            <w:fldChar w:fldCharType="separate"/>
          </w:r>
          <w:r>
            <w:t>5</w:t>
          </w:r>
          <w:r>
            <w:fldChar w:fldCharType="end"/>
          </w:r>
          <w:r>
            <w:fldChar w:fldCharType="end"/>
          </w:r>
        </w:p>
        <w:p w14:paraId="10DE3558">
          <w:pPr>
            <w:pStyle w:val="14"/>
            <w:tabs>
              <w:tab w:val="right" w:leader="dot" w:pos="8306"/>
              <w:tab w:val="clear" w:pos="8296"/>
            </w:tabs>
          </w:pPr>
          <w:r>
            <w:fldChar w:fldCharType="begin"/>
          </w:r>
          <w:r>
            <w:instrText xml:space="preserve"> HYPERLINK \l _Toc6635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_Toc6635 \h </w:instrText>
          </w:r>
          <w:r>
            <w:fldChar w:fldCharType="separate"/>
          </w:r>
          <w:r>
            <w:t>6</w:t>
          </w:r>
          <w:r>
            <w:fldChar w:fldCharType="end"/>
          </w:r>
          <w:r>
            <w:fldChar w:fldCharType="end"/>
          </w:r>
        </w:p>
        <w:p w14:paraId="756B0DC4">
          <w:pPr>
            <w:pStyle w:val="14"/>
            <w:tabs>
              <w:tab w:val="right" w:leader="dot" w:pos="8306"/>
              <w:tab w:val="clear" w:pos="8296"/>
            </w:tabs>
          </w:pPr>
          <w:r>
            <w:fldChar w:fldCharType="begin"/>
          </w:r>
          <w:r>
            <w:instrText xml:space="preserve"> HYPERLINK \l _Toc279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_Toc279 \h </w:instrText>
          </w:r>
          <w:r>
            <w:fldChar w:fldCharType="separate"/>
          </w:r>
          <w:r>
            <w:t>6</w:t>
          </w:r>
          <w:r>
            <w:fldChar w:fldCharType="end"/>
          </w:r>
          <w:r>
            <w:fldChar w:fldCharType="end"/>
          </w:r>
        </w:p>
        <w:p w14:paraId="0AA58AEE">
          <w:pPr>
            <w:pStyle w:val="16"/>
            <w:tabs>
              <w:tab w:val="right" w:leader="dot" w:pos="8306"/>
              <w:tab w:val="clear" w:pos="8296"/>
            </w:tabs>
          </w:pPr>
          <w:r>
            <w:fldChar w:fldCharType="begin"/>
          </w:r>
          <w:r>
            <w:instrText xml:space="preserve"> HYPERLINK \l _Toc27854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_Toc27854 \h </w:instrText>
          </w:r>
          <w:r>
            <w:fldChar w:fldCharType="separate"/>
          </w:r>
          <w:r>
            <w:t>6</w:t>
          </w:r>
          <w:r>
            <w:fldChar w:fldCharType="end"/>
          </w:r>
          <w:r>
            <w:fldChar w:fldCharType="end"/>
          </w:r>
        </w:p>
        <w:p w14:paraId="1C666E7A">
          <w:pPr>
            <w:pStyle w:val="16"/>
            <w:tabs>
              <w:tab w:val="right" w:leader="dot" w:pos="8306"/>
              <w:tab w:val="clear" w:pos="8296"/>
            </w:tabs>
          </w:pPr>
          <w:r>
            <w:fldChar w:fldCharType="begin"/>
          </w:r>
          <w:r>
            <w:instrText xml:space="preserve"> HYPERLINK \l _Toc31203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_Toc31203 \h </w:instrText>
          </w:r>
          <w:r>
            <w:fldChar w:fldCharType="separate"/>
          </w:r>
          <w:r>
            <w:t>7</w:t>
          </w:r>
          <w:r>
            <w:fldChar w:fldCharType="end"/>
          </w:r>
          <w:r>
            <w:fldChar w:fldCharType="end"/>
          </w:r>
        </w:p>
        <w:p w14:paraId="34843510">
          <w:pPr>
            <w:pStyle w:val="16"/>
            <w:tabs>
              <w:tab w:val="right" w:leader="dot" w:pos="8306"/>
              <w:tab w:val="clear" w:pos="8296"/>
            </w:tabs>
          </w:pPr>
          <w:r>
            <w:fldChar w:fldCharType="begin"/>
          </w:r>
          <w:r>
            <w:instrText xml:space="preserve"> HYPERLINK \l _Toc1570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_Toc1570 \h </w:instrText>
          </w:r>
          <w:r>
            <w:fldChar w:fldCharType="separate"/>
          </w:r>
          <w:r>
            <w:t>8</w:t>
          </w:r>
          <w:r>
            <w:fldChar w:fldCharType="end"/>
          </w:r>
          <w:r>
            <w:fldChar w:fldCharType="end"/>
          </w:r>
        </w:p>
        <w:p w14:paraId="0DDB012D">
          <w:pPr>
            <w:pStyle w:val="14"/>
            <w:tabs>
              <w:tab w:val="right" w:leader="dot" w:pos="8306"/>
              <w:tab w:val="clear" w:pos="8296"/>
            </w:tabs>
          </w:pPr>
          <w:r>
            <w:fldChar w:fldCharType="begin"/>
          </w:r>
          <w:r>
            <w:instrText xml:space="preserve"> HYPERLINK \l _Toc6748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_Toc6748 \h </w:instrText>
          </w:r>
          <w:r>
            <w:fldChar w:fldCharType="separate"/>
          </w:r>
          <w:r>
            <w:t>9</w:t>
          </w:r>
          <w:r>
            <w:fldChar w:fldCharType="end"/>
          </w:r>
          <w:r>
            <w:fldChar w:fldCharType="end"/>
          </w:r>
        </w:p>
        <w:p w14:paraId="0D1E5577">
          <w:pPr>
            <w:pStyle w:val="14"/>
            <w:tabs>
              <w:tab w:val="right" w:leader="dot" w:pos="8306"/>
              <w:tab w:val="clear" w:pos="8296"/>
            </w:tabs>
          </w:pPr>
          <w:r>
            <w:fldChar w:fldCharType="begin"/>
          </w:r>
          <w:r>
            <w:instrText xml:space="preserve"> HYPERLINK \l _Toc30845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_Toc30845 \h </w:instrText>
          </w:r>
          <w:r>
            <w:fldChar w:fldCharType="separate"/>
          </w:r>
          <w:r>
            <w:t>9</w:t>
          </w:r>
          <w:r>
            <w:fldChar w:fldCharType="end"/>
          </w:r>
          <w:r>
            <w:fldChar w:fldCharType="end"/>
          </w:r>
        </w:p>
        <w:p w14:paraId="396CB628">
          <w:pPr>
            <w:pStyle w:val="16"/>
            <w:tabs>
              <w:tab w:val="right" w:leader="dot" w:pos="8306"/>
              <w:tab w:val="clear" w:pos="8296"/>
            </w:tabs>
          </w:pPr>
          <w:r>
            <w:fldChar w:fldCharType="begin"/>
          </w:r>
          <w:r>
            <w:instrText xml:space="preserve"> HYPERLINK \l _Toc31902 </w:instrText>
          </w:r>
          <w:r>
            <w:fldChar w:fldCharType="separate"/>
          </w:r>
          <w:r>
            <w:rPr>
              <w:rFonts w:hint="eastAsia" w:ascii="Times New Roman" w:hAnsi="Times New Roman" w:eastAsia="楷体_GB2312" w:cs="楷体_GB2312"/>
              <w:szCs w:val="32"/>
              <w:highlight w:val="none"/>
            </w:rPr>
            <w:t>（一）“三公”经费财政拨款支出决算总体情况说明</w:t>
          </w:r>
          <w:r>
            <w:tab/>
          </w:r>
          <w:r>
            <w:fldChar w:fldCharType="begin"/>
          </w:r>
          <w:r>
            <w:instrText xml:space="preserve"> PAGEREF _Toc31902 \h </w:instrText>
          </w:r>
          <w:r>
            <w:fldChar w:fldCharType="separate"/>
          </w:r>
          <w:r>
            <w:t>9</w:t>
          </w:r>
          <w:r>
            <w:fldChar w:fldCharType="end"/>
          </w:r>
          <w:r>
            <w:fldChar w:fldCharType="end"/>
          </w:r>
        </w:p>
        <w:p w14:paraId="1BC51756">
          <w:pPr>
            <w:pStyle w:val="16"/>
            <w:tabs>
              <w:tab w:val="right" w:leader="dot" w:pos="8306"/>
              <w:tab w:val="clear" w:pos="8296"/>
            </w:tabs>
          </w:pPr>
          <w:r>
            <w:fldChar w:fldCharType="begin"/>
          </w:r>
          <w:r>
            <w:instrText xml:space="preserve"> HYPERLINK \l _Toc2018 </w:instrText>
          </w:r>
          <w:r>
            <w:fldChar w:fldCharType="separate"/>
          </w:r>
          <w:r>
            <w:rPr>
              <w:rFonts w:hint="eastAsia" w:ascii="Times New Roman" w:hAnsi="Times New Roman" w:eastAsia="楷体_GB2312" w:cs="楷体_GB2312"/>
              <w:szCs w:val="32"/>
              <w:highlight w:val="none"/>
            </w:rPr>
            <w:t>（二）“三公”经费财政拨款支出决算具体情况说明</w:t>
          </w:r>
          <w:r>
            <w:tab/>
          </w:r>
          <w:r>
            <w:fldChar w:fldCharType="begin"/>
          </w:r>
          <w:r>
            <w:instrText xml:space="preserve"> PAGEREF _Toc2018 \h </w:instrText>
          </w:r>
          <w:r>
            <w:fldChar w:fldCharType="separate"/>
          </w:r>
          <w:r>
            <w:t>9</w:t>
          </w:r>
          <w:r>
            <w:fldChar w:fldCharType="end"/>
          </w:r>
          <w:r>
            <w:fldChar w:fldCharType="end"/>
          </w:r>
        </w:p>
        <w:p w14:paraId="4C87E24C">
          <w:pPr>
            <w:pStyle w:val="14"/>
            <w:tabs>
              <w:tab w:val="right" w:leader="dot" w:pos="8306"/>
              <w:tab w:val="clear" w:pos="8296"/>
            </w:tabs>
          </w:pPr>
          <w:r>
            <w:fldChar w:fldCharType="begin"/>
          </w:r>
          <w:r>
            <w:instrText xml:space="preserve"> HYPERLINK \l _Toc1423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_Toc1423 \h </w:instrText>
          </w:r>
          <w:r>
            <w:fldChar w:fldCharType="separate"/>
          </w:r>
          <w:r>
            <w:t>10</w:t>
          </w:r>
          <w:r>
            <w:fldChar w:fldCharType="end"/>
          </w:r>
          <w:r>
            <w:fldChar w:fldCharType="end"/>
          </w:r>
        </w:p>
        <w:p w14:paraId="42AFE359">
          <w:pPr>
            <w:pStyle w:val="14"/>
            <w:tabs>
              <w:tab w:val="right" w:leader="dot" w:pos="8306"/>
              <w:tab w:val="clear" w:pos="8296"/>
            </w:tabs>
          </w:pPr>
          <w:r>
            <w:fldChar w:fldCharType="begin"/>
          </w:r>
          <w:r>
            <w:instrText xml:space="preserve"> HYPERLINK \l _Toc15047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_Toc15047 \h </w:instrText>
          </w:r>
          <w:r>
            <w:fldChar w:fldCharType="separate"/>
          </w:r>
          <w:r>
            <w:t>10</w:t>
          </w:r>
          <w:r>
            <w:fldChar w:fldCharType="end"/>
          </w:r>
          <w:r>
            <w:fldChar w:fldCharType="end"/>
          </w:r>
        </w:p>
        <w:p w14:paraId="2AC78AFB">
          <w:pPr>
            <w:pStyle w:val="14"/>
            <w:tabs>
              <w:tab w:val="right" w:leader="dot" w:pos="8306"/>
              <w:tab w:val="clear" w:pos="8296"/>
            </w:tabs>
          </w:pPr>
          <w:r>
            <w:fldChar w:fldCharType="begin"/>
          </w:r>
          <w:r>
            <w:instrText xml:space="preserve"> HYPERLINK \l _Toc10838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_Toc10838 \h </w:instrText>
          </w:r>
          <w:r>
            <w:fldChar w:fldCharType="separate"/>
          </w:r>
          <w:r>
            <w:t>11</w:t>
          </w:r>
          <w:r>
            <w:fldChar w:fldCharType="end"/>
          </w:r>
          <w:r>
            <w:fldChar w:fldCharType="end"/>
          </w:r>
        </w:p>
        <w:p w14:paraId="64C9A09B">
          <w:pPr>
            <w:pStyle w:val="16"/>
            <w:tabs>
              <w:tab w:val="right" w:leader="dot" w:pos="8306"/>
              <w:tab w:val="clear" w:pos="8296"/>
            </w:tabs>
          </w:pPr>
          <w:r>
            <w:fldChar w:fldCharType="begin"/>
          </w:r>
          <w:r>
            <w:instrText xml:space="preserve"> HYPERLINK \l _Toc8244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_Toc8244 \h </w:instrText>
          </w:r>
          <w:r>
            <w:fldChar w:fldCharType="separate"/>
          </w:r>
          <w:r>
            <w:t>11</w:t>
          </w:r>
          <w:r>
            <w:fldChar w:fldCharType="end"/>
          </w:r>
          <w:r>
            <w:fldChar w:fldCharType="end"/>
          </w:r>
        </w:p>
        <w:p w14:paraId="30B26980">
          <w:pPr>
            <w:pStyle w:val="16"/>
            <w:tabs>
              <w:tab w:val="right" w:leader="dot" w:pos="8306"/>
              <w:tab w:val="clear" w:pos="8296"/>
            </w:tabs>
          </w:pPr>
          <w:r>
            <w:fldChar w:fldCharType="begin"/>
          </w:r>
          <w:r>
            <w:instrText xml:space="preserve"> HYPERLINK \l _Toc23143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_Toc23143 \h </w:instrText>
          </w:r>
          <w:r>
            <w:fldChar w:fldCharType="separate"/>
          </w:r>
          <w:r>
            <w:t>11</w:t>
          </w:r>
          <w:r>
            <w:fldChar w:fldCharType="end"/>
          </w:r>
          <w:r>
            <w:fldChar w:fldCharType="end"/>
          </w:r>
        </w:p>
        <w:p w14:paraId="15EA3511">
          <w:pPr>
            <w:pStyle w:val="16"/>
            <w:tabs>
              <w:tab w:val="right" w:leader="dot" w:pos="8306"/>
              <w:tab w:val="clear" w:pos="8296"/>
            </w:tabs>
          </w:pPr>
          <w:r>
            <w:fldChar w:fldCharType="begin"/>
          </w:r>
          <w:r>
            <w:instrText xml:space="preserve"> HYPERLINK \l _Toc23577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_Toc23577 \h </w:instrText>
          </w:r>
          <w:r>
            <w:fldChar w:fldCharType="separate"/>
          </w:r>
          <w:r>
            <w:t>11</w:t>
          </w:r>
          <w:r>
            <w:fldChar w:fldCharType="end"/>
          </w:r>
          <w:r>
            <w:fldChar w:fldCharType="end"/>
          </w:r>
        </w:p>
        <w:p w14:paraId="15D06A11">
          <w:pPr>
            <w:pStyle w:val="16"/>
            <w:tabs>
              <w:tab w:val="right" w:leader="dot" w:pos="8306"/>
              <w:tab w:val="clear" w:pos="8296"/>
            </w:tabs>
          </w:pPr>
          <w:r>
            <w:fldChar w:fldCharType="begin"/>
          </w:r>
          <w:r>
            <w:instrText xml:space="preserve"> HYPERLINK \l _Toc31513 </w:instrText>
          </w:r>
          <w: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_Toc31513 \h </w:instrText>
          </w:r>
          <w:r>
            <w:fldChar w:fldCharType="separate"/>
          </w:r>
          <w:r>
            <w:t>11</w:t>
          </w:r>
          <w:r>
            <w:fldChar w:fldCharType="end"/>
          </w:r>
          <w:r>
            <w:fldChar w:fldCharType="end"/>
          </w:r>
        </w:p>
        <w:p w14:paraId="224F9FBB">
          <w:pPr>
            <w:pStyle w:val="14"/>
            <w:tabs>
              <w:tab w:val="right" w:leader="dot" w:pos="8306"/>
              <w:tab w:val="clear" w:pos="8296"/>
            </w:tabs>
          </w:pPr>
          <w:r>
            <w:fldChar w:fldCharType="begin"/>
          </w:r>
          <w:r>
            <w:instrText xml:space="preserve"> HYPERLINK \l _Toc21253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_Toc21253 \h </w:instrText>
          </w:r>
          <w:r>
            <w:fldChar w:fldCharType="separate"/>
          </w:r>
          <w:r>
            <w:t>12</w:t>
          </w:r>
          <w:r>
            <w:fldChar w:fldCharType="end"/>
          </w:r>
          <w:r>
            <w:fldChar w:fldCharType="end"/>
          </w:r>
        </w:p>
        <w:p w14:paraId="508F679D">
          <w:pPr>
            <w:pStyle w:val="14"/>
            <w:tabs>
              <w:tab w:val="right" w:leader="dot" w:pos="8306"/>
              <w:tab w:val="clear" w:pos="8296"/>
            </w:tabs>
          </w:pPr>
          <w:r>
            <w:fldChar w:fldCharType="begin"/>
          </w:r>
          <w:r>
            <w:instrText xml:space="preserve"> HYPERLINK \l _Toc2284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_Toc2284 \h </w:instrText>
          </w:r>
          <w:r>
            <w:fldChar w:fldCharType="separate"/>
          </w:r>
          <w:r>
            <w:t>15</w:t>
          </w:r>
          <w:r>
            <w:fldChar w:fldCharType="end"/>
          </w:r>
          <w:r>
            <w:fldChar w:fldCharType="end"/>
          </w:r>
        </w:p>
        <w:p w14:paraId="1C08620A">
          <w:pPr>
            <w:pStyle w:val="14"/>
            <w:tabs>
              <w:tab w:val="right" w:leader="dot" w:pos="8306"/>
              <w:tab w:val="clear" w:pos="8296"/>
            </w:tabs>
          </w:pPr>
          <w:r>
            <w:fldChar w:fldCharType="begin"/>
          </w:r>
          <w:r>
            <w:instrText xml:space="preserve"> HYPERLINK \l _Toc22756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_Toc22756 \h </w:instrText>
          </w:r>
          <w:r>
            <w:fldChar w:fldCharType="separate"/>
          </w:r>
          <w:r>
            <w:t>16</w:t>
          </w:r>
          <w:r>
            <w:fldChar w:fldCharType="end"/>
          </w:r>
          <w:r>
            <w:fldChar w:fldCharType="end"/>
          </w:r>
        </w:p>
        <w:p w14:paraId="4D263AB2">
          <w:pPr>
            <w:pStyle w:val="16"/>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rPr>
              <w:rFonts w:ascii="宋体" w:hAnsi="宋体" w:eastAsia="宋体" w:cs="Times New Roman"/>
              <w:kern w:val="2"/>
              <w:sz w:val="21"/>
              <w:szCs w:val="24"/>
              <w:lang w:val="en-US" w:eastAsia="zh-CN" w:bidi="ar-SA"/>
            </w:rPr>
          </w:pPr>
          <w:r>
            <w:fldChar w:fldCharType="end"/>
          </w:r>
        </w:p>
      </w:sdtContent>
    </w:sdt>
    <w:p w14:paraId="4D9809A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32338A3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1E8C887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F4F028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1E0604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71278E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EC91AD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0D8481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八、一般公共预算财政拨款基本支出决算表</w:t>
      </w:r>
    </w:p>
    <w:p w14:paraId="691D350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775457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85C967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FC7490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p>
    <w:p w14:paraId="45E5321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p>
    <w:p w14:paraId="51BA30C8"/>
    <w:p w14:paraId="40425C8C"/>
    <w:p w14:paraId="27DCAA43">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2A468C1F">
      <w:pPr>
        <w:pStyle w:val="2"/>
        <w:jc w:val="center"/>
        <w:rPr>
          <w:rFonts w:ascii="Times New Roman" w:hAnsi="Times New Roman" w:eastAsia="黑体"/>
          <w:color w:val="auto"/>
          <w:sz w:val="32"/>
          <w:szCs w:val="32"/>
          <w:highlight w:val="none"/>
        </w:rPr>
      </w:pPr>
      <w:bookmarkStart w:id="8" w:name="_Toc1833"/>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bookmarkEnd w:id="8"/>
    </w:p>
    <w:p w14:paraId="43E6746E">
      <w:pPr>
        <w:pStyle w:val="3"/>
        <w:numPr>
          <w:ilvl w:val="0"/>
          <w:numId w:val="1"/>
        </w:numPr>
        <w:outlineLvl w:val="0"/>
        <w:rPr>
          <w:rFonts w:hint="eastAsia" w:ascii="楷体_GB2312" w:eastAsia="楷体_GB2312" w:cs="宋体"/>
          <w:b/>
          <w:sz w:val="32"/>
          <w:szCs w:val="32"/>
        </w:rPr>
      </w:pPr>
      <w:bookmarkStart w:id="9" w:name="_Toc20530"/>
      <w:r>
        <w:rPr>
          <w:rFonts w:hint="eastAsia" w:ascii="Times New Roman" w:hAnsi="Times New Roman" w:eastAsia="黑体"/>
          <w:b w:val="0"/>
          <w:color w:val="auto"/>
          <w:highlight w:val="none"/>
          <w:lang w:eastAsia="zh-CN"/>
        </w:rPr>
        <w:t>部门职责</w:t>
      </w:r>
      <w:bookmarkEnd w:id="9"/>
    </w:p>
    <w:p w14:paraId="58A80C3F">
      <w:pPr>
        <w:pStyle w:val="3"/>
        <w:numPr>
          <w:ilvl w:val="0"/>
          <w:numId w:val="2"/>
        </w:numPr>
        <w:rPr>
          <w:rFonts w:hint="eastAsia" w:ascii="仿宋" w:eastAsia="仿宋"/>
          <w:color w:val="auto"/>
          <w:kern w:val="0"/>
          <w:sz w:val="32"/>
          <w:szCs w:val="32"/>
        </w:rPr>
      </w:pPr>
      <w:bookmarkStart w:id="10" w:name="_Toc29636"/>
      <w:r>
        <w:rPr>
          <w:rFonts w:hint="eastAsia" w:ascii="仿宋" w:eastAsia="仿宋"/>
          <w:color w:val="auto"/>
          <w:kern w:val="0"/>
          <w:sz w:val="32"/>
          <w:szCs w:val="32"/>
        </w:rPr>
        <w:t>主要职能</w:t>
      </w:r>
      <w:bookmarkEnd w:id="10"/>
      <w:bookmarkStart w:id="11" w:name="_Toc9535"/>
      <w:bookmarkEnd w:id="11"/>
      <w:bookmarkStart w:id="12" w:name="_Toc26854"/>
      <w:bookmarkStart w:id="13" w:name="_Toc50156410"/>
    </w:p>
    <w:p w14:paraId="43CBD74A">
      <w:pPr>
        <w:pStyle w:val="3"/>
        <w:numPr>
          <w:ilvl w:val="0"/>
          <w:numId w:val="0"/>
        </w:numPr>
        <w:ind w:left="0" w:leftChars="0" w:firstLine="960" w:firstLineChars="300"/>
        <w:outlineLvl w:val="9"/>
        <w:rPr>
          <w:rFonts w:hint="eastAsia" w:ascii="仿宋" w:eastAsia="仿宋"/>
          <w:b w:val="0"/>
          <w:bCs w:val="0"/>
          <w:sz w:val="32"/>
          <w:szCs w:val="32"/>
        </w:rPr>
      </w:pPr>
      <w:r>
        <w:rPr>
          <w:rFonts w:hint="eastAsia" w:ascii="仿宋" w:eastAsia="仿宋"/>
          <w:b w:val="0"/>
          <w:bCs w:val="0"/>
          <w:sz w:val="32"/>
          <w:szCs w:val="32"/>
        </w:rPr>
        <w:t>组织实施统计数据处理工作，管理、维护统计数据，保障统计信息系统的网络与信息安全；完成全州人口普查、基本单位普查、经济普查、农业普查等国情国力调查的数据处理、审核、汇总及上报任务，牵头组织建立普查调查数据库系统；维护县统计信息网，维护全局计算机及网络设备正常运行。</w:t>
      </w:r>
      <w:bookmarkEnd w:id="12"/>
      <w:bookmarkEnd w:id="13"/>
    </w:p>
    <w:p w14:paraId="248F72D9">
      <w:pPr>
        <w:pStyle w:val="6"/>
        <w:widowControl w:val="0"/>
        <w:adjustRightInd w:val="0"/>
        <w:snapToGrid w:val="0"/>
        <w:spacing w:before="0" w:beforeLines="0" w:line="560" w:lineRule="exact"/>
        <w:ind w:firstLine="320" w:firstLineChars="100"/>
        <w:jc w:val="both"/>
        <w:outlineLvl w:val="1"/>
        <w:rPr>
          <w:rFonts w:hint="eastAsia" w:ascii="仿宋" w:eastAsia="仿宋" w:cs="Times New Roman"/>
          <w:sz w:val="32"/>
          <w:szCs w:val="32"/>
        </w:rPr>
      </w:pPr>
      <w:bookmarkStart w:id="14" w:name="_Toc4458"/>
      <w:bookmarkEnd w:id="14"/>
      <w:bookmarkStart w:id="15" w:name="_Toc50156411"/>
      <w:bookmarkStart w:id="16" w:name="_Toc7611"/>
      <w:bookmarkStart w:id="17" w:name="_Toc18353"/>
      <w:r>
        <w:rPr>
          <w:rFonts w:hint="eastAsia" w:ascii="仿宋" w:eastAsia="仿宋"/>
          <w:sz w:val="32"/>
          <w:szCs w:val="32"/>
        </w:rPr>
        <w:t>（二）202</w:t>
      </w:r>
      <w:r>
        <w:rPr>
          <w:rFonts w:hint="eastAsia" w:ascii="仿宋" w:eastAsia="仿宋"/>
          <w:sz w:val="32"/>
          <w:szCs w:val="32"/>
          <w:lang w:val="en-US" w:eastAsia="zh-CN"/>
        </w:rPr>
        <w:t>5</w:t>
      </w:r>
      <w:r>
        <w:rPr>
          <w:rFonts w:hint="eastAsia" w:ascii="仿宋" w:eastAsia="仿宋"/>
          <w:sz w:val="32"/>
          <w:szCs w:val="32"/>
        </w:rPr>
        <w:t>年重点工作完成情况。</w:t>
      </w:r>
      <w:bookmarkEnd w:id="15"/>
      <w:bookmarkEnd w:id="16"/>
      <w:bookmarkEnd w:id="17"/>
    </w:p>
    <w:p w14:paraId="5E50B0EF">
      <w:pPr>
        <w:pStyle w:val="37"/>
        <w:shd w:val="clear" w:color="auto" w:fill="FFFFFF"/>
        <w:spacing w:before="0" w:beforeAutospacing="0" w:after="0" w:afterAutospacing="0" w:line="560" w:lineRule="exact"/>
        <w:ind w:firstLine="640" w:firstLineChars="200"/>
        <w:rPr>
          <w:rFonts w:hint="eastAsia" w:ascii="仿宋" w:eastAsia="仿宋"/>
          <w:sz w:val="32"/>
          <w:szCs w:val="32"/>
          <w:shd w:val="clear" w:color="auto" w:fill="FFFFFF"/>
        </w:rPr>
      </w:pPr>
      <w:r>
        <w:rPr>
          <w:rFonts w:hint="eastAsia" w:ascii="仿宋" w:eastAsia="仿宋"/>
          <w:sz w:val="32"/>
          <w:szCs w:val="32"/>
          <w:shd w:val="clear" w:color="auto" w:fill="FFFFFF"/>
        </w:rPr>
        <w:t>1、圆满完成当年主要经济指标的统计工作；</w:t>
      </w:r>
    </w:p>
    <w:p w14:paraId="628F9D76">
      <w:pPr>
        <w:pStyle w:val="37"/>
        <w:shd w:val="clear" w:color="auto" w:fill="FFFFFF"/>
        <w:spacing w:before="0" w:beforeAutospacing="0" w:after="0" w:afterAutospacing="0" w:line="560" w:lineRule="exact"/>
        <w:ind w:firstLine="640" w:firstLineChars="200"/>
        <w:rPr>
          <w:rFonts w:hint="eastAsia" w:ascii="仿宋" w:eastAsia="仿宋"/>
          <w:sz w:val="32"/>
          <w:szCs w:val="32"/>
          <w:shd w:val="clear" w:color="auto" w:fill="FFFFFF"/>
        </w:rPr>
      </w:pPr>
      <w:r>
        <w:rPr>
          <w:rFonts w:hint="eastAsia" w:ascii="仿宋" w:eastAsia="仿宋"/>
          <w:sz w:val="32"/>
          <w:szCs w:val="32"/>
          <w:shd w:val="clear" w:color="auto" w:fill="FFFFFF"/>
        </w:rPr>
        <w:t>2、精准高效发挥统计服务；</w:t>
      </w:r>
    </w:p>
    <w:p w14:paraId="56DCC300">
      <w:pPr>
        <w:pStyle w:val="37"/>
        <w:shd w:val="clear" w:color="auto" w:fill="FFFFFF"/>
        <w:spacing w:before="0" w:beforeAutospacing="0" w:after="0" w:afterAutospacing="0" w:line="560" w:lineRule="exact"/>
        <w:ind w:firstLine="640" w:firstLineChars="200"/>
        <w:rPr>
          <w:rFonts w:hint="eastAsia" w:ascii="仿宋" w:eastAsia="仿宋"/>
          <w:sz w:val="32"/>
          <w:szCs w:val="32"/>
          <w:shd w:val="clear" w:color="auto" w:fill="FFFFFF"/>
        </w:rPr>
      </w:pPr>
      <w:r>
        <w:rPr>
          <w:rFonts w:hint="eastAsia" w:ascii="仿宋" w:eastAsia="仿宋"/>
          <w:sz w:val="32"/>
          <w:szCs w:val="32"/>
          <w:shd w:val="clear" w:color="auto" w:fill="FFFFFF"/>
        </w:rPr>
        <w:t>3、高效推进各项统计基层基础工作；</w:t>
      </w:r>
    </w:p>
    <w:p w14:paraId="6336CEDE">
      <w:pPr>
        <w:pStyle w:val="37"/>
        <w:shd w:val="clear" w:color="auto" w:fill="FFFFFF"/>
        <w:spacing w:before="0" w:beforeAutospacing="0" w:after="0" w:afterAutospacing="0" w:line="560" w:lineRule="exact"/>
        <w:ind w:firstLine="640" w:firstLineChars="200"/>
        <w:rPr>
          <w:rFonts w:hint="eastAsia" w:ascii="仿宋" w:eastAsia="仿宋"/>
          <w:sz w:val="32"/>
          <w:szCs w:val="32"/>
          <w:shd w:val="clear" w:color="auto" w:fill="FFFFFF"/>
        </w:rPr>
      </w:pPr>
      <w:r>
        <w:rPr>
          <w:rFonts w:hint="eastAsia" w:ascii="仿宋" w:eastAsia="仿宋"/>
          <w:sz w:val="32"/>
          <w:szCs w:val="32"/>
          <w:shd w:val="clear" w:color="auto" w:fill="FFFFFF"/>
        </w:rPr>
        <w:t>4、有序推进乡村振兴数据统计监测工作；</w:t>
      </w:r>
    </w:p>
    <w:p w14:paraId="596D1D81">
      <w:pPr>
        <w:pStyle w:val="37"/>
        <w:shd w:val="clear" w:color="auto" w:fill="FFFFFF"/>
        <w:spacing w:before="0" w:beforeAutospacing="0" w:after="0" w:afterAutospacing="0" w:line="560" w:lineRule="exact"/>
        <w:ind w:firstLine="640" w:firstLineChars="200"/>
        <w:rPr>
          <w:rFonts w:hint="eastAsia" w:ascii="仿宋" w:eastAsia="仿宋"/>
          <w:sz w:val="32"/>
          <w:szCs w:val="32"/>
          <w:shd w:val="clear" w:color="auto" w:fill="FFFFFF"/>
        </w:rPr>
      </w:pPr>
      <w:r>
        <w:rPr>
          <w:rFonts w:hint="eastAsia" w:ascii="仿宋" w:eastAsia="仿宋"/>
          <w:sz w:val="32"/>
          <w:szCs w:val="32"/>
          <w:shd w:val="clear" w:color="auto" w:fill="FFFFFF"/>
        </w:rPr>
        <w:t>5、认真</w:t>
      </w:r>
      <w:r>
        <w:rPr>
          <w:rFonts w:hint="eastAsia" w:ascii="仿宋" w:eastAsia="仿宋"/>
          <w:sz w:val="32"/>
          <w:szCs w:val="32"/>
          <w:shd w:val="clear" w:color="auto" w:fill="FFFFFF"/>
          <w:lang w:val="en-US" w:eastAsia="zh-CN"/>
        </w:rPr>
        <w:t>完成</w:t>
      </w:r>
      <w:r>
        <w:rPr>
          <w:rFonts w:hint="eastAsia" w:ascii="仿宋" w:eastAsia="仿宋"/>
          <w:sz w:val="32"/>
          <w:szCs w:val="32"/>
          <w:shd w:val="clear" w:color="auto" w:fill="FFFFFF"/>
        </w:rPr>
        <w:t>第五次全国经济普查工作；</w:t>
      </w:r>
    </w:p>
    <w:p w14:paraId="54E6E0A0">
      <w:pPr>
        <w:pStyle w:val="37"/>
        <w:shd w:val="clear" w:color="auto" w:fill="FFFFFF"/>
        <w:spacing w:before="0" w:beforeAutospacing="0" w:after="0" w:afterAutospacing="0" w:line="560" w:lineRule="exact"/>
        <w:ind w:firstLine="640" w:firstLineChars="200"/>
        <w:rPr>
          <w:rFonts w:hint="eastAsia"/>
          <w:lang w:eastAsia="zh-CN"/>
        </w:rPr>
      </w:pPr>
      <w:r>
        <w:rPr>
          <w:rFonts w:hint="eastAsia" w:ascii="仿宋" w:eastAsia="仿宋"/>
          <w:sz w:val="32"/>
          <w:szCs w:val="32"/>
          <w:shd w:val="clear" w:color="auto" w:fill="FFFFFF"/>
        </w:rPr>
        <w:t>6、认真做好202</w:t>
      </w:r>
      <w:r>
        <w:rPr>
          <w:rFonts w:hint="eastAsia" w:ascii="仿宋" w:eastAsia="仿宋"/>
          <w:sz w:val="32"/>
          <w:szCs w:val="32"/>
          <w:shd w:val="clear" w:color="auto" w:fill="FFFFFF"/>
          <w:lang w:val="en-US" w:eastAsia="zh-CN"/>
        </w:rPr>
        <w:t>5</w:t>
      </w:r>
      <w:r>
        <w:rPr>
          <w:rFonts w:hint="eastAsia" w:ascii="仿宋" w:eastAsia="仿宋"/>
          <w:sz w:val="32"/>
          <w:szCs w:val="32"/>
          <w:shd w:val="clear" w:color="auto" w:fill="FFFFFF"/>
        </w:rPr>
        <w:t>年住户调查大样本轮换工作；</w:t>
      </w:r>
    </w:p>
    <w:p w14:paraId="4F44C17D">
      <w:pPr>
        <w:pStyle w:val="3"/>
        <w:numPr>
          <w:ilvl w:val="0"/>
          <w:numId w:val="1"/>
        </w:numPr>
        <w:ind w:left="0" w:leftChars="0" w:firstLine="0" w:firstLineChars="0"/>
        <w:jc w:val="left"/>
        <w:outlineLvl w:val="0"/>
        <w:rPr>
          <w:rStyle w:val="31"/>
          <w:rFonts w:hint="eastAsia" w:ascii="Times New Roman" w:hAnsi="Times New Roman" w:eastAsia="黑体"/>
          <w:b w:val="0"/>
          <w:bCs w:val="0"/>
          <w:color w:val="auto"/>
          <w:highlight w:val="none"/>
        </w:rPr>
      </w:pPr>
      <w:bookmarkStart w:id="18" w:name="_Toc28614"/>
      <w:bookmarkStart w:id="19" w:name="_Toc15396601"/>
      <w:bookmarkStart w:id="20" w:name="_Toc15377200"/>
      <w:r>
        <w:rPr>
          <w:rFonts w:hint="eastAsia" w:ascii="Times New Roman" w:hAnsi="Times New Roman" w:eastAsia="黑体"/>
          <w:b w:val="0"/>
          <w:color w:val="auto"/>
          <w:highlight w:val="none"/>
        </w:rPr>
        <w:t>机</w:t>
      </w:r>
      <w:r>
        <w:rPr>
          <w:rStyle w:val="31"/>
          <w:rFonts w:hint="eastAsia" w:ascii="Times New Roman" w:hAnsi="Times New Roman" w:eastAsia="黑体"/>
          <w:b w:val="0"/>
          <w:bCs w:val="0"/>
          <w:color w:val="auto"/>
          <w:highlight w:val="none"/>
        </w:rPr>
        <w:t>构设置</w:t>
      </w:r>
      <w:bookmarkEnd w:id="18"/>
      <w:bookmarkEnd w:id="19"/>
      <w:bookmarkEnd w:id="20"/>
    </w:p>
    <w:p w14:paraId="1C93AF54">
      <w:pPr>
        <w:snapToGrid w:val="0"/>
        <w:spacing w:line="520" w:lineRule="exact"/>
        <w:ind w:firstLine="960" w:firstLineChars="300"/>
        <w:jc w:val="left"/>
        <w:rPr>
          <w:rFonts w:hint="eastAsia" w:ascii="仿宋" w:hAnsi="仿宋" w:eastAsia="仿宋" w:cs="仿宋"/>
          <w:sz w:val="32"/>
          <w:szCs w:val="32"/>
          <w:highlight w:val="none"/>
          <w:lang w:bidi="ar"/>
        </w:rPr>
      </w:pPr>
      <w:r>
        <w:rPr>
          <w:rFonts w:hint="eastAsia" w:ascii="仿宋" w:hAnsi="仿宋" w:eastAsia="仿宋" w:cs="仿宋"/>
          <w:sz w:val="32"/>
          <w:szCs w:val="32"/>
          <w:highlight w:val="none"/>
          <w:lang w:val="en-US" w:eastAsia="zh-CN" w:bidi="ar"/>
        </w:rPr>
        <w:t>阿坝州</w:t>
      </w:r>
      <w:r>
        <w:rPr>
          <w:rFonts w:hint="eastAsia" w:ascii="仿宋" w:hAnsi="仿宋" w:eastAsia="仿宋" w:cs="仿宋"/>
          <w:sz w:val="32"/>
          <w:szCs w:val="32"/>
          <w:highlight w:val="none"/>
          <w:lang w:bidi="ar"/>
        </w:rPr>
        <w:t>若尔盖县统计局</w:t>
      </w:r>
      <w:r>
        <w:rPr>
          <w:rFonts w:hint="eastAsia" w:ascii="仿宋" w:hAnsi="仿宋" w:eastAsia="仿宋" w:cs="仿宋"/>
          <w:sz w:val="32"/>
          <w:szCs w:val="32"/>
          <w:highlight w:val="none"/>
          <w:lang w:val="en-US" w:eastAsia="zh-CN" w:bidi="ar"/>
        </w:rPr>
        <w:t>大数据中心无</w:t>
      </w:r>
      <w:r>
        <w:rPr>
          <w:rFonts w:hint="eastAsia" w:ascii="仿宋" w:hAnsi="仿宋" w:eastAsia="仿宋" w:cs="仿宋"/>
          <w:sz w:val="32"/>
          <w:szCs w:val="32"/>
          <w:highlight w:val="none"/>
          <w:lang w:bidi="ar"/>
        </w:rPr>
        <w:t>下属二级预算单位，</w:t>
      </w:r>
      <w:r>
        <w:rPr>
          <w:rFonts w:hint="eastAsia" w:ascii="仿宋" w:hAnsi="仿宋" w:eastAsia="仿宋" w:cs="仿宋"/>
          <w:sz w:val="32"/>
          <w:szCs w:val="32"/>
          <w:highlight w:val="none"/>
          <w:lang w:val="en-US" w:eastAsia="zh-CN" w:bidi="ar"/>
        </w:rPr>
        <w:t>我中心</w:t>
      </w:r>
      <w:r>
        <w:rPr>
          <w:rFonts w:hint="eastAsia" w:ascii="仿宋" w:hAnsi="仿宋" w:eastAsia="仿宋" w:cs="仿宋"/>
          <w:sz w:val="32"/>
          <w:szCs w:val="32"/>
          <w:highlight w:val="none"/>
          <w:lang w:bidi="ar"/>
        </w:rPr>
        <w:t>事业编制</w:t>
      </w:r>
      <w:r>
        <w:rPr>
          <w:rFonts w:hint="eastAsia" w:ascii="仿宋" w:hAnsi="仿宋" w:eastAsia="仿宋" w:cs="仿宋"/>
          <w:sz w:val="32"/>
          <w:szCs w:val="32"/>
          <w:highlight w:val="none"/>
          <w:lang w:val="en-US" w:eastAsia="zh-CN" w:bidi="ar"/>
        </w:rPr>
        <w:t>3个</w:t>
      </w:r>
      <w:r>
        <w:rPr>
          <w:rFonts w:hint="eastAsia" w:ascii="仿宋" w:hAnsi="仿宋" w:eastAsia="仿宋" w:cs="仿宋"/>
          <w:sz w:val="32"/>
          <w:szCs w:val="32"/>
          <w:highlight w:val="none"/>
          <w:lang w:bidi="ar"/>
        </w:rPr>
        <w:t>，在编人员</w:t>
      </w:r>
      <w:r>
        <w:rPr>
          <w:rFonts w:hint="eastAsia" w:ascii="仿宋" w:hAnsi="仿宋" w:eastAsia="仿宋" w:cs="仿宋"/>
          <w:sz w:val="32"/>
          <w:szCs w:val="32"/>
          <w:highlight w:val="none"/>
          <w:lang w:val="en-US" w:eastAsia="zh-CN" w:bidi="ar"/>
        </w:rPr>
        <w:t>3人，</w:t>
      </w:r>
      <w:r>
        <w:rPr>
          <w:rFonts w:hint="eastAsia" w:ascii="仿宋" w:hAnsi="仿宋" w:eastAsia="仿宋" w:cs="仿宋"/>
          <w:sz w:val="32"/>
          <w:szCs w:val="32"/>
          <w:highlight w:val="none"/>
          <w:lang w:bidi="ar"/>
        </w:rPr>
        <w:t>是独立核算</w:t>
      </w:r>
      <w:r>
        <w:rPr>
          <w:rFonts w:hint="eastAsia" w:ascii="仿宋" w:hAnsi="仿宋" w:eastAsia="仿宋" w:cs="仿宋"/>
          <w:sz w:val="32"/>
          <w:szCs w:val="32"/>
          <w:highlight w:val="none"/>
          <w:lang w:val="en-US" w:eastAsia="zh-CN" w:bidi="ar"/>
        </w:rPr>
        <w:t>并</w:t>
      </w:r>
      <w:r>
        <w:rPr>
          <w:rFonts w:hint="eastAsia" w:ascii="仿宋" w:hAnsi="仿宋" w:eastAsia="仿宋" w:cs="仿宋"/>
          <w:sz w:val="32"/>
          <w:szCs w:val="32"/>
          <w:highlight w:val="none"/>
          <w:lang w:bidi="ar"/>
        </w:rPr>
        <w:t>独立编报预算的单位。</w:t>
      </w:r>
    </w:p>
    <w:p w14:paraId="08381030">
      <w:pPr>
        <w:numPr>
          <w:ilvl w:val="0"/>
          <w:numId w:val="0"/>
        </w:numPr>
        <w:ind w:leftChars="0"/>
      </w:pPr>
    </w:p>
    <w:p w14:paraId="62BD8518">
      <w:pPr>
        <w:pStyle w:val="2"/>
        <w:jc w:val="center"/>
        <w:rPr>
          <w:rFonts w:hint="eastAsia" w:ascii="Times New Roman" w:hAnsi="Times New Roman" w:eastAsia="方正小标宋简体" w:cs="方正小标宋简体"/>
          <w:b w:val="0"/>
          <w:color w:val="auto"/>
          <w:highlight w:val="none"/>
        </w:rPr>
      </w:pPr>
      <w:bookmarkStart w:id="21" w:name="_Toc15377204"/>
      <w:bookmarkStart w:id="22" w:name="_Toc8196"/>
      <w:bookmarkStart w:id="23"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1"/>
      <w:bookmarkEnd w:id="22"/>
      <w:bookmarkEnd w:id="23"/>
    </w:p>
    <w:p w14:paraId="66D2F689">
      <w:pPr>
        <w:rPr>
          <w:rFonts w:ascii="Times New Roman" w:hAnsi="Times New Roman"/>
          <w:color w:val="auto"/>
          <w:highlight w:val="none"/>
        </w:rPr>
      </w:pPr>
    </w:p>
    <w:p w14:paraId="69337B5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1"/>
          <w:rFonts w:hint="eastAsia" w:ascii="Times New Roman" w:hAnsi="Times New Roman" w:eastAsia="黑体"/>
          <w:b w:val="0"/>
          <w:color w:val="auto"/>
          <w:highlight w:val="none"/>
          <w:lang w:eastAsia="zh-CN"/>
        </w:rPr>
      </w:pPr>
      <w:bookmarkStart w:id="24" w:name="_Toc15377205"/>
      <w:bookmarkStart w:id="25" w:name="_Toc15396603"/>
      <w:bookmarkStart w:id="26" w:name="_Toc655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4"/>
      <w:bookmarkEnd w:id="25"/>
      <w:bookmarkEnd w:id="26"/>
    </w:p>
    <w:p w14:paraId="6977C1A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68.97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4.66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7.25</w:t>
      </w:r>
      <w:r>
        <w:rPr>
          <w:rFonts w:hint="eastAsia" w:ascii="Times New Roman" w:hAnsi="Times New Roman" w:eastAsia="仿宋_GB2312" w:cs="仿宋_GB2312"/>
          <w:color w:val="auto"/>
          <w:sz w:val="32"/>
          <w:szCs w:val="32"/>
          <w:highlight w:val="none"/>
        </w:rPr>
        <w:t>%。</w:t>
      </w:r>
      <w:bookmarkStart w:id="95" w:name="_GoBack"/>
      <w:bookmarkEnd w:id="95"/>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是日常开支增加。</w:t>
      </w:r>
    </w:p>
    <w:p w14:paraId="2C4A2F0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Style w:val="31"/>
          <w:rFonts w:hint="eastAsia" w:ascii="Times New Roman" w:hAnsi="Times New Roman" w:eastAsia="黑体"/>
          <w:b w:val="0"/>
          <w:color w:val="auto"/>
          <w:highlight w:val="none"/>
          <w:lang w:eastAsia="zh-CN"/>
        </w:rPr>
        <w:drawing>
          <wp:anchor distT="0" distB="0" distL="114300" distR="114300" simplePos="0" relativeHeight="251659264" behindDoc="0" locked="0" layoutInCell="1" allowOverlap="1">
            <wp:simplePos x="0" y="0"/>
            <wp:positionH relativeFrom="column">
              <wp:posOffset>174625</wp:posOffset>
            </wp:positionH>
            <wp:positionV relativeFrom="paragraph">
              <wp:posOffset>199390</wp:posOffset>
            </wp:positionV>
            <wp:extent cx="5256530" cy="2988310"/>
            <wp:effectExtent l="5080" t="4445" r="15240" b="55245"/>
            <wp:wrapTopAndBottom/>
            <wp:docPr id="1" name="图表 1"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660EF7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Fonts w:hint="eastAsia" w:ascii="Times New Roman" w:hAnsi="Times New Roman" w:eastAsia="黑体"/>
          <w:color w:val="auto"/>
          <w:sz w:val="32"/>
          <w:szCs w:val="32"/>
          <w:highlight w:val="none"/>
          <w:lang w:eastAsia="zh-CN"/>
        </w:rPr>
      </w:pPr>
      <w:bookmarkStart w:id="27" w:name="_Toc21921"/>
      <w:bookmarkStart w:id="28" w:name="_Toc15396604"/>
      <w:bookmarkStart w:id="29" w:name="_Toc15377206"/>
      <w:r>
        <w:rPr>
          <w:rFonts w:hint="eastAsia" w:ascii="Times New Roman" w:hAnsi="Times New Roman" w:eastAsia="黑体"/>
          <w:color w:val="auto"/>
          <w:sz w:val="32"/>
          <w:szCs w:val="32"/>
          <w:highlight w:val="none"/>
          <w:lang w:eastAsia="zh-CN"/>
        </w:rPr>
        <w:t>二、收入决算情况说明</w:t>
      </w:r>
      <w:bookmarkEnd w:id="27"/>
      <w:bookmarkEnd w:id="28"/>
      <w:bookmarkEnd w:id="29"/>
    </w:p>
    <w:p w14:paraId="517B6D2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68.97</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68.97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-55880</wp:posOffset>
            </wp:positionH>
            <wp:positionV relativeFrom="paragraph">
              <wp:posOffset>776605</wp:posOffset>
            </wp:positionV>
            <wp:extent cx="5270500" cy="2846070"/>
            <wp:effectExtent l="4445" t="4445" r="20955" b="6985"/>
            <wp:wrapTopAndBottom/>
            <wp:docPr id="2" name="图表 2"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1CC19E62">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0982F5E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1"/>
          <w:rFonts w:hint="eastAsia" w:ascii="Times New Roman" w:hAnsi="Times New Roman" w:eastAsia="黑体"/>
          <w:b w:val="0"/>
          <w:color w:val="auto"/>
          <w:highlight w:val="none"/>
        </w:rPr>
      </w:pPr>
      <w:bookmarkStart w:id="30" w:name="_Toc4133"/>
      <w:bookmarkStart w:id="31" w:name="_Toc15396605"/>
      <w:bookmarkStart w:id="32"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30"/>
      <w:bookmarkEnd w:id="31"/>
      <w:bookmarkEnd w:id="32"/>
    </w:p>
    <w:p w14:paraId="23CFFB8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68.97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68.97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5A74F99B">
      <w:pPr>
        <w:ind w:firstLine="803"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-10160</wp:posOffset>
            </wp:positionH>
            <wp:positionV relativeFrom="paragraph">
              <wp:posOffset>43180</wp:posOffset>
            </wp:positionV>
            <wp:extent cx="5243195" cy="2444750"/>
            <wp:effectExtent l="4445" t="4445" r="10160" b="8255"/>
            <wp:wrapTopAndBottom/>
            <wp:docPr id="3" name="图表 3"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32106C00">
      <w:pPr>
        <w:spacing w:line="600" w:lineRule="exact"/>
        <w:ind w:firstLine="640" w:firstLineChars="200"/>
        <w:outlineLvl w:val="0"/>
        <w:rPr>
          <w:rStyle w:val="31"/>
          <w:rFonts w:ascii="Times New Roman" w:hAnsi="Times New Roman" w:eastAsia="黑体"/>
          <w:b w:val="0"/>
          <w:color w:val="auto"/>
          <w:highlight w:val="none"/>
        </w:rPr>
      </w:pPr>
      <w:bookmarkStart w:id="33" w:name="_Toc15377208"/>
      <w:bookmarkStart w:id="34" w:name="_Toc15396606"/>
      <w:bookmarkStart w:id="35" w:name="_Toc6635"/>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33"/>
      <w:bookmarkEnd w:id="34"/>
      <w:bookmarkEnd w:id="35"/>
    </w:p>
    <w:p w14:paraId="0CE2971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68.97</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eastAsia="仿宋_GB2312" w:cs="仿宋_GB2312"/>
          <w:color w:val="auto"/>
          <w:kern w:val="2"/>
          <w:sz w:val="32"/>
          <w:szCs w:val="32"/>
          <w:highlight w:val="none"/>
          <w:lang w:val="en-US" w:eastAsia="zh-CN" w:bidi="ar-SA"/>
        </w:rPr>
        <w:t>4.66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7.25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日常开支增加。</w:t>
      </w:r>
    </w:p>
    <w:p w14:paraId="55910598">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Style w:val="31"/>
          <w:rFonts w:hint="eastAsia" w:ascii="Times New Roman" w:hAnsi="Times New Roman" w:eastAsia="黑体"/>
          <w:b w:val="0"/>
          <w:color w:val="auto"/>
          <w:highlight w:val="none"/>
          <w:lang w:eastAsia="zh-CN"/>
        </w:rPr>
        <w:drawing>
          <wp:anchor distT="0" distB="0" distL="114300" distR="114300" simplePos="0" relativeHeight="251662336" behindDoc="0" locked="0" layoutInCell="1" allowOverlap="1">
            <wp:simplePos x="0" y="0"/>
            <wp:positionH relativeFrom="column">
              <wp:posOffset>274955</wp:posOffset>
            </wp:positionH>
            <wp:positionV relativeFrom="paragraph">
              <wp:posOffset>104140</wp:posOffset>
            </wp:positionV>
            <wp:extent cx="4746625" cy="2100580"/>
            <wp:effectExtent l="5080" t="4445" r="10795" b="47625"/>
            <wp:wrapTopAndBottom/>
            <wp:docPr id="4" name="图表 4"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1936D9FA">
      <w:pPr>
        <w:spacing w:line="600" w:lineRule="exact"/>
        <w:ind w:firstLine="640" w:firstLineChars="200"/>
        <w:outlineLvl w:val="0"/>
        <w:rPr>
          <w:rStyle w:val="31"/>
          <w:rFonts w:ascii="Times New Roman" w:hAnsi="Times New Roman" w:eastAsia="黑体"/>
          <w:b w:val="0"/>
          <w:color w:val="auto"/>
          <w:highlight w:val="none"/>
        </w:rPr>
      </w:pPr>
      <w:bookmarkStart w:id="36" w:name="_Toc279"/>
      <w:bookmarkStart w:id="37" w:name="_Toc15377209"/>
      <w:bookmarkStart w:id="38"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6"/>
      <w:bookmarkEnd w:id="37"/>
      <w:bookmarkEnd w:id="38"/>
    </w:p>
    <w:p w14:paraId="42CF3DAE">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9" w:name="_Toc15377210"/>
      <w:bookmarkStart w:id="40" w:name="_Toc27854"/>
      <w:r>
        <w:rPr>
          <w:rFonts w:hint="eastAsia" w:ascii="Times New Roman" w:hAnsi="Times New Roman" w:eastAsia="楷体_GB2312" w:cs="楷体_GB2312"/>
          <w:b/>
          <w:color w:val="auto"/>
          <w:sz w:val="32"/>
          <w:szCs w:val="32"/>
          <w:highlight w:val="none"/>
        </w:rPr>
        <w:t>（一）一般公共预算财政拨款支出决算总体情况</w:t>
      </w:r>
      <w:bookmarkEnd w:id="39"/>
      <w:bookmarkEnd w:id="40"/>
    </w:p>
    <w:p w14:paraId="1F069D3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Style w:val="31"/>
          <w:rFonts w:hint="eastAsia" w:ascii="Times New Roman" w:hAnsi="Times New Roman" w:eastAsia="黑体"/>
          <w:b w:val="0"/>
          <w:color w:val="auto"/>
          <w:highlight w:val="none"/>
          <w:lang w:eastAsia="zh-CN"/>
        </w:rPr>
        <w:drawing>
          <wp:anchor distT="0" distB="0" distL="114300" distR="114300" simplePos="0" relativeHeight="251663360" behindDoc="0" locked="0" layoutInCell="1" allowOverlap="1">
            <wp:simplePos x="0" y="0"/>
            <wp:positionH relativeFrom="column">
              <wp:posOffset>238125</wp:posOffset>
            </wp:positionH>
            <wp:positionV relativeFrom="paragraph">
              <wp:posOffset>1542415</wp:posOffset>
            </wp:positionV>
            <wp:extent cx="4883150" cy="1901825"/>
            <wp:effectExtent l="4445" t="4445" r="8255" b="55880"/>
            <wp:wrapTopAndBottom/>
            <wp:docPr id="5" name="图表 5" descr="7b0a202020202263686172745265734964223a202232303437323034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68.97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%。与2024年度相比，一般公共预算财政拨款支出增加4.66万元，增长7.25%。主要变动原因是日常开支增加。</w:t>
      </w:r>
    </w:p>
    <w:p w14:paraId="14401E4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6C28F23">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1" w:name="_Toc31203"/>
      <w:bookmarkStart w:id="4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1"/>
      <w:bookmarkEnd w:id="42"/>
    </w:p>
    <w:p w14:paraId="1B931439">
      <w:pPr>
        <w:snapToGrid w:val="0"/>
        <w:spacing w:line="520" w:lineRule="exact"/>
        <w:ind w:firstLine="640" w:firstLineChars="200"/>
        <w:rPr>
          <w:rFonts w:hint="eastAsia" w:ascii="仿宋_GB2312" w:hAnsi="仿宋" w:eastAsia="仿宋_GB2312" w:cs="Times New Roman"/>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68.97</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仿宋_GB2312" w:hAnsi="仿宋" w:eastAsia="仿宋_GB2312" w:cs="Times New Roman"/>
          <w:sz w:val="32"/>
          <w:szCs w:val="32"/>
          <w:lang w:val="en-US" w:eastAsia="zh-CN"/>
        </w:rPr>
        <w:t>一般公共服务支出为50.49万元，占比73.21%；社会保障和就业支出为9.62万元，占比13.95%；卫生健康支出为3.54万元，占比5.13%；住房保障支出为5.32万元，占比7.71%。</w:t>
      </w:r>
    </w:p>
    <w:p w14:paraId="2064C5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 w:eastAsia="仿宋_GB2312"/>
          <w:sz w:val="32"/>
          <w:szCs w:val="32"/>
          <w:lang w:eastAsia="zh-CN"/>
        </w:rPr>
        <w:drawing>
          <wp:anchor distT="0" distB="0" distL="114300" distR="114300" simplePos="0" relativeHeight="251664384" behindDoc="0" locked="0" layoutInCell="1" allowOverlap="1">
            <wp:simplePos x="0" y="0"/>
            <wp:positionH relativeFrom="column">
              <wp:posOffset>251460</wp:posOffset>
            </wp:positionH>
            <wp:positionV relativeFrom="paragraph">
              <wp:posOffset>41275</wp:posOffset>
            </wp:positionV>
            <wp:extent cx="4920615" cy="2269490"/>
            <wp:effectExtent l="4445" t="4445" r="8890" b="1206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4BCF9A7">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3" w:name="_Toc15377212"/>
      <w:bookmarkStart w:id="44" w:name="_Toc1570"/>
      <w:r>
        <w:rPr>
          <w:rFonts w:hint="eastAsia" w:ascii="Times New Roman" w:hAnsi="Times New Roman" w:eastAsia="楷体_GB2312" w:cs="楷体_GB2312"/>
          <w:b/>
          <w:color w:val="auto"/>
          <w:sz w:val="32"/>
          <w:szCs w:val="32"/>
          <w:highlight w:val="none"/>
        </w:rPr>
        <w:t>（三）一般公共预算财政拨款支出决算具体情况</w:t>
      </w:r>
      <w:bookmarkEnd w:id="43"/>
      <w:bookmarkEnd w:id="44"/>
    </w:p>
    <w:p w14:paraId="7C7CB7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5" w:name="_Toc15378460"/>
      <w:bookmarkStart w:id="46" w:name="_Toc15377213"/>
      <w:bookmarkStart w:id="47" w:name="_Toc15377444"/>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68.97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5"/>
      <w:bookmarkEnd w:id="46"/>
      <w:bookmarkEnd w:id="47"/>
    </w:p>
    <w:p w14:paraId="01B9D288">
      <w:pPr>
        <w:spacing w:line="600" w:lineRule="exact"/>
        <w:ind w:firstLine="643" w:firstLineChars="200"/>
        <w:rPr>
          <w:rFonts w:ascii="仿宋" w:hAnsi="仿宋" w:eastAsia="仿宋"/>
          <w:b/>
          <w:sz w:val="32"/>
          <w:szCs w:val="32"/>
        </w:rPr>
      </w:pPr>
      <w:r>
        <w:rPr>
          <w:rStyle w:val="19"/>
          <w:rFonts w:ascii="仿宋" w:hAnsi="仿宋" w:eastAsia="仿宋"/>
          <w:bCs/>
          <w:sz w:val="32"/>
          <w:szCs w:val="32"/>
        </w:rPr>
        <w:t>1.</w:t>
      </w:r>
      <w:r>
        <w:rPr>
          <w:rStyle w:val="19"/>
          <w:rFonts w:hint="eastAsia" w:ascii="仿宋" w:hAnsi="仿宋" w:eastAsia="仿宋"/>
          <w:bCs/>
          <w:sz w:val="32"/>
          <w:szCs w:val="32"/>
        </w:rPr>
        <w:t>一般公共服务</w:t>
      </w:r>
      <w:r>
        <w:rPr>
          <w:rStyle w:val="19"/>
          <w:rFonts w:hint="eastAsia" w:ascii="仿宋" w:hAnsi="仿宋" w:eastAsia="仿宋"/>
          <w:bCs/>
          <w:sz w:val="32"/>
          <w:szCs w:val="32"/>
          <w:lang w:eastAsia="zh-CN"/>
        </w:rPr>
        <w:t>（</w:t>
      </w:r>
      <w:r>
        <w:rPr>
          <w:rStyle w:val="19"/>
          <w:rFonts w:hint="eastAsia" w:ascii="仿宋" w:hAnsi="仿宋" w:eastAsia="仿宋"/>
          <w:bCs/>
          <w:sz w:val="32"/>
          <w:szCs w:val="32"/>
        </w:rPr>
        <w:t>2010550</w:t>
      </w:r>
      <w:r>
        <w:rPr>
          <w:rStyle w:val="19"/>
          <w:rFonts w:hint="eastAsia" w:ascii="仿宋" w:hAnsi="仿宋" w:eastAsia="仿宋"/>
          <w:bCs/>
          <w:sz w:val="32"/>
          <w:szCs w:val="32"/>
          <w:lang w:eastAsia="zh-CN"/>
        </w:rPr>
        <w:t>）</w:t>
      </w:r>
      <w:r>
        <w:rPr>
          <w:rStyle w:val="19"/>
          <w:rFonts w:ascii="仿宋" w:hAnsi="仿宋" w:eastAsia="仿宋"/>
          <w:bCs/>
          <w:sz w:val="32"/>
          <w:szCs w:val="32"/>
        </w:rPr>
        <w:t>:</w:t>
      </w:r>
      <w:r>
        <w:rPr>
          <w:rStyle w:val="19"/>
          <w:rFonts w:ascii="仿宋" w:hAnsi="仿宋" w:eastAsia="仿宋"/>
          <w:b w:val="0"/>
          <w:bCs/>
          <w:sz w:val="32"/>
          <w:szCs w:val="32"/>
        </w:rPr>
        <w:t xml:space="preserve"> </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50.49</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，决算数等于预算数。</w:t>
      </w:r>
    </w:p>
    <w:p w14:paraId="11B18AA1">
      <w:pPr>
        <w:spacing w:line="600" w:lineRule="exact"/>
        <w:ind w:firstLine="643" w:firstLineChars="200"/>
        <w:rPr>
          <w:rStyle w:val="19"/>
          <w:rFonts w:hint="eastAsia" w:ascii="仿宋" w:hAnsi="仿宋" w:eastAsia="仿宋"/>
          <w:b w:val="0"/>
          <w:bCs/>
          <w:sz w:val="32"/>
          <w:szCs w:val="32"/>
          <w:lang w:eastAsia="zh-CN"/>
        </w:rPr>
      </w:pPr>
      <w:r>
        <w:rPr>
          <w:rStyle w:val="19"/>
          <w:rFonts w:hint="eastAsia" w:ascii="仿宋" w:hAnsi="仿宋" w:eastAsia="仿宋"/>
          <w:bCs/>
          <w:sz w:val="32"/>
          <w:szCs w:val="32"/>
          <w:lang w:val="en-US" w:eastAsia="zh-CN"/>
        </w:rPr>
        <w:t>2</w:t>
      </w:r>
      <w:r>
        <w:rPr>
          <w:rStyle w:val="19"/>
          <w:rFonts w:ascii="仿宋" w:hAnsi="仿宋" w:eastAsia="仿宋"/>
          <w:bCs/>
          <w:sz w:val="32"/>
          <w:szCs w:val="32"/>
        </w:rPr>
        <w:t>.</w:t>
      </w:r>
      <w:r>
        <w:rPr>
          <w:rStyle w:val="19"/>
          <w:rFonts w:hint="eastAsia" w:ascii="仿宋" w:hAnsi="仿宋" w:eastAsia="仿宋"/>
          <w:bCs/>
          <w:sz w:val="32"/>
          <w:szCs w:val="32"/>
        </w:rPr>
        <w:t>社会保障和就业</w:t>
      </w:r>
      <w:r>
        <w:rPr>
          <w:rStyle w:val="19"/>
          <w:rFonts w:ascii="仿宋" w:hAnsi="仿宋" w:eastAsia="仿宋"/>
          <w:bCs/>
          <w:sz w:val="32"/>
          <w:szCs w:val="32"/>
        </w:rPr>
        <w:t>:</w:t>
      </w:r>
      <w:r>
        <w:rPr>
          <w:rStyle w:val="19"/>
          <w:rFonts w:ascii="仿宋" w:hAnsi="仿宋" w:eastAsia="仿宋"/>
          <w:b w:val="0"/>
          <w:bCs/>
          <w:sz w:val="32"/>
          <w:szCs w:val="32"/>
        </w:rPr>
        <w:t xml:space="preserve"> </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9.62</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，决算</w:t>
      </w:r>
      <w:r>
        <w:rPr>
          <w:rStyle w:val="19"/>
          <w:rFonts w:hint="eastAsia" w:ascii="仿宋" w:hAnsi="仿宋" w:eastAsia="仿宋"/>
          <w:b w:val="0"/>
          <w:bCs/>
          <w:sz w:val="32"/>
          <w:szCs w:val="32"/>
          <w:lang w:val="en-US" w:eastAsia="zh-CN"/>
        </w:rPr>
        <w:t>数</w:t>
      </w:r>
      <w:r>
        <w:rPr>
          <w:rStyle w:val="19"/>
          <w:rFonts w:hint="eastAsia" w:ascii="仿宋" w:hAnsi="仿宋" w:eastAsia="仿宋"/>
          <w:b w:val="0"/>
          <w:bCs/>
          <w:sz w:val="32"/>
          <w:szCs w:val="32"/>
        </w:rPr>
        <w:t>等于预算数。</w:t>
      </w:r>
      <w:r>
        <w:rPr>
          <w:rStyle w:val="19"/>
          <w:rFonts w:hint="eastAsia" w:ascii="仿宋" w:hAnsi="仿宋" w:eastAsia="仿宋"/>
          <w:b w:val="0"/>
          <w:bCs/>
          <w:sz w:val="32"/>
          <w:szCs w:val="32"/>
          <w:lang w:val="en-US" w:eastAsia="zh-CN"/>
        </w:rPr>
        <w:t>其中：2080505</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6.58</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lang w:val="en-US" w:eastAsia="zh-CN"/>
        </w:rPr>
        <w:t>2080506</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3.04</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p>
    <w:p w14:paraId="52CB8A2E">
      <w:pPr>
        <w:pStyle w:val="38"/>
        <w:keepNext w:val="0"/>
        <w:keepLines w:val="0"/>
        <w:pageBreakBefore w:val="0"/>
        <w:widowControl/>
        <w:suppressLineNumbers w:val="0"/>
        <w:suppressAutoHyphens w:val="0"/>
        <w:kinsoku/>
        <w:wordWrap/>
        <w:overflowPunct/>
        <w:topLinePunct w:val="0"/>
        <w:autoSpaceDE/>
        <w:autoSpaceDN/>
        <w:spacing w:before="0" w:beforeAutospacing="0"/>
        <w:ind w:left="0" w:firstLine="643" w:firstLineChars="200"/>
        <w:jc w:val="left"/>
        <w:rPr>
          <w:rStyle w:val="19"/>
          <w:rFonts w:hint="eastAsia" w:ascii="仿宋" w:hAnsi="仿宋" w:eastAsia="仿宋"/>
          <w:b w:val="0"/>
          <w:bCs/>
          <w:sz w:val="32"/>
          <w:szCs w:val="32"/>
          <w:lang w:eastAsia="zh-CN"/>
        </w:rPr>
      </w:pPr>
      <w:r>
        <w:rPr>
          <w:rStyle w:val="19"/>
          <w:rFonts w:hint="eastAsia" w:ascii="仿宋" w:hAnsi="仿宋" w:eastAsia="仿宋"/>
          <w:bCs/>
          <w:sz w:val="32"/>
          <w:szCs w:val="32"/>
          <w:lang w:val="en-US" w:eastAsia="zh-CN"/>
        </w:rPr>
        <w:t>3</w:t>
      </w:r>
      <w:r>
        <w:rPr>
          <w:rStyle w:val="19"/>
          <w:rFonts w:ascii="仿宋" w:hAnsi="仿宋" w:eastAsia="仿宋"/>
          <w:bCs/>
          <w:sz w:val="32"/>
          <w:szCs w:val="32"/>
        </w:rPr>
        <w:t>.</w:t>
      </w:r>
      <w:r>
        <w:rPr>
          <w:rFonts w:hint="eastAsia" w:ascii="仿宋" w:hAnsi="仿宋" w:eastAsia="仿宋"/>
          <w:b/>
          <w:bCs/>
          <w:sz w:val="32"/>
          <w:szCs w:val="32"/>
        </w:rPr>
        <w:t>卫生健康</w:t>
      </w:r>
      <w:r>
        <w:rPr>
          <w:rStyle w:val="19"/>
          <w:rFonts w:ascii="仿宋" w:hAnsi="仿宋" w:eastAsia="仿宋"/>
          <w:bCs/>
          <w:sz w:val="32"/>
          <w:szCs w:val="32"/>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3.54</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，决算数等于预算数。</w:t>
      </w:r>
      <w:r>
        <w:rPr>
          <w:rStyle w:val="19"/>
          <w:rFonts w:hint="eastAsia" w:ascii="仿宋" w:hAnsi="仿宋" w:eastAsia="仿宋"/>
          <w:b w:val="0"/>
          <w:bCs/>
          <w:sz w:val="32"/>
          <w:szCs w:val="32"/>
          <w:lang w:val="en-US" w:eastAsia="zh-CN"/>
        </w:rPr>
        <w:t>其中：2101102</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3.00</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lang w:val="en-US" w:eastAsia="zh-CN"/>
        </w:rPr>
        <w:t>2101199</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0.54</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p>
    <w:p w14:paraId="5FAD351F">
      <w:pPr>
        <w:pStyle w:val="38"/>
        <w:keepNext w:val="0"/>
        <w:keepLines w:val="0"/>
        <w:pageBreakBefore w:val="0"/>
        <w:widowControl/>
        <w:suppressLineNumbers w:val="0"/>
        <w:suppressAutoHyphens w:val="0"/>
        <w:kinsoku/>
        <w:wordWrap/>
        <w:overflowPunct/>
        <w:topLinePunct w:val="0"/>
        <w:autoSpaceDE/>
        <w:autoSpaceDN/>
        <w:spacing w:before="0" w:beforeAutospacing="0"/>
        <w:ind w:left="0" w:firstLine="643" w:firstLineChars="200"/>
        <w:jc w:val="left"/>
        <w:rPr>
          <w:rStyle w:val="19"/>
          <w:rFonts w:hint="eastAsia" w:ascii="仿宋" w:hAnsi="仿宋" w:eastAsia="仿宋"/>
          <w:b w:val="0"/>
          <w:bCs/>
          <w:sz w:val="32"/>
          <w:szCs w:val="32"/>
          <w:lang w:eastAsia="zh-CN"/>
        </w:rPr>
      </w:pPr>
      <w:r>
        <w:rPr>
          <w:rFonts w:hint="eastAsia" w:ascii="仿宋" w:eastAsia="仿宋"/>
          <w:b/>
          <w:bCs/>
          <w:color w:val="auto"/>
          <w:kern w:val="0"/>
          <w:sz w:val="32"/>
          <w:szCs w:val="32"/>
          <w:shd w:val="clear" w:color="auto" w:fill="FFFFFF"/>
          <w:lang w:val="en-US" w:eastAsia="zh-CN"/>
        </w:rPr>
        <w:t>4</w:t>
      </w:r>
      <w:r>
        <w:rPr>
          <w:rFonts w:hint="eastAsia" w:ascii="仿宋" w:eastAsia="仿宋"/>
          <w:b/>
          <w:bCs/>
          <w:color w:val="auto"/>
          <w:kern w:val="0"/>
          <w:sz w:val="32"/>
          <w:szCs w:val="32"/>
          <w:shd w:val="clear" w:color="auto" w:fill="FFFFFF"/>
        </w:rPr>
        <w:t>.住房保障</w:t>
      </w:r>
      <w:r>
        <w:rPr>
          <w:rFonts w:hint="eastAsia" w:ascii="仿宋" w:eastAsia="仿宋"/>
          <w:b/>
          <w:bCs/>
          <w:color w:val="auto"/>
          <w:kern w:val="0"/>
          <w:sz w:val="32"/>
          <w:szCs w:val="32"/>
          <w:shd w:val="clear" w:color="auto" w:fill="FFFFFF"/>
          <w:lang w:eastAsia="zh-CN"/>
        </w:rPr>
        <w:t>（</w:t>
      </w:r>
      <w:r>
        <w:rPr>
          <w:rStyle w:val="19"/>
          <w:rFonts w:hint="eastAsia" w:ascii="仿宋" w:hAnsi="仿宋" w:eastAsia="仿宋"/>
          <w:b/>
          <w:bCs/>
          <w:sz w:val="32"/>
          <w:szCs w:val="32"/>
        </w:rPr>
        <w:t>2210201</w:t>
      </w:r>
      <w:r>
        <w:rPr>
          <w:rStyle w:val="19"/>
          <w:rFonts w:hint="eastAsia" w:ascii="仿宋" w:hAnsi="仿宋" w:eastAsia="仿宋"/>
          <w:b/>
          <w:bCs/>
          <w:sz w:val="32"/>
          <w:szCs w:val="32"/>
          <w:lang w:eastAsia="zh-CN"/>
        </w:rPr>
        <w:t>）</w:t>
      </w:r>
      <w:r>
        <w:rPr>
          <w:rStyle w:val="19"/>
          <w:rFonts w:ascii="仿宋" w:hAnsi="仿宋" w:eastAsia="仿宋"/>
          <w:bCs/>
          <w:sz w:val="32"/>
          <w:szCs w:val="32"/>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4.7</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决算等于预算数</w:t>
      </w:r>
      <w:r>
        <w:rPr>
          <w:rStyle w:val="19"/>
          <w:rFonts w:hint="eastAsia" w:ascii="仿宋" w:hAnsi="仿宋" w:eastAsia="仿宋"/>
          <w:b w:val="0"/>
          <w:bCs/>
          <w:sz w:val="32"/>
          <w:szCs w:val="32"/>
          <w:lang w:eastAsia="zh-CN"/>
        </w:rPr>
        <w:t>。</w:t>
      </w:r>
    </w:p>
    <w:p w14:paraId="4C902AA9">
      <w:pPr>
        <w:tabs>
          <w:tab w:val="right" w:pos="8306"/>
        </w:tabs>
        <w:spacing w:line="600" w:lineRule="exact"/>
        <w:ind w:firstLine="640" w:firstLineChars="0"/>
        <w:outlineLvl w:val="0"/>
        <w:rPr>
          <w:rStyle w:val="31"/>
          <w:rFonts w:ascii="Times New Roman" w:hAnsi="Times New Roman"/>
          <w:color w:val="auto"/>
          <w:highlight w:val="none"/>
        </w:rPr>
      </w:pPr>
      <w:bookmarkStart w:id="48" w:name="_Toc15377214"/>
      <w:bookmarkStart w:id="49" w:name="_Toc15396608"/>
      <w:bookmarkStart w:id="50" w:name="_Toc674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48"/>
      <w:bookmarkEnd w:id="49"/>
      <w:bookmarkEnd w:id="50"/>
      <w:r>
        <w:rPr>
          <w:rStyle w:val="31"/>
          <w:rFonts w:ascii="Times New Roman" w:hAnsi="Times New Roman" w:eastAsia="黑体"/>
          <w:b w:val="0"/>
          <w:color w:val="auto"/>
          <w:highlight w:val="none"/>
        </w:rPr>
        <w:tab/>
      </w:r>
    </w:p>
    <w:p w14:paraId="5B4808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8.97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78CE02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6.59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 w:hAnsi="仿宋" w:eastAsia="仿宋"/>
          <w:sz w:val="32"/>
          <w:szCs w:val="32"/>
        </w:rPr>
        <w:t>基本工资、津贴补贴、奖金、绩效工资、机关事业单位基本养老保险缴费、职业年金缴费</w:t>
      </w:r>
      <w:r>
        <w:rPr>
          <w:rFonts w:hint="eastAsia" w:ascii="仿宋" w:hAnsi="仿宋" w:eastAsia="仿宋"/>
          <w:sz w:val="32"/>
          <w:szCs w:val="32"/>
          <w:lang w:eastAsia="zh-CN"/>
        </w:rPr>
        <w:t>、</w:t>
      </w:r>
      <w:r>
        <w:rPr>
          <w:rFonts w:hint="eastAsia" w:ascii="仿宋" w:hAnsi="仿宋" w:eastAsia="仿宋"/>
          <w:sz w:val="32"/>
          <w:szCs w:val="32"/>
        </w:rPr>
        <w:t>职工基本医疗保险缴费</w:t>
      </w:r>
      <w:r>
        <w:rPr>
          <w:rFonts w:hint="eastAsia" w:ascii="仿宋" w:hAnsi="仿宋" w:eastAsia="仿宋"/>
          <w:sz w:val="32"/>
          <w:szCs w:val="32"/>
          <w:lang w:eastAsia="zh-CN"/>
        </w:rPr>
        <w:t>、</w:t>
      </w:r>
      <w:r>
        <w:rPr>
          <w:rFonts w:hint="eastAsia" w:ascii="仿宋" w:hAnsi="仿宋" w:eastAsia="仿宋"/>
          <w:sz w:val="32"/>
          <w:szCs w:val="32"/>
        </w:rPr>
        <w:t>公务员医疗补助缴费</w:t>
      </w:r>
      <w:r>
        <w:rPr>
          <w:rFonts w:hint="eastAsia" w:ascii="仿宋" w:hAnsi="仿宋" w:eastAsia="仿宋"/>
          <w:sz w:val="32"/>
          <w:szCs w:val="32"/>
          <w:lang w:eastAsia="zh-CN"/>
        </w:rPr>
        <w:t>、</w:t>
      </w:r>
      <w:r>
        <w:rPr>
          <w:rFonts w:hint="eastAsia" w:ascii="仿宋" w:hAnsi="仿宋" w:eastAsia="仿宋"/>
          <w:sz w:val="32"/>
          <w:szCs w:val="32"/>
        </w:rPr>
        <w:t>其他社会保障缴费</w:t>
      </w:r>
      <w:r>
        <w:rPr>
          <w:rFonts w:hint="eastAsia" w:ascii="仿宋" w:hAnsi="仿宋" w:eastAsia="仿宋"/>
          <w:sz w:val="32"/>
          <w:szCs w:val="32"/>
          <w:lang w:eastAsia="zh-CN"/>
        </w:rPr>
        <w:t>、</w:t>
      </w:r>
      <w:r>
        <w:rPr>
          <w:rFonts w:hint="eastAsia" w:ascii="仿宋" w:hAnsi="仿宋" w:eastAsia="仿宋"/>
          <w:sz w:val="32"/>
          <w:szCs w:val="32"/>
        </w:rPr>
        <w:t>住房公积金</w:t>
      </w:r>
      <w:r>
        <w:rPr>
          <w:rFonts w:hint="eastAsia" w:ascii="仿宋" w:hAnsi="仿宋" w:eastAsia="仿宋"/>
          <w:sz w:val="32"/>
          <w:szCs w:val="32"/>
          <w:lang w:eastAsia="zh-CN"/>
        </w:rPr>
        <w:t>、</w:t>
      </w:r>
      <w:r>
        <w:rPr>
          <w:rFonts w:hint="eastAsia" w:ascii="仿宋" w:hAnsi="仿宋" w:eastAsia="仿宋"/>
          <w:sz w:val="32"/>
          <w:szCs w:val="32"/>
        </w:rPr>
        <w:t>医疗费等</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2.38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 w:hAnsi="仿宋" w:eastAsia="仿宋"/>
          <w:sz w:val="32"/>
          <w:szCs w:val="32"/>
        </w:rPr>
        <w:t>办公费、印刷费、水费、电费、差旅费</w:t>
      </w:r>
      <w:r>
        <w:rPr>
          <w:rFonts w:hint="eastAsia" w:ascii="仿宋" w:hAnsi="仿宋" w:eastAsia="仿宋"/>
          <w:sz w:val="32"/>
          <w:szCs w:val="32"/>
          <w:lang w:eastAsia="zh-CN"/>
        </w:rPr>
        <w:t>、培训费、</w:t>
      </w:r>
      <w:r>
        <w:rPr>
          <w:rFonts w:hint="eastAsia" w:ascii="仿宋" w:hAnsi="仿宋" w:eastAsia="仿宋"/>
          <w:sz w:val="32"/>
          <w:szCs w:val="32"/>
        </w:rPr>
        <w:t>劳务费、工会经费等</w:t>
      </w:r>
      <w:r>
        <w:rPr>
          <w:rFonts w:hint="eastAsia" w:ascii="Times New Roman" w:hAnsi="Times New Roman" w:eastAsia="仿宋_GB2312" w:cs="仿宋_GB2312"/>
          <w:color w:val="auto"/>
          <w:kern w:val="2"/>
          <w:sz w:val="32"/>
          <w:szCs w:val="32"/>
          <w:highlight w:val="none"/>
          <w:lang w:val="en-US" w:eastAsia="zh-CN" w:bidi="ar-SA"/>
        </w:rPr>
        <w:t>。</w:t>
      </w:r>
    </w:p>
    <w:p w14:paraId="10DE6010">
      <w:pPr>
        <w:spacing w:line="600" w:lineRule="exact"/>
        <w:ind w:firstLine="640" w:firstLineChars="0"/>
        <w:outlineLvl w:val="0"/>
        <w:rPr>
          <w:rStyle w:val="31"/>
          <w:rFonts w:ascii="Times New Roman" w:hAnsi="Times New Roman" w:eastAsia="黑体"/>
          <w:b w:val="0"/>
          <w:color w:val="auto"/>
          <w:highlight w:val="none"/>
        </w:rPr>
      </w:pPr>
      <w:bookmarkStart w:id="51" w:name="_Toc30845"/>
      <w:bookmarkStart w:id="52" w:name="_Toc15377215"/>
      <w:bookmarkStart w:id="53"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51"/>
      <w:bookmarkEnd w:id="52"/>
      <w:bookmarkEnd w:id="53"/>
    </w:p>
    <w:p w14:paraId="11530BF9">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4" w:name="_Toc31902"/>
      <w:bookmarkStart w:id="5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54"/>
      <w:bookmarkEnd w:id="55"/>
    </w:p>
    <w:p w14:paraId="27B9A47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59DF8EFB">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6" w:name="_Toc15377217"/>
      <w:bookmarkStart w:id="57" w:name="_Toc2018"/>
      <w:r>
        <w:rPr>
          <w:rFonts w:hint="eastAsia" w:ascii="Times New Roman" w:hAnsi="Times New Roman" w:eastAsia="楷体_GB2312" w:cs="楷体_GB2312"/>
          <w:b/>
          <w:color w:val="auto"/>
          <w:sz w:val="32"/>
          <w:szCs w:val="32"/>
          <w:highlight w:val="none"/>
        </w:rPr>
        <w:t>（二）“三公”经费财政拨款支出决算具体情况说明</w:t>
      </w:r>
      <w:bookmarkEnd w:id="56"/>
      <w:bookmarkEnd w:id="57"/>
    </w:p>
    <w:p w14:paraId="1317448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5408" behindDoc="0" locked="0" layoutInCell="1" allowOverlap="1">
            <wp:simplePos x="0" y="0"/>
            <wp:positionH relativeFrom="column">
              <wp:posOffset>372110</wp:posOffset>
            </wp:positionH>
            <wp:positionV relativeFrom="paragraph">
              <wp:posOffset>1593850</wp:posOffset>
            </wp:positionV>
            <wp:extent cx="4072890" cy="2385695"/>
            <wp:effectExtent l="0" t="0" r="3810" b="0"/>
            <wp:wrapTopAndBottom/>
            <wp:docPr id="7" name="图片 1" descr="“三公”经费财政拨款支出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三公”经费财政拨款支出结构"/>
                    <pic:cNvPicPr>
                      <a:picLocks noChangeAspect="1"/>
                    </pic:cNvPicPr>
                  </pic:nvPicPr>
                  <pic:blipFill>
                    <a:blip r:embed="rId14"/>
                    <a:stretch>
                      <a:fillRect/>
                    </a:stretch>
                  </pic:blipFill>
                  <pic:spPr>
                    <a:xfrm>
                      <a:off x="0" y="0"/>
                      <a:ext cx="4072890" cy="2385695"/>
                    </a:xfrm>
                    <a:prstGeom prst="rect">
                      <a:avLst/>
                    </a:prstGeom>
                    <a:noFill/>
                    <a:ln>
                      <a:noFill/>
                    </a:ln>
                  </pic:spPr>
                </pic:pic>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w:t>
      </w:r>
    </w:p>
    <w:p w14:paraId="27476409">
      <w:pPr>
        <w:spacing w:line="600" w:lineRule="exact"/>
        <w:ind w:firstLine="640"/>
        <w:rPr>
          <w:rFonts w:hint="eastAsia" w:ascii="仿宋" w:hAnsi="仿宋" w:eastAsia="仿宋"/>
          <w:sz w:val="32"/>
          <w:szCs w:val="32"/>
        </w:rPr>
      </w:pPr>
      <w:r>
        <w:rPr>
          <w:rFonts w:hint="eastAsia" w:ascii="仿宋" w:hAnsi="仿宋" w:eastAsia="仿宋"/>
          <w:sz w:val="32"/>
          <w:szCs w:val="32"/>
        </w:rPr>
        <w:t>（图7：“三公”经费财政拨款支出结构）（饼状图）</w:t>
      </w:r>
    </w:p>
    <w:p w14:paraId="13B558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p>
    <w:p w14:paraId="571DD0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0F06CD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3B25C3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p>
    <w:p w14:paraId="0C6E27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w:t>
      </w:r>
    </w:p>
    <w:p w14:paraId="0A61B1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p>
    <w:p w14:paraId="019194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8" w:name="_Toc15377218"/>
      <w:bookmarkStart w:id="59" w:name="_Toc15396610"/>
    </w:p>
    <w:p w14:paraId="66515451">
      <w:pPr>
        <w:spacing w:line="600" w:lineRule="exact"/>
        <w:ind w:firstLine="640" w:firstLineChars="0"/>
        <w:outlineLvl w:val="0"/>
        <w:rPr>
          <w:rStyle w:val="31"/>
          <w:rFonts w:ascii="Times New Roman" w:hAnsi="Times New Roman" w:eastAsia="黑体"/>
          <w:color w:val="auto"/>
          <w:highlight w:val="none"/>
        </w:rPr>
      </w:pPr>
      <w:bookmarkStart w:id="60" w:name="_Toc1423"/>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58"/>
      <w:bookmarkEnd w:id="59"/>
      <w:bookmarkEnd w:id="60"/>
    </w:p>
    <w:p w14:paraId="5B7633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597F0A0">
      <w:pPr>
        <w:numPr>
          <w:ilvl w:val="0"/>
          <w:numId w:val="0"/>
        </w:numPr>
        <w:spacing w:line="600" w:lineRule="exact"/>
        <w:ind w:left="630" w:leftChars="0" w:firstLine="0" w:firstLineChars="0"/>
        <w:outlineLvl w:val="0"/>
        <w:rPr>
          <w:rStyle w:val="31"/>
          <w:rFonts w:ascii="Times New Roman" w:hAnsi="Times New Roman" w:eastAsia="黑体"/>
          <w:b w:val="0"/>
          <w:color w:val="auto"/>
          <w:highlight w:val="none"/>
        </w:rPr>
      </w:pPr>
      <w:bookmarkStart w:id="61" w:name="_Toc15396611"/>
      <w:bookmarkStart w:id="62" w:name="_Toc15377219"/>
      <w:bookmarkStart w:id="63" w:name="_Toc15047"/>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61"/>
      <w:bookmarkEnd w:id="62"/>
      <w:bookmarkEnd w:id="63"/>
    </w:p>
    <w:p w14:paraId="421BF8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2BB9198">
      <w:pPr>
        <w:numPr>
          <w:ilvl w:val="0"/>
          <w:numId w:val="0"/>
        </w:numPr>
        <w:spacing w:line="600" w:lineRule="exact"/>
        <w:ind w:left="630" w:leftChars="0" w:firstLine="0" w:firstLineChars="0"/>
        <w:outlineLvl w:val="0"/>
        <w:rPr>
          <w:rStyle w:val="31"/>
          <w:rFonts w:hint="eastAsia" w:ascii="Times New Roman" w:hAnsi="Times New Roman" w:eastAsia="黑体"/>
          <w:b w:val="0"/>
          <w:color w:val="auto"/>
          <w:highlight w:val="none"/>
        </w:rPr>
      </w:pPr>
      <w:bookmarkStart w:id="64" w:name="_Toc15396612"/>
      <w:bookmarkStart w:id="65" w:name="_Toc10838"/>
      <w:bookmarkStart w:id="66"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64"/>
      <w:bookmarkEnd w:id="65"/>
      <w:bookmarkEnd w:id="66"/>
    </w:p>
    <w:p w14:paraId="5D55A1AF">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7" w:name="_Toc15377222"/>
      <w:bookmarkStart w:id="68" w:name="_Toc8244"/>
      <w:r>
        <w:rPr>
          <w:rFonts w:hint="eastAsia" w:ascii="Times New Roman" w:hAnsi="Times New Roman" w:eastAsia="楷体_GB2312" w:cs="楷体_GB2312"/>
          <w:b/>
          <w:color w:val="auto"/>
          <w:sz w:val="32"/>
          <w:szCs w:val="32"/>
          <w:highlight w:val="none"/>
        </w:rPr>
        <w:t>（一）机关运行经费支出情况</w:t>
      </w:r>
      <w:bookmarkEnd w:id="67"/>
      <w:bookmarkEnd w:id="68"/>
    </w:p>
    <w:p w14:paraId="433E23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阿坝州若尔盖县统计局大数据中心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FE59000">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9" w:name="_Toc15377223"/>
      <w:bookmarkStart w:id="70" w:name="_Toc23143"/>
      <w:r>
        <w:rPr>
          <w:rFonts w:hint="eastAsia" w:ascii="Times New Roman" w:hAnsi="Times New Roman" w:eastAsia="楷体_GB2312" w:cs="楷体_GB2312"/>
          <w:b/>
          <w:color w:val="auto"/>
          <w:sz w:val="32"/>
          <w:szCs w:val="32"/>
          <w:highlight w:val="none"/>
        </w:rPr>
        <w:t>（二）政府采购支出情况</w:t>
      </w:r>
      <w:bookmarkEnd w:id="69"/>
      <w:bookmarkEnd w:id="70"/>
    </w:p>
    <w:p w14:paraId="296C04E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阿坝州若尔盖县统计局大数据中心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3632CD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75740D">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71" w:name="_Toc23577"/>
      <w:bookmarkStart w:id="72" w:name="_Toc15377224"/>
      <w:r>
        <w:rPr>
          <w:rFonts w:hint="eastAsia" w:ascii="Times New Roman" w:hAnsi="Times New Roman" w:eastAsia="楷体_GB2312" w:cs="楷体_GB2312"/>
          <w:b/>
          <w:color w:val="auto"/>
          <w:sz w:val="32"/>
          <w:szCs w:val="32"/>
          <w:highlight w:val="none"/>
        </w:rPr>
        <w:t>（三）国有资产占有使用情况</w:t>
      </w:r>
      <w:bookmarkEnd w:id="71"/>
      <w:bookmarkEnd w:id="72"/>
    </w:p>
    <w:p w14:paraId="697CBB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阿坝州若尔盖县统计局大数据中心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111E45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D9A4DD">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73" w:name="_Toc31513"/>
      <w:r>
        <w:rPr>
          <w:rFonts w:hint="eastAsia" w:ascii="Times New Roman" w:hAnsi="Times New Roman" w:eastAsia="楷体_GB2312" w:cs="楷体_GB2312"/>
          <w:b/>
          <w:color w:val="auto"/>
          <w:sz w:val="32"/>
          <w:szCs w:val="32"/>
          <w:highlight w:val="none"/>
        </w:rPr>
        <w:t>（四）预算绩效管理情况</w:t>
      </w:r>
      <w:bookmarkEnd w:id="73"/>
    </w:p>
    <w:p w14:paraId="6AE18F2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sz w:val="32"/>
          <w:szCs w:val="32"/>
        </w:rPr>
        <w:t>根据预算绩效管理要求，本单位在</w:t>
      </w:r>
      <w:r>
        <w:rPr>
          <w:rFonts w:hint="eastAsia" w:ascii="仿宋_GB2312" w:eastAsia="仿宋_GB2312"/>
          <w:sz w:val="32"/>
          <w:szCs w:val="32"/>
          <w:highlight w:val="none"/>
          <w:lang w:val="en-US" w:eastAsia="zh-CN"/>
        </w:rPr>
        <w:t>2025</w:t>
      </w:r>
      <w:r>
        <w:rPr>
          <w:rFonts w:hint="eastAsia" w:ascii="仿宋_GB2312" w:eastAsia="仿宋_GB2312"/>
          <w:sz w:val="32"/>
          <w:szCs w:val="32"/>
          <w:highlight w:val="none"/>
        </w:rPr>
        <w:t>年度</w:t>
      </w:r>
      <w:r>
        <w:rPr>
          <w:rFonts w:hint="eastAsia" w:ascii="仿宋_GB2312" w:eastAsia="仿宋_GB2312"/>
          <w:sz w:val="32"/>
          <w:szCs w:val="32"/>
        </w:rPr>
        <w:t>预算编制阶段</w:t>
      </w:r>
      <w:r>
        <w:rPr>
          <w:rFonts w:hint="eastAsia" w:ascii="仿宋_GB2312" w:eastAsia="仿宋_GB2312"/>
          <w:sz w:val="32"/>
          <w:szCs w:val="32"/>
          <w:lang w:val="en-US" w:eastAsia="zh-CN"/>
        </w:rPr>
        <w:t>无</w:t>
      </w:r>
      <w:r>
        <w:rPr>
          <w:rFonts w:hint="eastAsia" w:ascii="仿宋_GB2312" w:eastAsia="仿宋_GB2312"/>
          <w:sz w:val="32"/>
          <w:szCs w:val="32"/>
        </w:rPr>
        <w:t>项目。</w:t>
      </w:r>
    </w:p>
    <w:p w14:paraId="14C3B7E0">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791C64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4" w:name="_Toc15377225"/>
      <w:bookmarkStart w:id="75" w:name="_Toc21253"/>
      <w:bookmarkStart w:id="76"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4"/>
      <w:bookmarkEnd w:id="75"/>
      <w:bookmarkEnd w:id="76"/>
    </w:p>
    <w:p w14:paraId="5BBA9A6D">
      <w:pPr>
        <w:spacing w:line="600" w:lineRule="exact"/>
        <w:jc w:val="left"/>
        <w:rPr>
          <w:rFonts w:ascii="Times New Roman" w:hAnsi="Times New Roman"/>
          <w:b/>
          <w:color w:val="auto"/>
          <w:sz w:val="44"/>
          <w:szCs w:val="44"/>
          <w:highlight w:val="none"/>
        </w:rPr>
      </w:pPr>
    </w:p>
    <w:p w14:paraId="099D9E55">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1.财政拨款收入：指单位从同级财政部门取得的财政预算资金。</w:t>
      </w:r>
    </w:p>
    <w:p w14:paraId="7E252CB0">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2.事业收入：指事业单位开展专业业务活动及辅助活动取得的收入。</w:t>
      </w:r>
    </w:p>
    <w:p w14:paraId="58B67D80">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3.经营收入：指事业单位在专业业务活动及其辅助活动之外开展非独立核算经营活动取得的收入。</w:t>
      </w:r>
    </w:p>
    <w:p w14:paraId="0DE9B560">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4.其他收入：指单位取得的除上述收入以外的各项收入。</w:t>
      </w:r>
    </w:p>
    <w:p w14:paraId="5A641166">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5.使用非财政拨款结余：指事业单位使用以前年度积累的非财政拨款结余弥补当年收支差额的金额。</w:t>
      </w:r>
    </w:p>
    <w:p w14:paraId="44EB4F16">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6.年初结转和结余：指以前年度尚未完成、结转到本年按有关规定继续使用的资金。</w:t>
      </w:r>
    </w:p>
    <w:p w14:paraId="3BBE8EDD">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7.结余分配：指事业单位按照会计制度规定缴纳的所得税、提取的专用结余以及转入非财政拨款结余的金额等。</w:t>
      </w:r>
    </w:p>
    <w:p w14:paraId="37625DD9">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8、年末结转和结余：指单位按有关规定结转到下年或以后年度继续使用的资金。</w:t>
      </w:r>
    </w:p>
    <w:p w14:paraId="2849336E">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 xml:space="preserve">9.一般公共服务支出（类）统计信息事务（款）事业运行（项）：指县统计局所属事业单位（县大数据中心）用于保障机构正常运行、开展日常工作的基本支出。  </w:t>
      </w:r>
    </w:p>
    <w:p w14:paraId="5F0A0DD9">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10.社会保障和就业支出（类）行政事业单位养老支出（款）机关事业单位基本养老保险缴费支出（项）：指机关事业单位实施养老保险制度由单位缴纳的基本养老保险费支出。</w:t>
      </w:r>
    </w:p>
    <w:p w14:paraId="70D56B61">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 xml:space="preserve">11.社会保障和就业支出（类）行政事业单位养老支出（款）机关事业单位职业年金缴费支出（项）：指机关事业单位实施养老保险制度由单位缴纳的职业年金支出。 </w:t>
      </w:r>
    </w:p>
    <w:p w14:paraId="48701407">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12.卫生健康支出（类）行政事业单位医疗（款）事业单位医疗（项）：指县大数据中心基本医疗保险缴费经费。</w:t>
      </w:r>
    </w:p>
    <w:p w14:paraId="1729394C">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13.卫生健康支出（类）行政事业单位医疗（款）其他行政事业单位医疗（项）：指县大数据中心医疗补助经费。</w:t>
      </w:r>
    </w:p>
    <w:p w14:paraId="70689630">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 xml:space="preserve">14.住房保障支出（类）住房改革支出（款）住房公积金（项）：指行政事业单位按人力资源和社会保障部、财政部规定的基本工资和津贴补贴以及规定比例为职工缴纳的住房公积金。 </w:t>
      </w:r>
    </w:p>
    <w:p w14:paraId="11168958">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15.基本支出：指为保障机构正常运转、完成日常工作任务而发生的人员支出和公用支出。</w:t>
      </w:r>
    </w:p>
    <w:p w14:paraId="63B24ACD">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3D59C3">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 w:hAnsi="仿宋" w:eastAsia="仿宋" w:cs="仿宋"/>
          <w:b w:val="0"/>
          <w:bCs/>
          <w:sz w:val="32"/>
          <w:szCs w:val="32"/>
          <w:lang w:eastAsia="zh-CN"/>
        </w:rPr>
      </w:pPr>
      <w:r>
        <w:rPr>
          <w:rFonts w:hint="eastAsia" w:ascii="仿宋" w:hAnsi="仿宋" w:eastAsia="仿宋" w:cs="仿宋"/>
          <w:b w:val="0"/>
          <w:bCs/>
          <w:sz w:val="32"/>
          <w:szCs w:val="32"/>
          <w:lang w:val="en-US" w:eastAsia="zh-CN"/>
        </w:rPr>
        <w:t>17.“</w:t>
      </w:r>
      <w:r>
        <w:rPr>
          <w:rFonts w:hint="eastAsia" w:ascii="仿宋" w:hAnsi="仿宋" w:eastAsia="仿宋" w:cs="仿宋"/>
          <w:b w:val="0"/>
          <w:bCs/>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r>
        <w:rPr>
          <w:rFonts w:hint="eastAsia" w:ascii="仿宋" w:hAnsi="仿宋" w:eastAsia="仿宋" w:cs="仿宋"/>
          <w:b w:val="0"/>
          <w:bCs/>
          <w:sz w:val="32"/>
          <w:szCs w:val="32"/>
          <w:lang w:eastAsia="zh-CN"/>
        </w:rPr>
        <w:t>。</w:t>
      </w:r>
    </w:p>
    <w:p w14:paraId="35FB220F">
      <w:pPr>
        <w:spacing w:line="600" w:lineRule="exact"/>
        <w:jc w:val="center"/>
        <w:outlineLvl w:val="0"/>
        <w:rPr>
          <w:rStyle w:val="30"/>
          <w:rFonts w:hint="eastAsia" w:ascii="Times New Roman" w:hAnsi="Times New Roman" w:eastAsia="黑体"/>
          <w:b w:val="0"/>
          <w:color w:val="auto"/>
          <w:highlight w:val="none"/>
          <w:lang w:eastAsia="zh-CN"/>
        </w:rPr>
      </w:pPr>
      <w:bookmarkStart w:id="7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8" w:name="_Toc15396614"/>
      <w:bookmarkStart w:id="79" w:name="_Toc228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8"/>
      <w:bookmarkEnd w:id="79"/>
    </w:p>
    <w:p w14:paraId="47D808B7">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407609DE">
      <w:pPr>
        <w:keepNext w:val="0"/>
        <w:keepLines w:val="0"/>
        <w:pageBreakBefore w:val="0"/>
        <w:kinsoku/>
        <w:wordWrap/>
        <w:overflowPunct/>
        <w:topLinePunct w:val="0"/>
        <w:autoSpaceDE/>
        <w:autoSpaceDN/>
        <w:bidi w:val="0"/>
        <w:spacing w:line="572" w:lineRule="exact"/>
        <w:jc w:val="left"/>
        <w:textAlignment w:val="auto"/>
        <w:outlineLvl w:val="9"/>
        <w:rPr>
          <w:rFonts w:hint="default" w:ascii="Times New Roman" w:hAnsi="Times New Roman" w:eastAsia="黑体" w:cs="方正小标宋简体"/>
          <w:color w:val="auto"/>
          <w:sz w:val="44"/>
          <w:szCs w:val="44"/>
          <w:highlight w:val="none"/>
          <w:lang w:val="en-US" w:eastAsia="zh-CN"/>
        </w:rPr>
      </w:pPr>
      <w:r>
        <w:rPr>
          <w:rFonts w:hint="eastAsia" w:eastAsia="黑体" w:cs="方正小标宋简体"/>
          <w:color w:val="auto"/>
          <w:sz w:val="44"/>
          <w:szCs w:val="44"/>
          <w:highlight w:val="none"/>
          <w:lang w:val="en-US" w:eastAsia="zh-CN"/>
        </w:rPr>
        <w:t>无</w:t>
      </w:r>
    </w:p>
    <w:p w14:paraId="23FB76B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14DC49BE">
      <w:pPr>
        <w:pStyle w:val="6"/>
        <w:rPr>
          <w:rFonts w:hint="eastAsia" w:ascii="Times New Roman" w:hAnsi="Times New Roman" w:cs="宋体"/>
          <w:color w:val="FF0000"/>
          <w:kern w:val="0"/>
          <w:sz w:val="32"/>
          <w:szCs w:val="32"/>
          <w:highlight w:val="yellow"/>
          <w:shd w:val="clear" w:color="auto" w:fill="FFFFFF"/>
          <w:lang w:val="zh-CN"/>
        </w:rPr>
      </w:pPr>
    </w:p>
    <w:p w14:paraId="32F77DD8">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4A1B14D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5770778">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0"/>
        <w:rPr>
          <w:rFonts w:hint="eastAsia" w:ascii="Times New Roman" w:hAnsi="Times New Roman" w:eastAsia="仿宋"/>
          <w:b w:val="0"/>
          <w:color w:val="auto"/>
          <w:highlight w:val="none"/>
        </w:rPr>
      </w:pPr>
      <w:bookmarkStart w:id="80" w:name="_Toc22756"/>
      <w:bookmarkStart w:id="81" w:name="_Toc1539661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77"/>
      <w:bookmarkEnd w:id="80"/>
      <w:bookmarkEnd w:id="81"/>
      <w:bookmarkStart w:id="82" w:name="_Toc15396619"/>
    </w:p>
    <w:p w14:paraId="3BF24BD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560A38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2"/>
    </w:p>
    <w:p w14:paraId="239B4C0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0"/>
      <w:r>
        <w:rPr>
          <w:rFonts w:hint="eastAsia" w:ascii="Times New Roman" w:hAnsi="Times New Roman" w:eastAsia="仿宋_GB2312" w:cs="仿宋_GB2312"/>
          <w:color w:val="auto"/>
          <w:sz w:val="32"/>
          <w:szCs w:val="32"/>
          <w:highlight w:val="none"/>
        </w:rPr>
        <w:t>二、收入决算表</w:t>
      </w:r>
      <w:bookmarkEnd w:id="83"/>
    </w:p>
    <w:p w14:paraId="3F18798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1"/>
      <w:r>
        <w:rPr>
          <w:rFonts w:hint="eastAsia" w:ascii="Times New Roman" w:hAnsi="Times New Roman" w:eastAsia="仿宋_GB2312" w:cs="仿宋_GB2312"/>
          <w:color w:val="auto"/>
          <w:sz w:val="32"/>
          <w:szCs w:val="32"/>
          <w:highlight w:val="none"/>
        </w:rPr>
        <w:t>三、支出决算表</w:t>
      </w:r>
      <w:bookmarkEnd w:id="84"/>
    </w:p>
    <w:p w14:paraId="5A66024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2"/>
      <w:r>
        <w:rPr>
          <w:rFonts w:hint="eastAsia" w:ascii="Times New Roman" w:hAnsi="Times New Roman" w:eastAsia="仿宋_GB2312" w:cs="仿宋_GB2312"/>
          <w:color w:val="auto"/>
          <w:sz w:val="32"/>
          <w:szCs w:val="32"/>
          <w:highlight w:val="none"/>
        </w:rPr>
        <w:t>四、财政拨款收入支出决算总表</w:t>
      </w:r>
      <w:bookmarkEnd w:id="85"/>
    </w:p>
    <w:p w14:paraId="73FD0D5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3"/>
      <w:r>
        <w:rPr>
          <w:rFonts w:hint="eastAsia" w:ascii="Times New Roman" w:hAnsi="Times New Roman" w:eastAsia="仿宋_GB2312" w:cs="仿宋_GB2312"/>
          <w:color w:val="auto"/>
          <w:sz w:val="32"/>
          <w:szCs w:val="32"/>
          <w:highlight w:val="none"/>
        </w:rPr>
        <w:t>五、财政拨款支出决算明细表</w:t>
      </w:r>
      <w:bookmarkEnd w:id="86"/>
      <w:bookmarkStart w:id="87" w:name="_Toc15396624"/>
    </w:p>
    <w:p w14:paraId="1A621C1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7"/>
    </w:p>
    <w:p w14:paraId="71B19C8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5"/>
      <w:r>
        <w:rPr>
          <w:rFonts w:hint="eastAsia" w:ascii="Times New Roman" w:hAnsi="Times New Roman" w:eastAsia="仿宋_GB2312" w:cs="仿宋_GB2312"/>
          <w:color w:val="auto"/>
          <w:sz w:val="32"/>
          <w:szCs w:val="32"/>
          <w:highlight w:val="none"/>
        </w:rPr>
        <w:t>七、一般公共预算财政拨款支出决算明细表</w:t>
      </w:r>
      <w:bookmarkEnd w:id="88"/>
    </w:p>
    <w:p w14:paraId="6F55EEE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6"/>
      <w:r>
        <w:rPr>
          <w:rFonts w:hint="eastAsia" w:ascii="Times New Roman" w:hAnsi="Times New Roman" w:eastAsia="仿宋_GB2312" w:cs="仿宋_GB2312"/>
          <w:color w:val="auto"/>
          <w:sz w:val="32"/>
          <w:szCs w:val="32"/>
          <w:highlight w:val="none"/>
        </w:rPr>
        <w:t>八、一般公共预算财政拨款基本支出决算表</w:t>
      </w:r>
      <w:bookmarkEnd w:id="89"/>
    </w:p>
    <w:p w14:paraId="319AD94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7"/>
      <w:r>
        <w:rPr>
          <w:rFonts w:hint="eastAsia" w:ascii="Times New Roman" w:hAnsi="Times New Roman" w:eastAsia="仿宋_GB2312" w:cs="仿宋_GB2312"/>
          <w:color w:val="auto"/>
          <w:sz w:val="32"/>
          <w:szCs w:val="32"/>
          <w:highlight w:val="none"/>
        </w:rPr>
        <w:t>九、一般公共预算财政拨款项目支出决算表</w:t>
      </w:r>
      <w:bookmarkEnd w:id="90"/>
    </w:p>
    <w:p w14:paraId="708EA8F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8"/>
      <w:r>
        <w:rPr>
          <w:rFonts w:hint="eastAsia" w:ascii="Times New Roman" w:hAnsi="Times New Roman" w:eastAsia="仿宋_GB2312" w:cs="仿宋_GB2312"/>
          <w:color w:val="auto"/>
          <w:sz w:val="32"/>
          <w:szCs w:val="32"/>
          <w:highlight w:val="none"/>
        </w:rPr>
        <w:t>十、</w:t>
      </w:r>
      <w:bookmarkEnd w:id="91"/>
      <w:r>
        <w:rPr>
          <w:rFonts w:hint="eastAsia" w:ascii="Times New Roman" w:hAnsi="Times New Roman" w:eastAsia="仿宋_GB2312" w:cs="仿宋_GB2312"/>
          <w:color w:val="auto"/>
          <w:sz w:val="32"/>
          <w:szCs w:val="32"/>
          <w:highlight w:val="none"/>
        </w:rPr>
        <w:t>政府性基金预算财政拨款收入支出决算表</w:t>
      </w:r>
    </w:p>
    <w:p w14:paraId="07F205A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9"/>
      <w:r>
        <w:rPr>
          <w:rFonts w:hint="eastAsia" w:ascii="Times New Roman" w:hAnsi="Times New Roman" w:eastAsia="仿宋_GB2312" w:cs="仿宋_GB2312"/>
          <w:color w:val="auto"/>
          <w:sz w:val="32"/>
          <w:szCs w:val="32"/>
          <w:highlight w:val="none"/>
        </w:rPr>
        <w:t>十一、</w:t>
      </w:r>
      <w:bookmarkEnd w:id="9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96A8B3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30"/>
      <w:r>
        <w:rPr>
          <w:rFonts w:hint="eastAsia" w:ascii="Times New Roman" w:hAnsi="Times New Roman" w:eastAsia="仿宋_GB2312" w:cs="仿宋_GB2312"/>
          <w:color w:val="auto"/>
          <w:sz w:val="32"/>
          <w:szCs w:val="32"/>
          <w:highlight w:val="none"/>
        </w:rPr>
        <w:t>十二、</w:t>
      </w:r>
      <w:bookmarkEnd w:id="93"/>
      <w:r>
        <w:rPr>
          <w:rFonts w:hint="eastAsia" w:ascii="Times New Roman" w:hAnsi="Times New Roman" w:eastAsia="仿宋_GB2312" w:cs="仿宋_GB2312"/>
          <w:color w:val="auto"/>
          <w:sz w:val="32"/>
          <w:szCs w:val="32"/>
          <w:highlight w:val="none"/>
          <w:lang w:eastAsia="zh-CN"/>
        </w:rPr>
        <w:t>国有资本经营预算财政拨款支出决算表</w:t>
      </w:r>
    </w:p>
    <w:p w14:paraId="12B899F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4" w:name="_Toc15396631"/>
      <w:r>
        <w:rPr>
          <w:rFonts w:hint="eastAsia" w:ascii="Times New Roman" w:hAnsi="Times New Roman" w:eastAsia="仿宋_GB2312" w:cs="仿宋_GB2312"/>
          <w:color w:val="auto"/>
          <w:sz w:val="32"/>
          <w:szCs w:val="32"/>
          <w:highlight w:val="none"/>
        </w:rPr>
        <w:t>十三、</w:t>
      </w:r>
      <w:bookmarkEnd w:id="94"/>
      <w:r>
        <w:rPr>
          <w:rFonts w:hint="eastAsia" w:ascii="Times New Roman" w:hAnsi="Times New Roman" w:eastAsia="仿宋_GB2312" w:cs="仿宋_GB2312"/>
          <w:color w:val="auto"/>
          <w:sz w:val="32"/>
          <w:szCs w:val="32"/>
          <w:highlight w:val="none"/>
          <w:lang w:eastAsia="zh-CN"/>
        </w:rPr>
        <w:t>财政拨款“三公”经费支出决算表</w:t>
      </w:r>
    </w:p>
    <w:p w14:paraId="7DB7D456">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variable"/>
    <w:sig w:usb0="00000000" w:usb1="00000000" w:usb2="00000000" w:usb3="00000000" w:csb0="00000000"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039A8">
    <w:pPr>
      <w:pStyle w:val="12"/>
      <w:jc w:val="center"/>
    </w:pPr>
  </w:p>
  <w:p w14:paraId="3ABCA4E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AE4E1">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AE39A">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35AE39A">
                    <w:pPr>
                      <w:pStyle w:val="12"/>
                    </w:pPr>
                    <w:r>
                      <w:fldChar w:fldCharType="begin"/>
                    </w:r>
                    <w:r>
                      <w:instrText xml:space="preserve"> PAGE  \* MERGEFORMAT </w:instrText>
                    </w:r>
                    <w:r>
                      <w:fldChar w:fldCharType="separate"/>
                    </w:r>
                    <w:r>
                      <w:t>2</w:t>
                    </w:r>
                    <w:r>
                      <w:fldChar w:fldCharType="end"/>
                    </w:r>
                  </w:p>
                </w:txbxContent>
              </v:textbox>
            </v:shape>
          </w:pict>
        </mc:Fallback>
      </mc:AlternateContent>
    </w:r>
  </w:p>
  <w:p w14:paraId="1711D585">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A21B8">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E9CF3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2E9CF3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D5A57">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37368"/>
    <w:multiLevelType w:val="singleLevel"/>
    <w:tmpl w:val="C5F37368"/>
    <w:lvl w:ilvl="0" w:tentative="0">
      <w:start w:val="1"/>
      <w:numFmt w:val="chineseCounting"/>
      <w:suff w:val="nothing"/>
      <w:lvlText w:val="%1、"/>
      <w:lvlJc w:val="left"/>
      <w:rPr>
        <w:rFonts w:hint="eastAsia"/>
      </w:rPr>
    </w:lvl>
  </w:abstractNum>
  <w:abstractNum w:abstractNumId="1">
    <w:nsid w:val="3276B2BE"/>
    <w:multiLevelType w:val="singleLevel"/>
    <w:tmpl w:val="3276B2B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9AFF86B"/>
    <w:rsid w:val="1ADE4857"/>
    <w:rsid w:val="1BE8440E"/>
    <w:rsid w:val="1D155CEE"/>
    <w:rsid w:val="1D1638FE"/>
    <w:rsid w:val="1E312DEB"/>
    <w:rsid w:val="1E740ACF"/>
    <w:rsid w:val="1FF35744"/>
    <w:rsid w:val="1FF6BC77"/>
    <w:rsid w:val="1FFB089F"/>
    <w:rsid w:val="2186353C"/>
    <w:rsid w:val="23860B96"/>
    <w:rsid w:val="240371BF"/>
    <w:rsid w:val="244F3473"/>
    <w:rsid w:val="24C97D99"/>
    <w:rsid w:val="25A718F0"/>
    <w:rsid w:val="25BB59F6"/>
    <w:rsid w:val="260F557C"/>
    <w:rsid w:val="26970054"/>
    <w:rsid w:val="281408E2"/>
    <w:rsid w:val="29FD04D3"/>
    <w:rsid w:val="2AE20AEF"/>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4D01FE3"/>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19B42BF"/>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10DFD"/>
    <w:rsid w:val="4FFB052F"/>
    <w:rsid w:val="50935414"/>
    <w:rsid w:val="537E6D0A"/>
    <w:rsid w:val="53F74C96"/>
    <w:rsid w:val="55170BA8"/>
    <w:rsid w:val="553218C9"/>
    <w:rsid w:val="567E1AA5"/>
    <w:rsid w:val="56E47B74"/>
    <w:rsid w:val="57175D52"/>
    <w:rsid w:val="57BD3DD4"/>
    <w:rsid w:val="5AF92295"/>
    <w:rsid w:val="5B250254"/>
    <w:rsid w:val="5BABBF89"/>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785220"/>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5C87EA"/>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BF141D"/>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Salutation"/>
    <w:basedOn w:val="1"/>
    <w:next w:val="1"/>
    <w:qFormat/>
    <w:uiPriority w:val="0"/>
    <w:rPr>
      <w:rFonts w:ascii="Calibri" w:hAnsi="Calibri" w:eastAsia="宋体" w:cs="Times New Roman"/>
    </w:rPr>
  </w:style>
  <w:style w:type="paragraph" w:styleId="6">
    <w:name w:val="Body Text"/>
    <w:basedOn w:val="1"/>
    <w:next w:val="7"/>
    <w:link w:val="27"/>
    <w:qFormat/>
    <w:uiPriority w:val="99"/>
    <w:pPr>
      <w:spacing w:beforeLines="30"/>
    </w:pPr>
    <w:rPr>
      <w:rFonts w:ascii="仿宋_GB2312" w:eastAsia="仿宋_GB2312"/>
      <w:kern w:val="0"/>
      <w:sz w:val="30"/>
    </w:rPr>
  </w:style>
  <w:style w:type="paragraph" w:styleId="7">
    <w:name w:val="Subtitle"/>
    <w:basedOn w:val="1"/>
    <w:next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20" w:beforeAutospacing="0" w:after="120" w:afterAutospacing="0" w:line="312" w:lineRule="auto"/>
      <w:ind w:left="0" w:right="0" w:firstLine="0"/>
      <w:jc w:val="left"/>
      <w:textAlignment w:val="auto"/>
      <w:outlineLvl w:val="1"/>
    </w:pPr>
    <w:rPr>
      <w:rFonts w:ascii="Cambria" w:hAnsi="Cambria" w:eastAsia="宋体" w:cs="宋体"/>
      <w:b/>
      <w:bCs/>
      <w:snapToGrid/>
      <w:color w:val="auto"/>
      <w:spacing w:val="0"/>
      <w:w w:val="100"/>
      <w:kern w:val="28"/>
      <w:position w:val="0"/>
      <w:sz w:val="24"/>
      <w:szCs w:val="24"/>
      <w:u w:val="none" w:color="auto"/>
      <w:vertAlign w:val="baseline"/>
      <w:lang w:val="en-US" w:eastAsia="zh-CN" w:bidi="ar-SA"/>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普通(网站) Char"/>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宋体" w:eastAsia="宋体"/>
      <w:snapToGrid/>
      <w:color w:val="auto"/>
      <w:spacing w:val="0"/>
      <w:w w:val="100"/>
      <w:kern w:val="0"/>
      <w:position w:val="0"/>
      <w:sz w:val="24"/>
      <w:szCs w:val="24"/>
      <w:u w:val="none" w:color="auto"/>
      <w:vertAlign w:val="baseline"/>
      <w:lang w:val="en-US" w:eastAsia="zh-CN"/>
    </w:rPr>
  </w:style>
  <w:style w:type="paragraph" w:customStyle="1" w:styleId="38">
    <w:name w:val="普通(网站) Char Char"/>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宋体" w:eastAsia="宋体"/>
      <w:snapToGrid/>
      <w:color w:val="auto"/>
      <w:spacing w:val="0"/>
      <w:w w:val="100"/>
      <w:kern w:val="0"/>
      <w:position w:val="0"/>
      <w:sz w:val="24"/>
      <w:szCs w:val="24"/>
      <w:u w:val="none" w:color="auto"/>
      <w:vertAlign w:val="baseline"/>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5.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4.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3.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2024年</c:v>
                </c:pt>
              </c:strCache>
            </c:strRef>
          </c:tx>
          <c:spPr>
            <a:gradFill>
              <a:gsLst>
                <a:gs pos="0">
                  <a:schemeClr val="accent1"/>
                </a:gs>
                <a:gs pos="100000">
                  <a:schemeClr val="accent2"/>
                </a:gs>
              </a:gsLst>
              <a:lin ang="5400000" scaled="0"/>
            </a:gra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64.31</c:v>
                </c:pt>
                <c:pt idx="1">
                  <c:v>64.31</c:v>
                </c:pt>
              </c:numCache>
            </c:numRef>
          </c:val>
        </c:ser>
        <c:ser>
          <c:idx val="1"/>
          <c:order val="1"/>
          <c:tx>
            <c:strRef>
              <c:f>Sheet1!$C$1</c:f>
              <c:strCache>
                <c:ptCount val="1"/>
                <c:pt idx="0">
                  <c:v>2025年</c:v>
                </c:pt>
              </c:strCache>
            </c:strRef>
          </c:tx>
          <c:spPr>
            <a:gradFill>
              <a:gsLst>
                <a:gs pos="0">
                  <a:schemeClr val="accent3"/>
                </a:gs>
                <a:gs pos="100000">
                  <a:schemeClr val="accent4"/>
                </a:gs>
              </a:gsLst>
              <a:lin ang="5400000" scaled="0"/>
            </a:gra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68.97</c:v>
                </c:pt>
                <c:pt idx="1">
                  <c:v>68.97</c:v>
                </c:pt>
              </c:numCache>
            </c:numRef>
          </c:val>
        </c:ser>
        <c:dLbls>
          <c:showLegendKey val="0"/>
          <c:showVal val="0"/>
          <c:showCatName val="0"/>
          <c:showSerName val="0"/>
          <c:showPercent val="0"/>
          <c:showBubbleSize val="0"/>
        </c:dLbls>
        <c:gapWidth val="150"/>
        <c:overlap val="0"/>
        <c:axId val="929138332"/>
        <c:axId val="271072779"/>
      </c:barChart>
      <c:catAx>
        <c:axId val="929138332"/>
        <c:scaling>
          <c:orientation val="minMax"/>
        </c:scaling>
        <c:delete val="0"/>
        <c:axPos val="b"/>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1072779"/>
        <c:crosses val="autoZero"/>
        <c:auto val="1"/>
        <c:lblAlgn val="ctr"/>
        <c:lblOffset val="100"/>
        <c:noMultiLvlLbl val="0"/>
      </c:catAx>
      <c:valAx>
        <c:axId val="271072779"/>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929138332"/>
        <c:crosses val="autoZero"/>
        <c:crossBetween val="between"/>
      </c:valAx>
      <c:spPr>
        <a:noFill/>
        <a:ln w="6350">
          <a:solidFill>
            <a:schemeClr val="tx1">
              <a:lumMod val="50000"/>
              <a:lumOff val="50000"/>
              <a:alpha val="25000"/>
            </a:schemeClr>
          </a:solid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d680c844-b22b-4841-a98f-7316c23d53e7}"/>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1"/>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68.97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8dc92562-78b0-454a-8d72-cedac954ecd5}"/>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1"/>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基本支出</c:v>
                </c:pt>
              </c:strCache>
            </c:strRef>
          </c:cat>
          <c:val>
            <c:numRef>
              <c:f>Sheet1!$B$2</c:f>
              <c:numCache>
                <c:formatCode>General</c:formatCode>
                <c:ptCount val="1"/>
                <c:pt idx="0">
                  <c:v>68.97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17954d3e-ae31-4950-a19f-df055983f881}"/>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496013529838125"/>
          <c:y val="0.148108797280068"/>
          <c:w val="0.915728436820488"/>
          <c:h val="0.756778580535487"/>
        </c:manualLayout>
      </c:layout>
      <c:barChart>
        <c:barDir val="col"/>
        <c:grouping val="clustered"/>
        <c:varyColors val="0"/>
        <c:ser>
          <c:idx val="0"/>
          <c:order val="0"/>
          <c:tx>
            <c:strRef>
              <c:f>Sheet1!$B$1</c:f>
              <c:strCache>
                <c:ptCount val="1"/>
                <c:pt idx="0">
                  <c:v>2024年</c:v>
                </c:pt>
              </c:strCache>
            </c:strRef>
          </c:tx>
          <c:spPr>
            <a:gradFill>
              <a:gsLst>
                <a:gs pos="0">
                  <a:schemeClr val="accent1"/>
                </a:gs>
                <a:gs pos="100000">
                  <a:schemeClr val="accent2"/>
                </a:gs>
              </a:gsLst>
              <a:lin ang="5400000" scaled="0"/>
            </a:gra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64.31</c:v>
                </c:pt>
                <c:pt idx="1">
                  <c:v>64.31</c:v>
                </c:pt>
              </c:numCache>
            </c:numRef>
          </c:val>
        </c:ser>
        <c:ser>
          <c:idx val="1"/>
          <c:order val="1"/>
          <c:tx>
            <c:strRef>
              <c:f>Sheet1!$C$1</c:f>
              <c:strCache>
                <c:ptCount val="1"/>
                <c:pt idx="0">
                  <c:v>2025年</c:v>
                </c:pt>
              </c:strCache>
            </c:strRef>
          </c:tx>
          <c:spPr>
            <a:gradFill>
              <a:gsLst>
                <a:gs pos="0">
                  <a:schemeClr val="accent3"/>
                </a:gs>
                <a:gs pos="100000">
                  <a:schemeClr val="accent4"/>
                </a:gs>
              </a:gsLst>
              <a:lin ang="5400000" scaled="0"/>
            </a:gra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68.97</c:v>
                </c:pt>
                <c:pt idx="1">
                  <c:v>68.97</c:v>
                </c:pt>
              </c:numCache>
            </c:numRef>
          </c:val>
        </c:ser>
        <c:dLbls>
          <c:showLegendKey val="0"/>
          <c:showVal val="0"/>
          <c:showCatName val="0"/>
          <c:showSerName val="0"/>
          <c:showPercent val="0"/>
          <c:showBubbleSize val="0"/>
        </c:dLbls>
        <c:gapWidth val="150"/>
        <c:overlap val="0"/>
        <c:axId val="929138332"/>
        <c:axId val="271072779"/>
      </c:barChart>
      <c:catAx>
        <c:axId val="929138332"/>
        <c:scaling>
          <c:orientation val="minMax"/>
        </c:scaling>
        <c:delete val="0"/>
        <c:axPos val="b"/>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1072779"/>
        <c:crosses val="autoZero"/>
        <c:auto val="1"/>
        <c:lblAlgn val="ctr"/>
        <c:lblOffset val="100"/>
        <c:noMultiLvlLbl val="0"/>
      </c:catAx>
      <c:valAx>
        <c:axId val="271072779"/>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929138332"/>
        <c:crosses val="autoZero"/>
        <c:crossBetween val="between"/>
      </c:valAx>
      <c:spPr>
        <a:noFill/>
        <a:ln w="6350">
          <a:solidFill>
            <a:schemeClr val="tx1">
              <a:lumMod val="50000"/>
              <a:lumOff val="50000"/>
              <a:alpha val="25000"/>
            </a:schemeClr>
          </a:solid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8257f872-70c6-43ed-a344-f1eb309cbe15}"/>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508093742449867"/>
          <c:y val="0.118572035699108"/>
          <c:w val="0.915728436820488"/>
          <c:h val="0.756778580535487"/>
        </c:manualLayout>
      </c:layout>
      <c:barChart>
        <c:barDir val="col"/>
        <c:grouping val="clustered"/>
        <c:varyColors val="0"/>
        <c:ser>
          <c:idx val="0"/>
          <c:order val="0"/>
          <c:tx>
            <c:strRef>
              <c:f>Sheet1!$B$1</c:f>
              <c:strCache>
                <c:ptCount val="1"/>
                <c:pt idx="0">
                  <c:v>2023年</c:v>
                </c:pt>
              </c:strCache>
            </c:strRef>
          </c:tx>
          <c:spPr>
            <a:gradFill>
              <a:gsLst>
                <a:gs pos="0">
                  <a:schemeClr val="accent1"/>
                </a:gs>
                <a:gs pos="100000">
                  <a:schemeClr val="accent2"/>
                </a:gs>
              </a:gsLst>
              <a:lin ang="5400000" scaled="0"/>
            </a:gra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57.28</c:v>
                </c:pt>
                <c:pt idx="1">
                  <c:v>57.28</c:v>
                </c:pt>
              </c:numCache>
            </c:numRef>
          </c:val>
        </c:ser>
        <c:ser>
          <c:idx val="1"/>
          <c:order val="1"/>
          <c:tx>
            <c:strRef>
              <c:f>Sheet1!$C$1</c:f>
              <c:strCache>
                <c:ptCount val="1"/>
                <c:pt idx="0">
                  <c:v>2024年</c:v>
                </c:pt>
              </c:strCache>
            </c:strRef>
          </c:tx>
          <c:spPr>
            <a:gradFill>
              <a:gsLst>
                <a:gs pos="0">
                  <a:schemeClr val="accent3"/>
                </a:gs>
                <a:gs pos="100000">
                  <a:schemeClr val="accent4"/>
                </a:gs>
              </a:gsLst>
              <a:lin ang="5400000" scaled="0"/>
            </a:gra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64.31</c:v>
                </c:pt>
                <c:pt idx="1">
                  <c:v>64.31</c:v>
                </c:pt>
              </c:numCache>
            </c:numRef>
          </c:val>
        </c:ser>
        <c:dLbls>
          <c:showLegendKey val="0"/>
          <c:showVal val="0"/>
          <c:showCatName val="0"/>
          <c:showSerName val="0"/>
          <c:showPercent val="0"/>
          <c:showBubbleSize val="0"/>
        </c:dLbls>
        <c:gapWidth val="150"/>
        <c:overlap val="0"/>
        <c:axId val="929138332"/>
        <c:axId val="271072779"/>
      </c:barChart>
      <c:catAx>
        <c:axId val="929138332"/>
        <c:scaling>
          <c:orientation val="minMax"/>
        </c:scaling>
        <c:delete val="0"/>
        <c:axPos val="b"/>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1072779"/>
        <c:crosses val="autoZero"/>
        <c:auto val="1"/>
        <c:lblAlgn val="ctr"/>
        <c:lblOffset val="100"/>
        <c:noMultiLvlLbl val="0"/>
      </c:catAx>
      <c:valAx>
        <c:axId val="271072779"/>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929138332"/>
        <c:crosses val="autoZero"/>
        <c:crossBetween val="between"/>
      </c:valAx>
      <c:spPr>
        <a:noFill/>
        <a:ln w="6350">
          <a:solidFill>
            <a:schemeClr val="tx1">
              <a:lumMod val="50000"/>
              <a:lumOff val="50000"/>
              <a:alpha val="25000"/>
            </a:schemeClr>
          </a:solid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08f1c0e2-99f0-46dc-bb26-9b833164be34}"/>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完成</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50.49</c:v>
                </c:pt>
                <c:pt idx="1">
                  <c:v>9.62</c:v>
                </c:pt>
                <c:pt idx="2">
                  <c:v>3.54</c:v>
                </c:pt>
                <c:pt idx="3">
                  <c:v>5.32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fc27998-da65-4e48-84fe-e7d834d44e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自定义 3">
    <a:dk1>
      <a:srgbClr val="000000"/>
    </a:dk1>
    <a:lt1>
      <a:srgbClr val="FFFFFF"/>
    </a:lt1>
    <a:dk2>
      <a:srgbClr val="44546A"/>
    </a:dk2>
    <a:lt2>
      <a:srgbClr val="E7E6E6"/>
    </a:lt2>
    <a:accent1>
      <a:srgbClr val="EE5796"/>
    </a:accent1>
    <a:accent2>
      <a:srgbClr val="F9B525"/>
    </a:accent2>
    <a:accent3>
      <a:srgbClr val="6D78FA"/>
    </a:accent3>
    <a:accent4>
      <a:srgbClr val="0EE2EF"/>
    </a:accent4>
    <a:accent5>
      <a:srgbClr val="93DE03"/>
    </a:accent5>
    <a:accent6>
      <a:srgbClr val="F5F80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4280</Words>
  <Characters>4626</Characters>
  <Lines>61</Lines>
  <Paragraphs>17</Paragraphs>
  <TotalTime>37</TotalTime>
  <ScaleCrop>false</ScaleCrop>
  <LinksUpToDate>false</LinksUpToDate>
  <CharactersWithSpaces>4743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向阳而行</cp:lastModifiedBy>
  <cp:lastPrinted>2025-08-07T17:34:00Z</cp:lastPrinted>
  <dcterms:modified xsi:type="dcterms:W3CDTF">2026-10-21T16:03:43Z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04787F2533EB45DC91BCDE4AB213247F</vt:lpwstr>
  </property>
  <property fmtid="{D5CDD505-2E9C-101B-9397-08002B2CF9AE}" pid="4" name="KSOTemplateDocerSaveRecord">
    <vt:lpwstr>eyJoZGlkIjoiMTYyYTg0ZWNmMDY5ZjQxM2Y0NGM3NjQ0N2RjYThmMTIiLCJ1c2VySWQiOiIxOTU2ODYzMDIifQ==</vt:lpwstr>
  </property>
</Properties>
</file>