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spacing w:beforeLines="0" w:before="30"/>
        <w:rPr>
          <w:rFonts w:ascii="Times New Roman" w:eastAsia="方正小标宋简体" w:hAnsi="Times New Roman"/>
          <w:kern w:val="2"/>
          <w:sz w:val="72"/>
          <w:szCs w:val="72"/>
        </w:rPr>
      </w:pPr>
      <w:bookmarkStart w:id="0" w:name="_Toc15378441"/>
      <w:bookmarkStart w:id="1" w:name="_Toc15377425"/>
      <w:bookmarkStart w:id="2" w:name="_Toc15306267"/>
      <w:bookmarkStart w:id="3" w:name="_Toc15396597"/>
      <w:bookmarkStart w:id="4" w:name="_Toc15396475"/>
      <w:bookmarkStart w:id="5" w:name="_Toc15377193"/>
    </w:p>
    <w:p>
      <w:pPr>
        <w:pStyle w:val="15"/>
        <w:spacing w:beforeLines="0" w:before="30"/>
        <w:rPr>
          <w:rFonts w:ascii="Times New Roman" w:eastAsia="方正小标宋简体" w:hAnsi="Times New Roman"/>
          <w:kern w:val="2"/>
          <w:sz w:val="72"/>
          <w:szCs w:val="72"/>
        </w:rPr>
      </w:pPr>
    </w:p>
    <w:p>
      <w:pPr>
        <w:spacing w:line="600" w:lineRule="exact"/>
        <w:rPr>
          <w:rFonts w:eastAsia="方正小标宋简体"/>
          <w:sz w:val="44"/>
          <w:szCs w:val="44"/>
        </w:rPr>
      </w:pPr>
      <w:r>
        <w:rPr>
          <w:rFonts w:eastAsia="方正小标宋简体" w:hint="eastAsia"/>
          <w:sz w:val="72"/>
          <w:szCs w:val="72"/>
        </w:rPr>
        <w:t xml:space="preserve"> </w:t>
      </w:r>
    </w:p>
    <w:p>
      <w:pPr>
        <w:pStyle w:val="15"/>
        <w:spacing w:beforeLines="0" w:before="30"/>
        <w:jc w:val="center"/>
        <w:rPr>
          <w:rFonts w:ascii="Times New Roman" w:eastAsia="方正小标宋简体" w:hAnsi="Times New Roman"/>
          <w:kern w:val="2"/>
          <w:sz w:val="44"/>
          <w:szCs w:val="44"/>
        </w:rPr>
      </w:pPr>
    </w:p>
    <w:p>
      <w:pPr>
        <w:pStyle w:val="15"/>
        <w:spacing w:beforeLines="0" w:before="30"/>
        <w:jc w:val="center"/>
        <w:rPr>
          <w:rFonts w:ascii="Times New Roman" w:eastAsia="方正小标宋简体" w:hAnsi="Times New Roman"/>
          <w:kern w:val="2"/>
          <w:sz w:val="44"/>
          <w:szCs w:val="44"/>
        </w:rPr>
      </w:pPr>
    </w:p>
    <w:p>
      <w:pPr>
        <w:adjustRightInd w:val="0"/>
        <w:snapToGrid w:val="0"/>
        <w:spacing w:line="360" w:lineRule="auto"/>
        <w:jc w:val="center"/>
        <w:outlineLvl w:val="0"/>
        <w:rPr>
          <w:rFonts w:ascii="方正小标宋简体" w:eastAsia="方正小标宋简体" w:cs="方正小标宋简体"/>
          <w:sz w:val="52"/>
          <w:szCs w:val="52"/>
        </w:rPr>
      </w:pPr>
      <w:bookmarkStart w:id="6" w:name="_Toc8041"/>
      <w:bookmarkStart w:id="7" w:name="_Toc399724425"/>
      <w:bookmarkEnd w:id="0"/>
      <w:bookmarkEnd w:id="1"/>
      <w:bookmarkEnd w:id="2"/>
      <w:bookmarkEnd w:id="3"/>
      <w:bookmarkEnd w:id="4"/>
      <w:bookmarkEnd w:id="5"/>
      <w:r>
        <w:rPr>
          <w:rFonts w:ascii="方正小标宋简体" w:eastAsia="方正小标宋简体" w:cs="方正小标宋简体" w:hint="eastAsia"/>
          <w:sz w:val="52"/>
          <w:szCs w:val="52"/>
        </w:rPr>
        <w:t>2025年度</w:t>
      </w:r>
      <w:bookmarkEnd w:id="6"/>
      <w:bookmarkEnd w:id="7"/>
    </w:p>
    <w:p>
      <w:pPr>
        <w:adjustRightInd w:val="0"/>
        <w:snapToGrid w:val="0"/>
        <w:spacing w:line="360" w:lineRule="auto"/>
        <w:jc w:val="center"/>
        <w:outlineLvl w:val="0"/>
        <w:rPr>
          <w:rFonts w:ascii="方正小标宋简体" w:eastAsia="方正小标宋简体"/>
          <w:sz w:val="52"/>
          <w:szCs w:val="52"/>
        </w:rPr>
      </w:pPr>
      <w:bookmarkStart w:id="8" w:name="_Toc15377426"/>
      <w:bookmarkStart w:id="9" w:name="_Toc15377194"/>
      <w:bookmarkStart w:id="10" w:name="_Toc1150060533"/>
      <w:bookmarkStart w:id="11" w:name="_Toc15306268"/>
      <w:bookmarkStart w:id="12" w:name="_Toc21750"/>
      <w:bookmarkStart w:id="13" w:name="_Toc15378442"/>
      <w:bookmarkStart w:id="14" w:name="_Toc15396476"/>
      <w:bookmarkStart w:id="15" w:name="_Toc15396598"/>
      <w:r>
        <w:rPr>
          <w:rFonts w:ascii="方正小标宋简体" w:eastAsia="方正小标宋简体" w:cs="方正小标宋简体" w:hint="eastAsia"/>
          <w:sz w:val="52"/>
          <w:szCs w:val="52"/>
        </w:rPr>
        <w:t>若尔盖县文化艺术界联合会决算</w:t>
      </w:r>
      <w:bookmarkEnd w:id="8"/>
      <w:bookmarkEnd w:id="9"/>
      <w:bookmarkEnd w:id="10"/>
      <w:bookmarkEnd w:id="11"/>
      <w:bookmarkEnd w:id="12"/>
      <w:bookmarkEnd w:id="13"/>
      <w:bookmarkEnd w:id="14"/>
      <w:bookmarkEnd w:id="15"/>
    </w:p>
    <w:p>
      <w:pPr>
        <w:widowControl/>
        <w:jc w:val="center"/>
        <w:rPr>
          <w:rFonts w:eastAsia="黑体"/>
          <w:sz w:val="48"/>
          <w:szCs w:val="48"/>
        </w:rPr>
        <w:sectPr>
          <w:headerReference w:type="default" r:id="rId2"/>
          <w:footerReference w:type="default" r:id="rId3"/>
          <w:footerReference w:type="first" r:id="rId4"/>
          <w:pgSz w:w="11906" w:h="16838"/>
          <w:pgMar w:top="1440" w:right="1800" w:bottom="1440" w:left="1800" w:header="851" w:footer="992" w:gutter="0"/>
          <w:pgNumType w:start="1"/>
          <w:docGrid w:type="lines" w:linePitch="312" w:charSpace="0"/>
        </w:sectPr>
      </w:pPr>
    </w:p>
    <w:p>
      <w:pPr>
        <w:widowControl/>
        <w:jc w:val="center"/>
        <w:rPr>
          <w:rFonts w:eastAsia="黑体"/>
          <w:sz w:val="48"/>
          <w:szCs w:val="48"/>
        </w:rPr>
      </w:pPr>
      <w:r>
        <w:rPr>
          <w:rFonts w:eastAsia="黑体" w:hint="eastAsia"/>
          <w:sz w:val="48"/>
          <w:szCs w:val="48"/>
        </w:rPr>
        <w:t>目录</w:t>
      </w:r>
    </w:p>
    <w:p>
      <w:pPr>
        <w:pStyle w:val="22"/>
        <w:tabs>
          <w:tab w:val="right" w:leader="dot" w:pos="8296"/>
        </w:tabs>
        <w:rPr>
          <w:rFonts w:ascii="Times New Roman" w:eastAsia="仿宋_GB2312" w:cs="仿宋_GB2312" w:hAnsi="Times New Roman"/>
          <w:sz w:val="32"/>
          <w:szCs w:val="32"/>
        </w:rPr>
      </w:pPr>
      <w:r>
        <w:rPr>
          <w:rFonts w:ascii="Times New Roman" w:eastAsia="仿宋_GB2312" w:cs="仿宋_GB2312" w:hAnsi="Times New Roman" w:hint="eastAsia"/>
          <w:sz w:val="32"/>
          <w:szCs w:val="32"/>
        </w:rPr>
        <w:t>公开时间：2026年 10月10日</w:t>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TOC \o "1-2" \h \u </w:instrText>
      </w:r>
      <w:r>
        <w:rPr>
          <w:rFonts w:ascii="方正仿宋_GBK" w:eastAsia="方正仿宋_GBK" w:cs="方正仿宋_GBK" w:hint="eastAsia"/>
          <w:sz w:val="32"/>
          <w:szCs w:val="32"/>
        </w:rPr>
        <w:fldChar w:fldCharType="separate"/>
      </w:r>
    </w:p>
    <w:p>
      <w:pPr>
        <w:pStyle w:val="36"/>
        <w:tabs>
          <w:tab w:val="right" w:leader="hyphen" w:pos="8306"/>
        </w:tabs>
        <w:rPr>
          <w:rFonts w:ascii="方正仿宋_GBK" w:eastAsia="方正仿宋_GBK" w:cs="方正仿宋_GBK"/>
          <w:b/>
          <w:sz w:val="32"/>
          <w:szCs w:val="32"/>
        </w:rPr>
      </w:pPr>
      <w:r>
        <w:fldChar w:fldCharType="begin"/>
      </w:r>
      <w:r>
        <w:instrText>Hyperlink \l "_Toc1852125873"</w:instrText>
      </w:r>
      <w:r>
        <w:fldChar w:fldCharType="separate"/>
      </w:r>
      <w:r>
        <w:rPr>
          <w:rFonts w:ascii="方正仿宋_GBK" w:eastAsia="方正仿宋_GBK" w:cs="方正仿宋_GBK" w:hint="eastAsia"/>
          <w:b/>
          <w:sz w:val="32"/>
          <w:szCs w:val="32"/>
        </w:rPr>
        <w:t>第一部分 单位概况</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_Toc1852125873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3</w:t>
      </w:r>
      <w:r>
        <w:rPr>
          <w:rFonts w:ascii="方正仿宋_GBK" w:eastAsia="方正仿宋_GBK" w:cs="方正仿宋_GBK" w:hint="eastAsia"/>
          <w:b/>
          <w:sz w:val="32"/>
          <w:szCs w:val="32"/>
        </w:rPr>
        <w:fldChar w:fldCharType="end"/>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"_Toc508848659"</w:instrText>
      </w:r>
      <w:r>
        <w:fldChar w:fldCharType="separate"/>
      </w:r>
      <w:r>
        <w:rPr>
          <w:rFonts w:ascii="方正仿宋_GBK" w:eastAsia="方正仿宋_GBK" w:cs="方正仿宋_GBK" w:hint="eastAsia"/>
          <w:sz w:val="32"/>
          <w:szCs w:val="32"/>
        </w:rPr>
        <w:t>一、 部门职责</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_Toc508848659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3</w:t>
      </w:r>
      <w:r>
        <w:rPr>
          <w:rFonts w:ascii="方正仿宋_GBK" w:eastAsia="方正仿宋_GBK" w:cs="方正仿宋_GBK" w:hint="eastAsia"/>
          <w:sz w:val="32"/>
          <w:szCs w:val="32"/>
        </w:rPr>
        <w:fldChar w:fldCharType="end"/>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"_Toc337130228"</w:instrText>
      </w:r>
      <w:r>
        <w:fldChar w:fldCharType="separate"/>
      </w:r>
      <w:r>
        <w:rPr>
          <w:rFonts w:ascii="方正仿宋_GBK" w:eastAsia="方正仿宋_GBK" w:cs="方正仿宋_GBK" w:hint="eastAsia"/>
          <w:sz w:val="32"/>
          <w:szCs w:val="32"/>
        </w:rPr>
        <w:t>二、机构设置</w:t>
        <w:tab/>
        <w:t>3</w:t>
      </w:r>
      <w:r>
        <w:fldChar w:fldCharType="end"/>
      </w:r>
    </w:p>
    <w:p>
      <w:pPr>
        <w:pStyle w:val="36"/>
        <w:tabs>
          <w:tab w:val="right" w:leader="hyphen" w:pos="8306"/>
        </w:tabs>
        <w:rPr>
          <w:rFonts w:ascii="方正仿宋_GBK" w:eastAsia="方正仿宋_GBK" w:cs="方正仿宋_GBK"/>
          <w:b/>
          <w:sz w:val="32"/>
          <w:szCs w:val="32"/>
        </w:rPr>
      </w:pPr>
      <w:r>
        <w:fldChar w:fldCharType="begin"/>
      </w:r>
      <w:r>
        <w:instrText>Hyperlink \l "_Toc1724937170"</w:instrText>
      </w:r>
      <w:r>
        <w:fldChar w:fldCharType="separate"/>
      </w:r>
      <w:r>
        <w:rPr>
          <w:rFonts w:ascii="方正仿宋_GBK" w:eastAsia="方正仿宋_GBK" w:cs="方正仿宋_GBK" w:hint="eastAsia"/>
          <w:b/>
          <w:sz w:val="32"/>
          <w:szCs w:val="32"/>
        </w:rPr>
        <w:t>第二部分  2025年度单位决算情况说明</w:t>
        <w:tab/>
        <w:t>4</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"_Toc284544024"</w:instrText>
      </w:r>
      <w:r>
        <w:fldChar w:fldCharType="separate"/>
      </w:r>
      <w:r>
        <w:rPr>
          <w:rFonts w:ascii="方正仿宋_GBK" w:eastAsia="方正仿宋_GBK" w:cs="方正仿宋_GBK" w:hint="eastAsia"/>
          <w:sz w:val="32"/>
          <w:szCs w:val="32"/>
        </w:rPr>
        <w:t>一、收入支出决算总体情况说明</w:t>
        <w:tab/>
        <w:t>4</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"_Toc1569585654"</w:instrText>
      </w:r>
      <w:r>
        <w:fldChar w:fldCharType="separate"/>
      </w:r>
      <w:r>
        <w:rPr>
          <w:rFonts w:ascii="方正仿宋_GBK" w:eastAsia="方正仿宋_GBK" w:cs="方正仿宋_GBK" w:hint="eastAsia"/>
          <w:sz w:val="32"/>
          <w:szCs w:val="32"/>
        </w:rPr>
        <w:t>二、收入决算情况说明</w:t>
        <w:tab/>
        <w:t>4</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"_Toc779074901"</w:instrText>
      </w:r>
      <w:r>
        <w:fldChar w:fldCharType="separate"/>
      </w:r>
      <w:r>
        <w:rPr>
          <w:rFonts w:ascii="方正仿宋_GBK" w:eastAsia="方正仿宋_GBK" w:cs="方正仿宋_GBK" w:hint="eastAsia"/>
          <w:sz w:val="32"/>
          <w:szCs w:val="32"/>
        </w:rPr>
        <w:t>三、支出决算情况说明</w:t>
        <w:tab/>
        <w:t>5</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"_Toc1285589482"</w:instrText>
      </w:r>
      <w:r>
        <w:fldChar w:fldCharType="separate"/>
      </w:r>
      <w:r>
        <w:rPr>
          <w:rFonts w:ascii="方正仿宋_GBK" w:eastAsia="方正仿宋_GBK" w:cs="方正仿宋_GBK" w:hint="eastAsia"/>
          <w:sz w:val="32"/>
          <w:szCs w:val="32"/>
        </w:rPr>
        <w:t>四、财政拨款收入支出决算总体情况说明</w:t>
        <w:tab/>
        <w:t>5</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"_Toc1131010397"</w:instrText>
      </w:r>
      <w:r>
        <w:fldChar w:fldCharType="separate"/>
      </w:r>
      <w:r>
        <w:rPr>
          <w:rFonts w:ascii="方正仿宋_GBK" w:eastAsia="方正仿宋_GBK" w:cs="方正仿宋_GBK" w:hint="eastAsia"/>
          <w:sz w:val="32"/>
          <w:szCs w:val="32"/>
        </w:rPr>
        <w:t>五、一般公共预算财政拨款支出决算情况说明</w:t>
        <w:tab/>
        <w:t>6</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"_Toc905956070"</w:instrText>
      </w:r>
      <w:r>
        <w:fldChar w:fldCharType="separate"/>
      </w:r>
      <w:r>
        <w:rPr>
          <w:rFonts w:ascii="方正仿宋_GBK" w:eastAsia="方正仿宋_GBK" w:cs="方正仿宋_GBK" w:hint="eastAsia"/>
          <w:sz w:val="32"/>
          <w:szCs w:val="32"/>
        </w:rPr>
        <w:t>六、一般公共预算财政拨款基本支出决算情况说明</w:t>
        <w:tab/>
        <w:t>8</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"_Toc1412895818"</w:instrText>
      </w:r>
      <w:r>
        <w:fldChar w:fldCharType="separate"/>
      </w:r>
      <w:r>
        <w:rPr>
          <w:rFonts w:ascii="方正仿宋_GBK" w:eastAsia="方正仿宋_GBK" w:cs="方正仿宋_GBK" w:hint="eastAsia"/>
          <w:sz w:val="32"/>
          <w:szCs w:val="32"/>
        </w:rPr>
        <w:t>七、财政拨款“三公”经费支出决算情况说明</w:t>
        <w:tab/>
        <w:t>9</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"_Toc1780642564"</w:instrText>
      </w:r>
      <w:r>
        <w:fldChar w:fldCharType="separate"/>
      </w:r>
      <w:r>
        <w:rPr>
          <w:rFonts w:ascii="方正仿宋_GBK" w:eastAsia="方正仿宋_GBK" w:cs="方正仿宋_GBK" w:hint="eastAsia"/>
          <w:sz w:val="32"/>
          <w:szCs w:val="32"/>
        </w:rPr>
        <w:t>八、政府性基金预算支出决算情况说明</w:t>
        <w:tab/>
        <w:t>1</w:t>
      </w:r>
      <w:r>
        <w:fldChar w:fldCharType="end"/>
      </w:r>
      <w:r>
        <w:rPr>
          <w:rFonts w:ascii="方正仿宋_GBK" w:eastAsia="方正仿宋_GBK" w:cs="方正仿宋_GBK" w:hint="eastAsia"/>
          <w:sz w:val="32"/>
          <w:szCs w:val="32"/>
        </w:rPr>
        <w:t>0</w:t>
      </w:r>
    </w:p>
    <w:p>
      <w:pPr>
        <w:pStyle w:val="37"/>
        <w:tabs>
          <w:tab w:val="right" w:leader="hyphen" w:pos="8306"/>
        </w:tabs>
        <w:rPr>
          <w:rFonts w:ascii="方正仿宋_GBK" w:eastAsia="方正仿宋_GBK" w:cs="方正仿宋_GBK"/>
          <w:sz w:val="32"/>
          <w:szCs w:val="32"/>
        </w:rPr>
      </w:pPr>
      <w:r>
        <w:fldChar w:fldCharType="begin"/>
      </w:r>
      <w:r>
        <w:instrText>Hyperlink \l "_Toc1742046299"</w:instrText>
      </w:r>
      <w:r>
        <w:fldChar w:fldCharType="separate"/>
      </w:r>
      <w:r>
        <w:rPr>
          <w:rFonts w:ascii="方正仿宋_GBK" w:eastAsia="方正仿宋_GBK" w:cs="方正仿宋_GBK" w:hint="eastAsia"/>
          <w:sz w:val="32"/>
          <w:szCs w:val="32"/>
        </w:rPr>
        <w:t>九、国有资本经营预算支出决算情况说明</w:t>
        <w:tab/>
        <w:t>10</w:t>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"_Toc1023446929"</w:instrText>
      </w:r>
      <w:r>
        <w:fldChar w:fldCharType="separate"/>
      </w:r>
      <w:r>
        <w:rPr>
          <w:rFonts w:ascii="方正仿宋_GBK" w:eastAsia="方正仿宋_GBK" w:cs="方正仿宋_GBK" w:hint="eastAsia"/>
          <w:sz w:val="32"/>
          <w:szCs w:val="32"/>
        </w:rPr>
        <w:t>十、其他重要事项的情况说明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_Toc1023446929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11</w:t>
      </w:r>
      <w:r>
        <w:rPr>
          <w:rFonts w:ascii="方正仿宋_GBK" w:eastAsia="方正仿宋_GBK" w:cs="方正仿宋_GBK" w:hint="eastAsia"/>
          <w:sz w:val="32"/>
          <w:szCs w:val="32"/>
        </w:rPr>
        <w:fldChar w:fldCharType="end"/>
      </w:r>
      <w:r>
        <w:fldChar w:fldCharType="end"/>
      </w:r>
    </w:p>
    <w:p>
      <w:pPr>
        <w:pStyle w:val="36"/>
        <w:tabs>
          <w:tab w:val="right" w:leader="hyphen" w:pos="8306"/>
        </w:tabs>
        <w:rPr>
          <w:rFonts w:ascii="方正仿宋_GBK" w:eastAsia="方正仿宋_GBK" w:cs="方正仿宋_GBK"/>
          <w:b/>
          <w:sz w:val="32"/>
          <w:szCs w:val="32"/>
        </w:rPr>
      </w:pPr>
      <w:r>
        <w:fldChar w:fldCharType="begin"/>
      </w:r>
      <w:r>
        <w:instrText>Hyperlink \l "_Toc816001885"</w:instrText>
      </w:r>
      <w:r>
        <w:fldChar w:fldCharType="separate"/>
      </w:r>
      <w:r>
        <w:rPr>
          <w:rFonts w:ascii="方正仿宋_GBK" w:eastAsia="方正仿宋_GBK" w:cs="方正仿宋_GBK" w:hint="eastAsia"/>
          <w:b/>
          <w:sz w:val="32"/>
          <w:szCs w:val="32"/>
        </w:rPr>
        <w:t>第三部分  名词解释</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_Toc816001885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12</w:t>
      </w:r>
      <w:r>
        <w:rPr>
          <w:rFonts w:ascii="方正仿宋_GBK" w:eastAsia="方正仿宋_GBK" w:cs="方正仿宋_GBK" w:hint="eastAsia"/>
          <w:b/>
          <w:sz w:val="32"/>
          <w:szCs w:val="32"/>
        </w:rPr>
        <w:fldChar w:fldCharType="end"/>
      </w:r>
      <w:r>
        <w:fldChar w:fldCharType="end"/>
      </w:r>
    </w:p>
    <w:p>
      <w:pPr>
        <w:pStyle w:val="36"/>
        <w:tabs>
          <w:tab w:val="right" w:leader="hyphen" w:pos="8306"/>
        </w:tabs>
        <w:rPr>
          <w:rFonts w:ascii="方正仿宋_GBK" w:eastAsia="方正仿宋_GBK" w:cs="方正仿宋_GBK"/>
          <w:sz w:val="32"/>
          <w:szCs w:val="32"/>
        </w:rPr>
      </w:pPr>
      <w:r>
        <w:fldChar w:fldCharType="begin"/>
      </w:r>
      <w:r>
        <w:instrText>Hyperlink \l "_Toc377528193"</w:instrText>
      </w:r>
      <w:r>
        <w:fldChar w:fldCharType="separate"/>
      </w:r>
      <w:r>
        <w:rPr>
          <w:rFonts w:ascii="方正仿宋_GBK" w:eastAsia="方正仿宋_GBK" w:cs="方正仿宋_GBK" w:hint="eastAsia"/>
          <w:b/>
          <w:sz w:val="32"/>
          <w:szCs w:val="32"/>
        </w:rPr>
        <w:t>第四部分  附件</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_Toc377528193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14</w:t>
      </w:r>
      <w:r>
        <w:rPr>
          <w:rFonts w:ascii="方正仿宋_GBK" w:eastAsia="方正仿宋_GBK" w:cs="方正仿宋_GBK" w:hint="eastAsia"/>
          <w:b/>
          <w:sz w:val="32"/>
          <w:szCs w:val="32"/>
        </w:rPr>
        <w:fldChar w:fldCharType="end"/>
      </w:r>
      <w:r>
        <w:fldChar w:fldCharType="end"/>
      </w:r>
    </w:p>
    <w:p>
      <w:pPr>
        <w:pStyle w:val="36"/>
        <w:tabs>
          <w:tab w:val="right" w:leader="hyphen" w:pos="8306"/>
        </w:tabs>
        <w:rPr>
          <w:rFonts w:ascii="方正仿宋_GBK" w:eastAsia="方正仿宋_GBK" w:cs="方正仿宋_GBK"/>
          <w:b/>
          <w:sz w:val="32"/>
          <w:szCs w:val="32"/>
        </w:rPr>
      </w:pPr>
      <w:r>
        <w:fldChar w:fldCharType="begin"/>
      </w:r>
      <w:r>
        <w:instrText>Hyperlink \l "_Toc1464277687"</w:instrText>
      </w:r>
      <w:r>
        <w:fldChar w:fldCharType="separate"/>
      </w:r>
      <w:r>
        <w:rPr>
          <w:rFonts w:ascii="方正仿宋_GBK" w:eastAsia="方正仿宋_GBK" w:cs="方正仿宋_GBK" w:hint="eastAsia"/>
          <w:b/>
          <w:sz w:val="32"/>
          <w:szCs w:val="32"/>
        </w:rPr>
        <w:t>第五部分 附表</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r>
        <w:fldChar w:fldCharType="end"/>
      </w:r>
    </w:p>
    <w:p>
      <w:pPr>
        <w:pStyle w:val="24"/>
        <w:tabs>
          <w:tab w:val="right" w:leader="dot" w:pos="8296"/>
        </w:tabs>
        <w:adjustRightInd w:val="0"/>
        <w:snapToGrid w:val="0"/>
        <w:spacing w:line="560" w:lineRule="exact"/>
        <w:ind w:leftChars="0" w:left="0"/>
        <w:jc w:val="left"/>
        <w:rPr>
          <w:rFonts w:ascii="宋体"/>
          <w:b/>
        </w:rPr>
      </w:pP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rFonts w:ascii="方正仿宋_GBK" w:eastAsia="方正仿宋_GBK" w:cs="方正仿宋_GBK" w:hint="eastAsia"/>
          <w:b/>
          <w:sz w:val="32"/>
          <w:szCs w:val="32"/>
        </w:rPr>
        <w:tab/>
        <w:t>15</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rFonts w:ascii="方正仿宋_GBK" w:eastAsia="方正仿宋_GBK" w:cs="方正仿宋_GBK" w:hint="eastAsia"/>
          <w:b/>
          <w:sz w:val="32"/>
          <w:szCs w:val="32"/>
        </w:rPr>
        <w:tab/>
        <w:t>15</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rFonts w:ascii="方正仿宋_GBK" w:eastAsia="方正仿宋_GBK" w:cs="方正仿宋_GBK" w:hint="eastAsia"/>
          <w:b/>
          <w:sz w:val="32"/>
          <w:szCs w:val="32"/>
        </w:rPr>
        <w:tab/>
        <w:t>15</w:t>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_Toc1464277687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w:t>
      </w:r>
      <w:r>
        <w:rPr>
          <w:rFonts w:ascii="方正仿宋_GBK" w:eastAsia="方正仿宋_GBK" w:cs="方正仿宋_GBK" w:hint="eastAsia"/>
          <w:b/>
          <w:sz w:val="32"/>
          <w:szCs w:val="32"/>
        </w:rPr>
        <w:fldChar w:fldCharType="end"/>
      </w:r>
    </w:p>
    <w:p>
      <w:pPr>
        <w:pStyle w:val="1"/>
        <w:jc w:val="center"/>
        <w:rPr>
          <w:rFonts w:eastAsia="方正小标宋简体" w:cs="方正小标宋简体"/>
          <w:b w:val="0"/>
        </w:rPr>
      </w:pPr>
      <w:bookmarkStart w:id="16" w:name="_Toc15377196"/>
      <w:bookmarkStart w:id="17" w:name="_Toc15396599"/>
    </w:p>
    <w:p>
      <w:pPr>
        <w:pStyle w:val="1"/>
        <w:jc w:val="center"/>
        <w:rPr>
          <w:rFonts w:eastAsia="方正小标宋简体" w:cs="方正小标宋简体"/>
          <w:b w:val="0"/>
        </w:rPr>
      </w:pPr>
    </w:p>
    <w:p>
      <w:pPr>
        <w:pStyle w:val="1"/>
        <w:rPr>
          <w:rFonts w:eastAsia="方正小标宋简体" w:cs="方正小标宋简体"/>
          <w:b w:val="0"/>
        </w:rPr>
      </w:pPr>
    </w:p>
    <w:p>
      <w:pPr>
        <w:pStyle w:val="1"/>
        <w:ind w:firstLineChars="400" w:firstLine="1760"/>
        <w:rPr>
          <w:rFonts w:eastAsia="方正小标宋简体" w:cs="方正小标宋简体"/>
          <w:b w:val="0"/>
        </w:rPr>
      </w:pPr>
    </w:p>
    <w:p>
      <w:pPr>
        <w:rPr>
          <w:rFonts w:eastAsia="方正小标宋简体" w:cs="方正小标宋简体"/>
        </w:rPr>
      </w:pPr>
    </w:p>
    <w:p>
      <w:pPr>
        <w:pStyle w:val="15"/>
        <w:spacing w:beforeLines="0" w:before="93"/>
      </w:pPr>
    </w:p>
    <w:p>
      <w:pPr>
        <w:jc w:val="center"/>
      </w:pPr>
    </w:p>
    <w:p>
      <w:pPr>
        <w:pStyle w:val="1"/>
        <w:spacing w:line="560" w:lineRule="exact"/>
        <w:ind w:firstLineChars="400" w:firstLine="1760"/>
        <w:rPr>
          <w:rFonts w:eastAsia="黑体"/>
          <w:sz w:val="32"/>
          <w:szCs w:val="32"/>
        </w:rPr>
      </w:pPr>
      <w:bookmarkStart w:id="18" w:name="_Toc1852125873"/>
      <w:r>
        <w:rPr>
          <w:rFonts w:eastAsia="方正小标宋简体" w:cs="方正小标宋简体" w:hint="eastAsia"/>
          <w:b w:val="0"/>
        </w:rPr>
        <w:t xml:space="preserve">第一部分  </w:t>
      </w:r>
      <w:r>
        <w:rPr>
          <w:rStyle w:val="1Char"/>
          <w:rFonts w:eastAsia="方正小标宋简体" w:cs="方正小标宋简体" w:hint="eastAsia"/>
        </w:rPr>
        <w:t>单位概况</w:t>
      </w:r>
      <w:bookmarkEnd w:id="16"/>
      <w:bookmarkEnd w:id="17"/>
      <w:bookmarkEnd w:id="18"/>
    </w:p>
    <w:p>
      <w:pPr>
        <w:pStyle w:val="2"/>
        <w:numPr>
          <w:ilvl w:val="0"/>
          <w:numId w:val="1"/>
        </w:numPr>
        <w:spacing w:line="560" w:lineRule="exact"/>
        <w:rPr>
          <w:rFonts w:ascii="Times New Roman" w:eastAsia="黑体" w:hAnsi="Times New Roman"/>
          <w:b w:val="0"/>
        </w:rPr>
      </w:pPr>
      <w:bookmarkStart w:id="19" w:name="_Toc508848659"/>
      <w:r>
        <w:rPr>
          <w:rFonts w:ascii="Times New Roman" w:eastAsia="黑体" w:hAnsi="Times New Roman" w:hint="eastAsia"/>
          <w:b w:val="0"/>
        </w:rPr>
        <w:t>单位职责</w:t>
      </w:r>
      <w:bookmarkEnd w:id="19"/>
    </w:p>
    <w:p>
      <w:pPr>
        <w:spacing w:line="560" w:lineRule="exact"/>
        <w:ind w:firstLineChars="200" w:firstLine="640"/>
      </w:pPr>
      <w:r>
        <w:rPr>
          <w:rFonts w:ascii="仿宋" w:eastAsia="仿宋" w:hint="eastAsia"/>
          <w:sz w:val="32"/>
          <w:szCs w:val="32"/>
        </w:rPr>
        <w:t>贯彻落实党的文艺方针，开展对县级文学艺术家协会的联络、协调、指导、服务工作，听取和反映文艺界的情况和意见；2.组织召开全县文</w:t>
      </w:r>
      <w:r>
        <w:rPr>
          <w:rFonts w:ascii="仿宋" w:eastAsia="仿宋"/>
          <w:sz w:val="32"/>
          <w:szCs w:val="32"/>
        </w:rPr>
        <w:t>化</w:t>
      </w:r>
      <w:r>
        <w:rPr>
          <w:rFonts w:ascii="仿宋" w:eastAsia="仿宋" w:hint="eastAsia"/>
          <w:sz w:val="32"/>
          <w:szCs w:val="32"/>
        </w:rPr>
        <w:t>艺术界代表大会，组织和管理全县文联系统的各文艺家协会，推动文艺的繁荣；3.组织团体会员开展文艺创作、文艺评论、学术交流、人才培训和调研工作，主办和协同有关部门组织文艺活动和文艺评奖</w:t>
      </w:r>
    </w:p>
    <w:p>
      <w:pPr>
        <w:pStyle w:val="2"/>
        <w:spacing w:line="560" w:lineRule="exact"/>
        <w:rPr>
          <w:rStyle w:val="2Char"/>
          <w:rFonts w:ascii="Times New Roman" w:hAnsi="Times New Roman"/>
        </w:rPr>
      </w:pPr>
      <w:bookmarkStart w:id="20" w:name="_Toc337130228"/>
      <w:bookmarkStart w:id="21" w:name="_Toc15377200"/>
      <w:bookmarkStart w:id="22" w:name="_Toc15396601"/>
      <w:r>
        <w:rPr>
          <w:rFonts w:ascii="Times New Roman" w:eastAsia="黑体" w:hAnsi="Times New Roman" w:hint="eastAsia"/>
          <w:b w:val="0"/>
        </w:rPr>
        <w:t>二、机</w:t>
      </w:r>
      <w:r>
        <w:rPr>
          <w:rStyle w:val="2Char"/>
          <w:rFonts w:ascii="Times New Roman" w:eastAsia="黑体" w:hAnsi="Times New Roman" w:hint="eastAsia"/>
        </w:rPr>
        <w:t>构设置</w:t>
      </w:r>
      <w:bookmarkEnd w:id="20"/>
      <w:bookmarkEnd w:id="21"/>
      <w:bookmarkEnd w:id="22"/>
    </w:p>
    <w:p>
      <w:pPr>
        <w:spacing w:line="560" w:lineRule="exact"/>
        <w:ind w:firstLineChars="200" w:firstLine="640"/>
        <w:rPr>
          <w:rFonts w:ascii="仿宋" w:eastAsia="仿宋"/>
          <w:sz w:val="32"/>
          <w:szCs w:val="32"/>
        </w:rPr>
      </w:pPr>
      <w:r>
        <w:rPr>
          <w:rFonts w:ascii="仿宋" w:eastAsia="仿宋" w:hint="eastAsia"/>
          <w:sz w:val="32"/>
          <w:szCs w:val="32"/>
        </w:rPr>
        <w:t>宣传部下属二级单位3个，其中行政单位1个，参照公务员法管理的事业单位0个，其他事业单位2个。部门独立核算机构为1个</w:t>
      </w:r>
      <w:r>
        <w:rPr>
          <w:rFonts w:ascii="仿宋_GB2312" w:eastAsia="仿宋_GB2312" w:hint="eastAsia"/>
          <w:sz w:val="32"/>
          <w:szCs w:val="32"/>
        </w:rPr>
        <w:t>，其中：行政机构编制数为1个,事业管理机构编制数为2个,事业和行政共用一个机构代码，归行政机构统一管理。</w:t>
      </w:r>
      <w:r>
        <w:rPr>
          <w:rFonts w:ascii="仿宋" w:eastAsia="仿宋" w:hint="eastAsia"/>
          <w:sz w:val="32"/>
          <w:szCs w:val="32"/>
        </w:rPr>
        <w:t>机构情况，当年机构无变动。</w:t>
      </w:r>
    </w:p>
    <w:p>
      <w:pPr>
        <w:pStyle w:val="15"/>
        <w:adjustRightInd w:val="0"/>
        <w:snapToGrid w:val="0"/>
        <w:spacing w:beforeLines="0" w:before="30" w:line="560" w:lineRule="exact"/>
        <w:ind w:firstLineChars="208" w:firstLine="666"/>
        <w:rPr>
          <w:rFonts w:ascii="仿宋" w:eastAsia="仿宋"/>
          <w:sz w:val="32"/>
          <w:szCs w:val="32"/>
        </w:rPr>
      </w:pPr>
      <w:r>
        <w:rPr>
          <w:rFonts w:ascii="仿宋" w:eastAsia="仿宋" w:hint="eastAsia"/>
          <w:color w:val="000000"/>
          <w:sz w:val="32"/>
          <w:szCs w:val="32"/>
        </w:rPr>
        <w:t>纳入宣传部2025年度部门决算编制范围的二级预算单位包括：</w:t>
      </w:r>
      <w:bookmarkStart w:id="23" w:name="_Toc79163608"/>
      <w:bookmarkStart w:id="24" w:name="_Toc79163858"/>
    </w:p>
    <w:p>
      <w:pPr>
        <w:spacing w:line="560" w:lineRule="exact"/>
        <w:ind w:firstLineChars="200" w:firstLine="640"/>
        <w:rPr>
          <w:rFonts w:eastAsia="仿宋"/>
          <w:kern w:val="0"/>
          <w:sz w:val="32"/>
          <w:szCs w:val="32"/>
        </w:rPr>
      </w:pPr>
      <w:bookmarkEnd w:id="23"/>
      <w:bookmarkEnd w:id="24"/>
      <w:r>
        <w:rPr>
          <w:rFonts w:ascii="仿宋" w:eastAsia="仿宋" w:hint="eastAsia"/>
          <w:color w:val="000000"/>
          <w:sz w:val="32"/>
          <w:szCs w:val="32"/>
        </w:rPr>
        <w:t>县文化艺术界联合会</w:t>
      </w:r>
      <w:r>
        <w:rPr>
          <w:rFonts w:ascii="仿宋" w:eastAsia="仿宋" w:hint="eastAsia"/>
          <w:sz w:val="32"/>
          <w:szCs w:val="32"/>
        </w:rPr>
        <w:t>事业编制4名，其中在职人员4人，较上年增加1人，主要原因是人员调进。</w:t>
      </w:r>
      <w:r>
        <w:rPr>
          <w:rFonts w:eastAsia="仿宋"/>
          <w:sz w:val="32"/>
          <w:szCs w:val="32"/>
        </w:rPr>
        <w:br w:type="page"/>
      </w:r>
    </w:p>
    <w:p>
      <w:pPr>
        <w:pStyle w:val="1"/>
        <w:jc w:val="center"/>
      </w:pPr>
      <w:bookmarkStart w:id="25" w:name="_Toc15396602"/>
      <w:bookmarkStart w:id="26" w:name="_Toc15377204"/>
      <w:bookmarkStart w:id="27" w:name="_Toc1724937170"/>
      <w:r>
        <w:rPr>
          <w:rFonts w:eastAsia="方正小标宋简体" w:cs="方正小标宋简体" w:hint="eastAsia"/>
          <w:b w:val="0"/>
        </w:rPr>
        <w:t>第二部分  2025年度单位决算情况说明</w:t>
      </w:r>
      <w:bookmarkEnd w:id="25"/>
      <w:bookmarkEnd w:id="26"/>
      <w:bookmarkEnd w:id="27"/>
    </w:p>
    <w:p>
      <w:pPr>
        <w:pStyle w:val="32"/>
        <w:spacing w:line="600" w:lineRule="exact"/>
        <w:outlineLvl w:val="1"/>
        <w:rPr>
          <w:rStyle w:val="2Char"/>
          <w:rFonts w:ascii="Times New Roman" w:eastAsia="黑体" w:hAnsi="Times New Roman"/>
          <w:b w:val="0"/>
        </w:rPr>
      </w:pPr>
      <w:bookmarkStart w:id="28" w:name="_Toc15377205"/>
      <w:bookmarkStart w:id="29" w:name="_Toc15396603"/>
      <w:bookmarkStart w:id="30" w:name="_Toc284544024"/>
      <w:r>
        <w:rPr>
          <w:rFonts w:eastAsia="黑体" w:hint="eastAsia"/>
          <w:sz w:val="32"/>
          <w:szCs w:val="32"/>
        </w:rPr>
        <w:t>一、收</w:t>
      </w:r>
      <w:r>
        <w:rPr>
          <w:rStyle w:val="2Char"/>
          <w:rFonts w:ascii="Times New Roman" w:eastAsia="黑体" w:hAnsi="Times New Roman" w:hint="eastAsia"/>
          <w:b w:val="0"/>
        </w:rPr>
        <w:t>入支出决算总体情况说明</w:t>
      </w:r>
      <w:bookmarkEnd w:id="28"/>
      <w:bookmarkEnd w:id="29"/>
      <w:bookmarkEnd w:id="30"/>
    </w:p>
    <w:p>
      <w:pPr>
        <w:pStyle w:val="32"/>
        <w:spacing w:line="600" w:lineRule="exact"/>
        <w:outlineLvl w:val="1"/>
        <w:rPr>
          <w:rFonts w:eastAsia="仿宋_GB2312" w:cs="仿宋_GB2312"/>
          <w:sz w:val="32"/>
          <w:szCs w:val="32"/>
        </w:rPr>
      </w:pPr>
      <w:bookmarkStart w:id="31" w:name="_Toc1905947109"/>
      <w:r>
        <w:rPr>
          <w:rFonts w:eastAsia="仿宋_GB2312" w:cs="仿宋_GB2312" w:hint="eastAsia"/>
          <w:sz w:val="32"/>
          <w:szCs w:val="32"/>
        </w:rPr>
        <w:t>2025年度收入、支出总计均为</w:t>
      </w:r>
      <w:r>
        <w:rPr>
          <w:rFonts w:ascii="仿宋_GB2312" w:eastAsia="仿宋_GB2312" w:cs="仿宋_GB2312" w:hint="eastAsia"/>
          <w:sz w:val="32"/>
          <w:szCs w:val="32"/>
        </w:rPr>
        <w:t>92.68</w:t>
      </w:r>
      <w:r>
        <w:rPr>
          <w:rFonts w:eastAsia="仿宋_GB2312" w:cs="仿宋_GB2312" w:hint="eastAsia"/>
          <w:sz w:val="32"/>
          <w:szCs w:val="32"/>
        </w:rPr>
        <w:t>万元。与2024年度相比，收入、支出总计各增加7.81万元，增加9.27%。主要变动原因是人员调动。</w:t>
      </w:r>
      <w:bookmarkEnd w:id="31"/>
    </w:p>
    <w:p>
      <w:pPr>
        <w:pStyle w:val="32"/>
        <w:spacing w:line="600" w:lineRule="exact"/>
        <w:outlineLvl w:val="1"/>
        <w:rPr>
          <w:rFonts w:eastAsia="仿宋_GB2312" w:cs="仿宋_GB2312"/>
          <w:sz w:val="32"/>
          <w:szCs w:val="32"/>
        </w:rPr>
      </w:pPr>
      <w:bookmarkStart w:id="32" w:name="_Toc1412010612"/>
      <w:r>
        <w:rPr>
          <w:rFonts w:eastAsia="仿宋_GB2312" w:cs="仿宋_GB2312" w:hint="eastAsia"/>
          <w:sz w:val="32"/>
          <w:szCs w:val="32"/>
          <w:lang w:bidi="bo-CN"/>
        </w:rPr>
        <w:drawing>
          <wp:anchor distT="0" distB="0" distL="114300" distR="114300" simplePos="0" relativeHeight="21" behindDoc="0" locked="0" layoutInCell="1" hidden="0" allowOverlap="1">
            <wp:simplePos x="0" y="0"/>
            <wp:positionH relativeFrom="column">
              <wp:posOffset>248920</wp:posOffset>
            </wp:positionH>
            <wp:positionV relativeFrom="paragraph">
              <wp:posOffset>90170</wp:posOffset>
            </wp:positionV>
            <wp:extent cx="5079998" cy="2592070"/>
            <wp:effectExtent l="0" t="0" r="0" b="0"/>
            <wp:wrapTight wrapText="bothSides">
              <wp:wrapPolygon>
                <wp:start x="-5" y="-69"/>
                <wp:lineTo x="-5" y="21599"/>
                <wp:lineTo x="21580" y="21599"/>
                <wp:lineTo x="21580" y="-69"/>
                <wp:lineTo x="-5" y="-69"/>
              </wp:wrapPolygon>
            </wp:wrapTight>
            <wp:docPr id="7" name="图表 1"/>
            <wp:cNvGraphicFramePr>
              <a:graphicFrameLocks noChangeAspect="0"/>
            </wp:cNvGraphicFramePr>
            <a:graphic>
              <a:graphicData uri="http://schemas.openxmlformats.org/drawingml/2006/picture">
                <pic:pic>
                  <pic:nvPicPr>
                    <pic:cNvPr id="9" name="图表 1 9"/>
                    <pic:cNvPicPr/>
                  </pic:nvPicPr>
                  <pic:blipFill>
                    <a:blip r:embed="rId6"/>
                    <a:stretch>
                      <a:fillRect/>
                    </a:stretch>
                  </pic:blipFill>
                  <pic:spPr>
                    <a:xfrm rot="0">
                      <a:off x="0" y="0"/>
                      <a:ext cx="5079998" cy="2592070"/>
                    </a:xfrm>
                    <a:prstGeom prst="rect"/>
                    <a:ln w="9525" cmpd="sng" cap="flat">
                      <a:solidFill>
                        <a:srgbClr val="000000"/>
                      </a:solidFill>
                      <a:prstDash val="solid"/>
                      <a:miter/>
                    </a:ln>
                  </pic:spPr>
                </pic:pic>
              </a:graphicData>
            </a:graphic>
          </wp:anchor>
        </w:drawing>
      </w:r>
      <w:r>
        <w:rPr>
          <w:rFonts w:eastAsia="仿宋_GB2312" w:cs="仿宋_GB2312" w:hint="eastAsia"/>
          <w:sz w:val="32"/>
          <w:szCs w:val="32"/>
        </w:rPr>
        <w:t>（图1：收入、支出决算总计变动情况图）（柱状图）</w:t>
      </w:r>
      <w:bookmarkEnd w:id="32"/>
    </w:p>
    <w:p>
      <w:pPr>
        <w:pStyle w:val="32"/>
        <w:spacing w:line="600" w:lineRule="exact"/>
        <w:outlineLvl w:val="1"/>
        <w:rPr>
          <w:rFonts w:eastAsia="黑体"/>
          <w:sz w:val="32"/>
          <w:szCs w:val="32"/>
        </w:rPr>
      </w:pPr>
      <w:bookmarkStart w:id="33" w:name="_Toc1569585654"/>
      <w:bookmarkStart w:id="34" w:name="_Toc15377206"/>
      <w:bookmarkStart w:id="35" w:name="_Toc15396604"/>
      <w:r>
        <w:rPr>
          <w:rFonts w:eastAsia="黑体" w:hint="eastAsia"/>
          <w:sz w:val="32"/>
          <w:szCs w:val="32"/>
        </w:rPr>
        <w:t>二、收入决算情况说明</w:t>
      </w:r>
      <w:bookmarkEnd w:id="33"/>
      <w:bookmarkEnd w:id="34"/>
      <w:bookmarkEnd w:id="35"/>
    </w:p>
    <w:p>
      <w:pPr>
        <w:pStyle w:val="32"/>
        <w:spacing w:line="600" w:lineRule="exact"/>
        <w:jc w:val="left"/>
        <w:outlineLvl w:val="1"/>
        <w:rPr>
          <w:rFonts w:eastAsia="仿宋_GB2312" w:cs="仿宋_GB2312"/>
          <w:b/>
          <w:bCs/>
          <w:sz w:val="32"/>
          <w:szCs w:val="32"/>
        </w:rPr>
      </w:pPr>
      <w:bookmarkStart w:id="36" w:name="_Toc422779414"/>
      <w:r>
        <w:rPr>
          <w:rFonts w:ascii="仿宋_GB2312" w:eastAsia="仿宋_GB2312" w:cs="仿宋_GB2312" w:hint="eastAsia"/>
          <w:sz w:val="32"/>
          <w:szCs w:val="32"/>
        </w:rPr>
        <w:t>2025年度本年收入合计92.68万元，其中：一般公共预算财政拨款收入92.68万元，占100%；政府性基金预算财政拨款收入0万元，占0%%；国有资本经营预算财政拨款收入0万元，占0%；上级补助收入0万元，占0%；事业收入0万元，占0%；经营收入0万元，占0%；附属单位上缴收入0万元，占0%；其他收入0万元，占0%。</w:t>
      </w:r>
      <w:bookmarkEnd w:id="36"/>
    </w:p>
    <w:p>
      <w:pPr>
        <w:ind w:firstLineChars="250" w:firstLine="800"/>
        <w:rPr>
          <w:rFonts w:eastAsia="仿宋_GB2312" w:cs="仿宋_GB2312"/>
          <w:sz w:val="32"/>
          <w:szCs w:val="32"/>
        </w:rPr>
      </w:pPr>
    </w:p>
    <w:p>
      <w:pPr>
        <w:ind w:firstLineChars="250" w:firstLine="800"/>
        <w:rPr>
          <w:rFonts w:eastAsia="仿宋_GB2312" w:cs="仿宋_GB2312"/>
          <w:sz w:val="32"/>
          <w:szCs w:val="32"/>
        </w:rPr>
      </w:pPr>
      <w:r>
        <w:rPr>
          <w:rFonts w:eastAsia="仿宋_GB2312" w:cs="仿宋_GB2312" w:hint="eastAsia"/>
          <w:b/>
          <w:bCs/>
          <w:sz w:val="32"/>
          <w:szCs w:val="32"/>
          <w:lang w:bidi="bo-CN"/>
        </w:rPr>
        <w:drawing>
          <wp:inline distT="0" distB="0" distL="114300" distR="114300">
            <wp:extent cx="5079998" cy="2524125"/>
            <wp:effectExtent l="0" t="0" r="0" b="0"/>
            <wp:docPr id="10" name="图表 2"/>
            <wp:cNvGraphicFramePr>
              <a:graphicFrameLocks noChangeAspect="0"/>
            </wp:cNvGraphicFramePr>
            <a:graphic>
              <a:graphicData uri="http://schemas.openxmlformats.org/drawingml/2006/picture">
                <pic:pic>
                  <pic:nvPicPr>
                    <pic:cNvPr id="12" name="图表 2 12"/>
                    <pic:cNvPicPr/>
                  </pic:nvPicPr>
                  <pic:blipFill>
                    <a:blip r:embed="rId7"/>
                    <a:stretch>
                      <a:fillRect/>
                    </a:stretch>
                  </pic:blipFill>
                  <pic:spPr>
                    <a:xfrm rot="0">
                      <a:off x="0" y="0"/>
                      <a:ext cx="5079998" cy="2524125"/>
                    </a:xfrm>
                    <a:prstGeom prst="rect"/>
                    <a:ln w="9525" cmpd="sng" cap="flat">
                      <a:solidFill>
                        <a:srgbClr val="000000"/>
                      </a:solidFill>
                      <a:prstDash val="solid"/>
                      <a:miter/>
                    </a:ln>
                  </pic:spPr>
                </pic:pic>
              </a:graphicData>
            </a:graphic>
          </wp:inline>
        </w:drawing>
      </w:r>
    </w:p>
    <w:p>
      <w:pPr>
        <w:ind w:firstLineChars="250" w:firstLine="800"/>
        <w:rPr>
          <w:rFonts w:eastAsia="仿宋_GB2312" w:cs="仿宋_GB2312"/>
          <w:sz w:val="32"/>
          <w:szCs w:val="32"/>
        </w:rPr>
      </w:pPr>
      <w:r>
        <w:rPr>
          <w:rFonts w:eastAsia="仿宋_GB2312" w:cs="仿宋_GB2312" w:hint="eastAsia"/>
          <w:sz w:val="32"/>
          <w:szCs w:val="32"/>
        </w:rPr>
        <w:t>（图2：收入决算结构图）（饼状图）</w:t>
      </w:r>
    </w:p>
    <w:p>
      <w:pPr>
        <w:pStyle w:val="32"/>
        <w:spacing w:line="600" w:lineRule="exact"/>
        <w:outlineLvl w:val="1"/>
        <w:rPr>
          <w:rStyle w:val="2Char"/>
          <w:rFonts w:ascii="Times New Roman" w:eastAsia="黑体" w:hAnsi="Times New Roman"/>
          <w:b w:val="0"/>
        </w:rPr>
      </w:pPr>
      <w:bookmarkStart w:id="37" w:name="_Toc779074901"/>
      <w:bookmarkStart w:id="38" w:name="_Toc15377207"/>
      <w:bookmarkStart w:id="39" w:name="_Toc15396605"/>
      <w:r>
        <w:rPr>
          <w:rFonts w:eastAsia="黑体" w:hint="eastAsia"/>
          <w:sz w:val="32"/>
          <w:szCs w:val="32"/>
        </w:rPr>
        <w:t>三、支</w:t>
      </w:r>
      <w:r>
        <w:rPr>
          <w:rStyle w:val="2Char"/>
          <w:rFonts w:ascii="Times New Roman" w:eastAsia="黑体" w:hAnsi="Times New Roman" w:hint="eastAsia"/>
          <w:b w:val="0"/>
        </w:rPr>
        <w:t>出决算情况说明</w:t>
      </w:r>
      <w:bookmarkEnd w:id="37"/>
      <w:bookmarkEnd w:id="38"/>
      <w:bookmarkEnd w:id="39"/>
    </w:p>
    <w:p>
      <w:pPr>
        <w:pStyle w:val="32"/>
        <w:spacing w:line="600" w:lineRule="exact"/>
        <w:jc w:val="left"/>
        <w:outlineLvl w:val="1"/>
        <w:rPr>
          <w:rFonts w:eastAsia="仿宋_GB2312" w:cs="仿宋_GB2312"/>
          <w:sz w:val="32"/>
          <w:szCs w:val="32"/>
        </w:rPr>
      </w:pPr>
      <w:bookmarkStart w:id="40" w:name="_Toc207187937"/>
      <w:r>
        <w:rPr>
          <w:rFonts w:ascii="仿宋_GB2312" w:eastAsia="仿宋_GB2312" w:cs="仿宋_GB2312" w:hint="eastAsia"/>
          <w:sz w:val="32"/>
          <w:szCs w:val="32"/>
        </w:rPr>
        <w:t>2025年度本年支出合计92.68万元，其中：基本支出92.68万元，占100%；项目支出0万元，占0%；上缴上级支出0万元，占0%；经营支出0万元，占0%；对附属单位补助支出0万元，占0%。</w:t>
      </w:r>
      <w:bookmarkEnd w:id="40"/>
    </w:p>
    <w:p>
      <w:pPr>
        <w:pStyle w:val="15"/>
        <w:spacing w:beforeLines="0" w:before="93"/>
        <w:rPr>
          <w:rFonts w:cs="仿宋_GB2312"/>
          <w:sz w:val="32"/>
          <w:szCs w:val="32"/>
        </w:rPr>
      </w:pPr>
      <w:r>
        <w:rPr>
          <w:rFonts w:cs="仿宋_GB2312" w:hint="eastAsia"/>
          <w:sz w:val="32"/>
          <w:szCs w:val="32"/>
          <w:lang w:bidi="bo-CN"/>
        </w:rPr>
        <w:drawing>
          <wp:inline distT="0" distB="0" distL="114300" distR="114300">
            <wp:extent cx="5079998" cy="2543175"/>
            <wp:effectExtent l="0" t="0" r="0" b="0"/>
            <wp:docPr id="13" name="图表 4"/>
            <wp:cNvGraphicFramePr>
              <a:graphicFrameLocks noChangeAspect="0"/>
            </wp:cNvGraphicFramePr>
            <a:graphic>
              <a:graphicData uri="http://schemas.openxmlformats.org/drawingml/2006/picture">
                <pic:pic>
                  <pic:nvPicPr>
                    <pic:cNvPr id="15" name="图表 4 15"/>
                    <pic:cNvPicPr/>
                  </pic:nvPicPr>
                  <pic:blipFill>
                    <a:blip r:embed="rId8"/>
                    <a:stretch>
                      <a:fillRect/>
                    </a:stretch>
                  </pic:blipFill>
                  <pic:spPr>
                    <a:xfrm rot="0">
                      <a:off x="0" y="0"/>
                      <a:ext cx="5079998" cy="2543175"/>
                    </a:xfrm>
                    <a:prstGeom prst="rect"/>
                    <a:ln w="9525" cmpd="sng" cap="flat">
                      <a:solidFill>
                        <a:srgbClr val="000000"/>
                      </a:solidFill>
                      <a:prstDash val="solid"/>
                      <a:miter/>
                    </a:ln>
                  </pic:spPr>
                </pic:pic>
              </a:graphicData>
            </a:graphic>
          </wp:inline>
        </w:drawing>
      </w:r>
    </w:p>
    <w:p>
      <w:pPr>
        <w:ind w:firstLineChars="300" w:firstLine="960"/>
        <w:rPr>
          <w:rFonts w:eastAsia="仿宋_GB2312" w:cs="仿宋_GB2312"/>
          <w:sz w:val="32"/>
          <w:szCs w:val="32"/>
        </w:rPr>
      </w:pPr>
      <w:r>
        <w:rPr>
          <w:rFonts w:eastAsia="仿宋_GB2312" w:cs="仿宋_GB2312" w:hint="eastAsia"/>
          <w:sz w:val="32"/>
          <w:szCs w:val="32"/>
        </w:rPr>
        <w:t>（图3：支出决算结构图）（饼状图）</w:t>
      </w:r>
    </w:p>
    <w:p>
      <w:pPr>
        <w:spacing w:line="600" w:lineRule="exact"/>
        <w:ind w:firstLineChars="200" w:firstLine="640"/>
        <w:outlineLvl w:val="1"/>
        <w:rPr>
          <w:rStyle w:val="2Char"/>
          <w:rFonts w:ascii="Times New Roman" w:eastAsia="黑体" w:hAnsi="Times New Roman"/>
          <w:b w:val="0"/>
        </w:rPr>
      </w:pPr>
      <w:bookmarkStart w:id="41" w:name="_Toc1285589482"/>
      <w:bookmarkStart w:id="42" w:name="_Toc15396606"/>
      <w:bookmarkStart w:id="43" w:name="_Toc15377208"/>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41"/>
      <w:bookmarkEnd w:id="42"/>
      <w:bookmarkEnd w:id="43"/>
    </w:p>
    <w:p>
      <w:pPr>
        <w:spacing w:line="600" w:lineRule="exact"/>
        <w:ind w:firstLine="640"/>
        <w:rPr>
          <w:rFonts w:eastAsia="仿宋_GB2312" w:cs="仿宋_GB2312"/>
          <w:sz w:val="32"/>
          <w:szCs w:val="32"/>
        </w:rPr>
      </w:pPr>
      <w:r>
        <w:rPr>
          <w:rFonts w:eastAsia="仿宋_GB2312" w:cs="仿宋_GB2312" w:hint="eastAsia"/>
          <w:sz w:val="32"/>
          <w:szCs w:val="32"/>
        </w:rPr>
        <w:t>2025年度财政拨款收入、支出总计均为</w:t>
      </w:r>
      <w:r>
        <w:rPr>
          <w:rFonts w:ascii="仿宋_GB2312" w:eastAsia="仿宋_GB2312" w:cs="仿宋_GB2312" w:hint="eastAsia"/>
          <w:sz w:val="32"/>
          <w:szCs w:val="32"/>
        </w:rPr>
        <w:t>92.68</w:t>
      </w:r>
      <w:r>
        <w:rPr>
          <w:rFonts w:eastAsia="仿宋_GB2312" w:cs="仿宋_GB2312" w:hint="eastAsia"/>
          <w:sz w:val="32"/>
          <w:szCs w:val="32"/>
        </w:rPr>
        <w:t>万元。与2024年度相比，财政拨款收入、支出总计各增加7.87万元，增加9.27%。主要变动原因是人员调动。</w:t>
      </w:r>
    </w:p>
    <w:p>
      <w:pPr>
        <w:pStyle w:val="15"/>
        <w:spacing w:beforeLines="0" w:before="93"/>
        <w:rPr>
          <w:rFonts w:cs="仿宋_GB2312"/>
          <w:sz w:val="32"/>
          <w:szCs w:val="32"/>
        </w:rPr>
      </w:pPr>
      <w:r>
        <w:rPr>
          <w:rFonts w:cs="仿宋_GB2312" w:hint="eastAsia"/>
          <w:sz w:val="32"/>
          <w:szCs w:val="32"/>
          <w:lang w:bidi="bo-CN"/>
        </w:rPr>
        <w:drawing>
          <wp:inline distT="0" distB="0" distL="114300" distR="114300">
            <wp:extent cx="5079998" cy="2124710"/>
            <wp:effectExtent l="0" t="0" r="0" b="0"/>
            <wp:docPr id="16" name="图表 5"/>
            <wp:cNvGraphicFramePr>
              <a:graphicFrameLocks noChangeAspect="0"/>
            </wp:cNvGraphicFramePr>
            <a:graphic>
              <a:graphicData uri="http://schemas.openxmlformats.org/drawingml/2006/picture">
                <pic:pic>
                  <pic:nvPicPr>
                    <pic:cNvPr id="18" name="图表 5 18"/>
                    <pic:cNvPicPr/>
                  </pic:nvPicPr>
                  <pic:blipFill>
                    <a:blip r:embed="rId9"/>
                    <a:stretch>
                      <a:fillRect/>
                    </a:stretch>
                  </pic:blipFill>
                  <pic:spPr>
                    <a:xfrm rot="0">
                      <a:off x="0" y="0"/>
                      <a:ext cx="5079998" cy="2124710"/>
                    </a:xfrm>
                    <a:prstGeom prst="rect"/>
                    <a:ln w="9525" cmpd="sng" cap="flat">
                      <a:solidFill>
                        <a:srgbClr val="000000"/>
                      </a:solidFill>
                      <a:prstDash val="solid"/>
                      <a:miter/>
                    </a:ln>
                  </pic:spPr>
                </pic:pic>
              </a:graphicData>
            </a:graphic>
          </wp:inline>
        </w:drawing>
      </w:r>
    </w:p>
    <w:p>
      <w:pPr>
        <w:spacing w:line="600" w:lineRule="exact"/>
        <w:rPr>
          <w:rFonts w:eastAsia="仿宋_GB2312" w:cs="仿宋_GB2312"/>
          <w:sz w:val="32"/>
          <w:szCs w:val="32"/>
        </w:rPr>
      </w:pPr>
      <w:r>
        <w:rPr>
          <w:rFonts w:eastAsia="仿宋_GB2312" w:cs="仿宋_GB2312" w:hint="eastAsia"/>
          <w:sz w:val="32"/>
          <w:szCs w:val="32"/>
        </w:rPr>
        <w:t>（图4：财政拨款收、支决算总计变动情况）（柱状图）</w:t>
      </w:r>
    </w:p>
    <w:p>
      <w:pPr>
        <w:spacing w:line="600" w:lineRule="exact"/>
        <w:ind w:firstLineChars="200" w:firstLine="640"/>
        <w:outlineLvl w:val="1"/>
        <w:rPr>
          <w:rStyle w:val="2Char"/>
          <w:rFonts w:ascii="Times New Roman" w:eastAsia="黑体" w:hAnsi="Times New Roman"/>
          <w:b w:val="0"/>
        </w:rPr>
      </w:pPr>
      <w:bookmarkStart w:id="44" w:name="_Toc1131010397"/>
      <w:bookmarkStart w:id="45" w:name="_Toc15396607"/>
      <w:bookmarkStart w:id="46" w:name="_Toc15377209"/>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4"/>
      <w:bookmarkEnd w:id="45"/>
      <w:bookmarkEnd w:id="46"/>
    </w:p>
    <w:p>
      <w:pPr>
        <w:spacing w:line="600" w:lineRule="exact"/>
        <w:ind w:firstLineChars="200" w:firstLine="640"/>
        <w:outlineLvl w:val="2"/>
        <w:rPr>
          <w:rFonts w:eastAsia="楷体_GB2312" w:cs="楷体_GB2312"/>
          <w:b/>
          <w:sz w:val="32"/>
          <w:szCs w:val="32"/>
        </w:rPr>
      </w:pPr>
      <w:bookmarkStart w:id="47" w:name="_Toc15377210"/>
      <w:r>
        <w:rPr>
          <w:rFonts w:eastAsia="楷体_GB2312" w:cs="楷体_GB2312" w:hint="eastAsia"/>
          <w:b/>
          <w:sz w:val="32"/>
          <w:szCs w:val="32"/>
        </w:rPr>
        <w:t>（一）一般公共预算财政拨款支出决算总体情况</w:t>
      </w:r>
      <w:bookmarkEnd w:id="47"/>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2025年度一般公共预算财政拨款支出92.68万元，占本年支出合计的100%。与2024年度相比，一般公共预算财政拨款支出增</w:t>
      </w:r>
      <w:r>
        <w:rPr>
          <w:rFonts w:eastAsia="仿宋_GB2312" w:cs="仿宋_GB2312" w:hint="eastAsia"/>
          <w:sz w:val="32"/>
          <w:szCs w:val="32"/>
        </w:rPr>
        <w:t>加7.87万元，增加9.27%。主要变动原因是人员调动。</w:t>
      </w:r>
    </w:p>
    <w:p>
      <w:pPr>
        <w:spacing w:line="600" w:lineRule="exact"/>
        <w:rPr>
          <w:rFonts w:eastAsia="楷体_GB2312" w:cs="楷体_GB2312"/>
          <w:b/>
          <w:sz w:val="32"/>
          <w:szCs w:val="32"/>
        </w:rPr>
      </w:pPr>
      <w:r>
        <w:rPr>
          <w:rFonts w:eastAsia="仿宋_GB2312" w:cs="仿宋_GB2312" w:hint="eastAsia"/>
          <w:sz w:val="32"/>
          <w:szCs w:val="32"/>
          <w:lang w:bidi="bo-CN"/>
        </w:rPr>
        <w:drawing>
          <wp:anchor distT="0" distB="0" distL="114300" distR="114300" simplePos="0" relativeHeight="22" behindDoc="0" locked="0" layoutInCell="1" hidden="0" allowOverlap="1">
            <wp:simplePos x="0" y="0"/>
            <wp:positionH relativeFrom="column">
              <wp:posOffset>210820</wp:posOffset>
            </wp:positionH>
            <wp:positionV relativeFrom="paragraph">
              <wp:posOffset>46990</wp:posOffset>
            </wp:positionV>
            <wp:extent cx="5079998" cy="2600960"/>
            <wp:effectExtent l="0" t="0" r="0" b="0"/>
            <wp:wrapSquare wrapText="bothSides"/>
            <wp:docPr id="19" name="图表 6"/>
            <wp:cNvGraphicFramePr>
              <a:graphicFrameLocks noChangeAspect="0"/>
            </wp:cNvGraphicFramePr>
            <a:graphic>
              <a:graphicData uri="http://schemas.openxmlformats.org/drawingml/2006/picture">
                <pic:pic>
                  <pic:nvPicPr>
                    <pic:cNvPr id="21" name="图表 6 21"/>
                    <pic:cNvPicPr/>
                  </pic:nvPicPr>
                  <pic:blipFill>
                    <a:blip r:embed="rId10"/>
                    <a:stretch>
                      <a:fillRect/>
                    </a:stretch>
                  </pic:blipFill>
                  <pic:spPr>
                    <a:xfrm rot="0">
                      <a:off x="0" y="0"/>
                      <a:ext cx="5079998" cy="2600960"/>
                    </a:xfrm>
                    <a:prstGeom prst="rect"/>
                    <a:ln w="9525" cmpd="sng" cap="flat">
                      <a:solidFill>
                        <a:srgbClr val="000000"/>
                      </a:solidFill>
                      <a:prstDash val="solid"/>
                      <a:miter/>
                    </a:ln>
                  </pic:spPr>
                </pic:pic>
              </a:graphicData>
            </a:graphic>
          </wp:anchor>
        </w:drawing>
      </w:r>
      <w:bookmarkStart w:id="48" w:name="_Toc15377211"/>
    </w:p>
    <w:p>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（二）一般公共预算财政拨款支出决算结构情况</w:t>
      </w:r>
      <w:bookmarkEnd w:id="48"/>
    </w:p>
    <w:p>
      <w:pPr>
        <w:spacing w:line="600" w:lineRule="exact"/>
        <w:ind w:firstLine="640"/>
        <w:rPr>
          <w:rFonts w:eastAsia="仿宋_GB2312" w:cs="仿宋_GB2312"/>
          <w:b/>
          <w:bCs/>
          <w:sz w:val="32"/>
          <w:szCs w:val="32"/>
        </w:rPr>
      </w:pPr>
      <w:r>
        <w:rPr>
          <w:rFonts w:eastAsia="仿宋_GB2312" w:cs="仿宋_GB2312" w:hint="eastAsia"/>
          <w:sz w:val="32"/>
          <w:szCs w:val="32"/>
        </w:rPr>
        <w:t>2025年度一般公共预算财政拨款支出</w:t>
      </w:r>
      <w:r>
        <w:rPr>
          <w:rFonts w:ascii="仿宋_GB2312" w:eastAsia="仿宋_GB2312" w:cs="仿宋_GB2312" w:hint="eastAsia"/>
          <w:sz w:val="32"/>
          <w:szCs w:val="32"/>
        </w:rPr>
        <w:t>92.68万元</w:t>
      </w:r>
      <w:r>
        <w:rPr>
          <w:rFonts w:eastAsia="仿宋_GB2312" w:cs="仿宋_GB2312" w:hint="eastAsia"/>
          <w:sz w:val="32"/>
          <w:szCs w:val="32"/>
        </w:rPr>
        <w:t>，主要用于以下方面：一般公共服务支出69.05万元，占74.52%；教育支出0万元，占0%；科学技术支出0万元，占0%；文化旅游体育与传媒支出0万元，占0%；社会保障和就业支出12.12万元，占13.07%；卫生健康支出4.55万元，占4.9%；住房保障支出6.96万元，占7.51%；……</w:t>
      </w:r>
    </w:p>
    <w:p>
      <w:pPr>
        <w:pStyle w:val="15"/>
        <w:spacing w:beforeLines="0" w:before="93"/>
        <w:rPr>
          <w:rFonts w:cs="仿宋_GB2312"/>
          <w:b/>
          <w:bCs/>
          <w:sz w:val="32"/>
          <w:szCs w:val="32"/>
        </w:rPr>
      </w:pPr>
      <w:r>
        <w:rPr>
          <w:rFonts w:cs="仿宋_GB2312" w:hint="eastAsia"/>
          <w:b/>
          <w:bCs/>
          <w:sz w:val="32"/>
          <w:szCs w:val="32"/>
          <w:lang w:bidi="bo-CN"/>
        </w:rPr>
        <w:drawing>
          <wp:inline distT="0" distB="0" distL="114300" distR="114300">
            <wp:extent cx="5499098" cy="3335020"/>
            <wp:effectExtent l="0" t="0" r="0" b="0"/>
            <wp:docPr id="22" name="图表 7"/>
            <wp:cNvGraphicFramePr>
              <a:graphicFrameLocks noChangeAspect="0"/>
            </wp:cNvGraphicFramePr>
            <a:graphic>
              <a:graphicData uri="http://schemas.openxmlformats.org/drawingml/2006/picture">
                <pic:pic>
                  <pic:nvPicPr>
                    <pic:cNvPr id="24" name="图表 7 24"/>
                    <pic:cNvPicPr/>
                  </pic:nvPicPr>
                  <pic:blipFill>
                    <a:blip r:embed="rId11"/>
                    <a:stretch>
                      <a:fillRect/>
                    </a:stretch>
                  </pic:blipFill>
                  <pic:spPr>
                    <a:xfrm rot="0">
                      <a:off x="0" y="0"/>
                      <a:ext cx="5499098" cy="3335020"/>
                    </a:xfrm>
                    <a:prstGeom prst="rect"/>
                    <a:ln w="9525" cmpd="sng" cap="flat">
                      <a:solidFill>
                        <a:srgbClr val="000000"/>
                      </a:solidFill>
                      <a:prstDash val="solid"/>
                      <a:miter/>
                    </a:ln>
                  </pic:spPr>
                </pic:pic>
              </a:graphicData>
            </a:graphic>
          </wp:inline>
        </w:drawing>
      </w:r>
    </w:p>
    <w:p>
      <w:pPr>
        <w:spacing w:line="600" w:lineRule="exact"/>
        <w:ind w:firstLine="640"/>
        <w:rPr>
          <w:rFonts w:eastAsia="仿宋_GB2312" w:cs="仿宋_GB2312"/>
          <w:sz w:val="32"/>
          <w:szCs w:val="32"/>
        </w:rPr>
      </w:pPr>
      <w:r>
        <w:rPr>
          <w:rFonts w:eastAsia="仿宋_GB2312" w:cs="仿宋_GB2312" w:hint="eastAsia"/>
          <w:sz w:val="32"/>
          <w:szCs w:val="32"/>
        </w:rPr>
        <w:t>（图6：一般公共预算财政拨款支出决算结构）（饼状图）</w:t>
      </w:r>
    </w:p>
    <w:p>
      <w:pPr>
        <w:spacing w:line="600" w:lineRule="exact"/>
        <w:ind w:firstLineChars="200" w:firstLine="640"/>
        <w:outlineLvl w:val="2"/>
        <w:rPr>
          <w:rFonts w:eastAsia="楷体_GB2312" w:cs="楷体_GB2312"/>
          <w:b/>
          <w:sz w:val="32"/>
          <w:szCs w:val="32"/>
        </w:rPr>
      </w:pPr>
      <w:bookmarkStart w:id="49" w:name="_Toc15377212"/>
      <w:r>
        <w:rPr>
          <w:rFonts w:eastAsia="楷体_GB2312" w:cs="楷体_GB2312" w:hint="eastAsia"/>
          <w:b/>
          <w:sz w:val="32"/>
          <w:szCs w:val="32"/>
        </w:rPr>
        <w:t>（三）一般公共预算财政拨款支出决算具体情况</w:t>
      </w:r>
      <w:bookmarkEnd w:id="49"/>
    </w:p>
    <w:p>
      <w:pPr>
        <w:spacing w:line="600" w:lineRule="exact"/>
        <w:ind w:firstLine="640"/>
        <w:rPr>
          <w:rFonts w:eastAsia="仿宋_GB2312" w:cs="仿宋_GB2312"/>
          <w:sz w:val="32"/>
          <w:szCs w:val="32"/>
        </w:rPr>
      </w:pPr>
      <w:bookmarkStart w:id="50" w:name="_Toc15377444"/>
      <w:bookmarkStart w:id="51" w:name="_Toc15378460"/>
      <w:bookmarkStart w:id="52" w:name="_Toc15377213"/>
      <w:r>
        <w:rPr>
          <w:rFonts w:eastAsia="仿宋_GB2312" w:cs="仿宋_GB2312" w:hint="eastAsia"/>
          <w:sz w:val="32"/>
          <w:szCs w:val="32"/>
        </w:rPr>
        <w:t>2025年度一般公共预算财政拨款支出决算数为</w:t>
      </w:r>
      <w:r>
        <w:rPr>
          <w:rFonts w:ascii="仿宋_GB2312" w:eastAsia="仿宋_GB2312" w:cs="仿宋_GB2312" w:hint="eastAsia"/>
          <w:sz w:val="32"/>
          <w:szCs w:val="32"/>
        </w:rPr>
        <w:t>92.68，</w:t>
      </w:r>
      <w:r>
        <w:rPr>
          <w:rFonts w:eastAsia="仿宋_GB2312" w:cs="仿宋_GB2312" w:hint="eastAsia"/>
          <w:sz w:val="32"/>
          <w:szCs w:val="32"/>
        </w:rPr>
        <w:t>完成预算100%。其中：</w:t>
      </w:r>
      <w:bookmarkEnd w:id="50"/>
      <w:bookmarkEnd w:id="51"/>
      <w:bookmarkEnd w:id="52"/>
    </w:p>
    <w:p>
      <w:pPr>
        <w:spacing w:line="600" w:lineRule="exact"/>
        <w:ind w:firstLine="640"/>
        <w:rPr>
          <w:rFonts w:eastAsia="仿宋_GB2312" w:cs="仿宋_GB2312"/>
          <w:sz w:val="32"/>
          <w:szCs w:val="32"/>
        </w:rPr>
      </w:pPr>
      <w:r>
        <w:rPr>
          <w:rFonts w:eastAsia="仿宋_GB2312" w:cs="仿宋_GB2312" w:hint="eastAsia"/>
          <w:sz w:val="32"/>
          <w:szCs w:val="32"/>
        </w:rPr>
        <w:t>1.一般公共服务：支出决算为69.05万元，完成预算100%，决算数持平</w:t>
      </w:r>
      <w:r>
        <w:rPr>
          <w:rStyle w:val="25"/>
          <w:rFonts w:ascii="仿宋" w:eastAsia="仿宋" w:hint="eastAsia"/>
          <w:b w:val="0"/>
          <w:bCs/>
          <w:sz w:val="32"/>
          <w:szCs w:val="32"/>
        </w:rPr>
        <w:t>预算数的主要原因是</w:t>
      </w:r>
      <w:r>
        <w:rPr>
          <w:rFonts w:ascii="仿宋" w:eastAsia="仿宋" w:hint="eastAsia"/>
          <w:sz w:val="32"/>
          <w:szCs w:val="32"/>
        </w:rPr>
        <w:t>人员调动及经费相互调剂。</w:t>
      </w:r>
    </w:p>
    <w:p>
      <w:pPr>
        <w:spacing w:line="600" w:lineRule="exact"/>
        <w:ind w:firstLine="640"/>
        <w:rPr>
          <w:rStyle w:val="25"/>
          <w:rFonts w:ascii="仿宋" w:eastAsia="仿宋"/>
          <w:b w:val="0"/>
          <w:bCs/>
          <w:sz w:val="32"/>
          <w:szCs w:val="32"/>
        </w:rPr>
      </w:pPr>
      <w:r>
        <w:rPr>
          <w:rFonts w:eastAsia="仿宋_GB2312" w:cs="仿宋_GB2312" w:hint="eastAsia"/>
          <w:sz w:val="32"/>
          <w:szCs w:val="32"/>
        </w:rPr>
        <w:t xml:space="preserve">2.教育: </w:t>
      </w:r>
      <w:r>
        <w:rPr>
          <w:rStyle w:val="25"/>
          <w:rFonts w:ascii="仿宋" w:eastAsia="仿宋" w:hint="eastAsia"/>
          <w:b w:val="0"/>
          <w:bCs/>
          <w:sz w:val="32"/>
          <w:szCs w:val="32"/>
        </w:rPr>
        <w:t>支出决算为0万元，完成预算0</w:t>
      </w:r>
      <w:r>
        <w:rPr>
          <w:rStyle w:val="25"/>
          <w:rFonts w:ascii="仿宋" w:eastAsia="仿宋"/>
          <w:b w:val="0"/>
          <w:bCs/>
          <w:sz w:val="32"/>
          <w:szCs w:val="32"/>
        </w:rPr>
        <w:t>%</w:t>
      </w:r>
      <w:r>
        <w:rPr>
          <w:rStyle w:val="25"/>
          <w:rFonts w:ascii="仿宋" w:eastAsia="仿宋" w:hint="eastAsia"/>
          <w:b w:val="0"/>
          <w:bCs/>
          <w:sz w:val="32"/>
          <w:szCs w:val="32"/>
        </w:rPr>
        <w:t>，决算数等于预算数的主要原因是我单位不涉及教育支出</w:t>
      </w:r>
    </w:p>
    <w:p>
      <w:pPr>
        <w:spacing w:line="600" w:lineRule="exact"/>
        <w:ind w:firstLine="640"/>
        <w:rPr>
          <w:rStyle w:val="25"/>
          <w:rFonts w:ascii="仿宋" w:eastAsia="仿宋"/>
          <w:b w:val="0"/>
          <w:bCs/>
          <w:sz w:val="32"/>
          <w:szCs w:val="32"/>
        </w:rPr>
      </w:pPr>
      <w:r>
        <w:rPr>
          <w:rFonts w:eastAsia="仿宋_GB2312" w:cs="仿宋_GB2312" w:hint="eastAsia"/>
          <w:sz w:val="32"/>
          <w:szCs w:val="32"/>
        </w:rPr>
        <w:t>3.科学技术：</w:t>
      </w:r>
      <w:r>
        <w:rPr>
          <w:rStyle w:val="25"/>
          <w:rFonts w:ascii="仿宋" w:eastAsia="仿宋" w:hint="eastAsia"/>
          <w:b w:val="0"/>
          <w:bCs/>
          <w:sz w:val="32"/>
          <w:szCs w:val="32"/>
        </w:rPr>
        <w:t>支出决算为0万元，完成预算0</w:t>
      </w:r>
      <w:r>
        <w:rPr>
          <w:rStyle w:val="25"/>
          <w:rFonts w:ascii="仿宋" w:eastAsia="仿宋"/>
          <w:b w:val="0"/>
          <w:bCs/>
          <w:sz w:val="32"/>
          <w:szCs w:val="32"/>
        </w:rPr>
        <w:t>%</w:t>
      </w:r>
      <w:r>
        <w:rPr>
          <w:rStyle w:val="25"/>
          <w:rFonts w:ascii="仿宋" w:eastAsia="仿宋" w:hint="eastAsia"/>
          <w:b w:val="0"/>
          <w:bCs/>
          <w:sz w:val="32"/>
          <w:szCs w:val="32"/>
        </w:rPr>
        <w:t>，决算数等于预算数的主要原因是我单位不涉及科学技术支出。</w:t>
      </w:r>
    </w:p>
    <w:p>
      <w:pPr>
        <w:spacing w:line="600" w:lineRule="exact"/>
        <w:ind w:firstLineChars="200" w:firstLine="640"/>
        <w:rPr>
          <w:rStyle w:val="25"/>
          <w:rFonts w:ascii="仿宋" w:eastAsia="仿宋" w:cs="宋体"/>
          <w:b w:val="0"/>
          <w:bCs/>
          <w:sz w:val="32"/>
          <w:szCs w:val="32"/>
        </w:rPr>
      </w:pPr>
      <w:r>
        <w:rPr>
          <w:rFonts w:eastAsia="仿宋_GB2312" w:cs="仿宋_GB2312" w:hint="eastAsia"/>
          <w:sz w:val="32"/>
          <w:szCs w:val="32"/>
        </w:rPr>
        <w:t>4.文化旅游体育与传媒：</w:t>
      </w:r>
      <w:r>
        <w:rPr>
          <w:rStyle w:val="25"/>
          <w:rFonts w:ascii="仿宋" w:eastAsia="仿宋" w:hint="eastAsia"/>
          <w:b w:val="0"/>
          <w:bCs/>
          <w:sz w:val="32"/>
          <w:szCs w:val="32"/>
        </w:rPr>
        <w:t>支出决算为0万元，完成预算0</w:t>
      </w:r>
      <w:r>
        <w:rPr>
          <w:rStyle w:val="25"/>
          <w:rFonts w:ascii="仿宋" w:eastAsia="仿宋"/>
          <w:b w:val="0"/>
          <w:bCs/>
          <w:sz w:val="32"/>
          <w:szCs w:val="32"/>
        </w:rPr>
        <w:t>%</w:t>
      </w:r>
      <w:r>
        <w:rPr>
          <w:rStyle w:val="25"/>
          <w:rFonts w:ascii="仿宋" w:eastAsia="仿宋" w:hint="eastAsia"/>
          <w:b w:val="0"/>
          <w:bCs/>
          <w:sz w:val="32"/>
          <w:szCs w:val="32"/>
        </w:rPr>
        <w:t>，决算数等于预算数的主要原因是我单位不涉及</w:t>
      </w:r>
      <w:r>
        <w:rPr>
          <w:rStyle w:val="25"/>
          <w:rFonts w:ascii="仿宋" w:eastAsia="仿宋" w:cs="宋体" w:hint="eastAsia"/>
          <w:b w:val="0"/>
          <w:bCs/>
          <w:sz w:val="32"/>
          <w:szCs w:val="32"/>
        </w:rPr>
        <w:t>文化旅游体育与传媒支出。</w:t>
      </w:r>
    </w:p>
    <w:p>
      <w:pPr>
        <w:spacing w:line="600" w:lineRule="exact"/>
        <w:ind w:firstLine="640"/>
        <w:rPr>
          <w:rFonts w:ascii="仿宋" w:eastAsia="仿宋"/>
          <w:sz w:val="32"/>
          <w:szCs w:val="32"/>
        </w:rPr>
      </w:pPr>
      <w:r>
        <w:rPr>
          <w:rFonts w:eastAsia="仿宋_GB2312" w:cs="仿宋_GB2312" w:hint="eastAsia"/>
          <w:sz w:val="32"/>
          <w:szCs w:val="32"/>
        </w:rPr>
        <w:t>5.社会保障和就业：</w:t>
      </w:r>
      <w:r>
        <w:rPr>
          <w:rStyle w:val="25"/>
          <w:rFonts w:ascii="仿宋" w:eastAsia="仿宋" w:hint="eastAsia"/>
          <w:b w:val="0"/>
          <w:bCs/>
          <w:sz w:val="32"/>
          <w:szCs w:val="32"/>
        </w:rPr>
        <w:t>支出决算为12.12万元，决算数持平预算数的主要原因是</w:t>
      </w:r>
      <w:r>
        <w:rPr>
          <w:rFonts w:ascii="仿宋" w:eastAsia="仿宋" w:hint="eastAsia"/>
          <w:sz w:val="32"/>
          <w:szCs w:val="32"/>
        </w:rPr>
        <w:t>人员调动及经费相互调剂。</w:t>
      </w:r>
    </w:p>
    <w:p>
      <w:pPr>
        <w:spacing w:line="600" w:lineRule="exact"/>
        <w:ind w:firstLine="640"/>
        <w:rPr>
          <w:rFonts w:ascii="仿宋" w:eastAsia="仿宋"/>
          <w:sz w:val="32"/>
          <w:szCs w:val="32"/>
        </w:rPr>
      </w:pPr>
      <w:r>
        <w:rPr>
          <w:rFonts w:eastAsia="仿宋_GB2312" w:cs="仿宋_GB2312" w:hint="eastAsia"/>
          <w:sz w:val="32"/>
          <w:szCs w:val="32"/>
        </w:rPr>
        <w:t>6.卫生健康：</w:t>
      </w:r>
      <w:r>
        <w:rPr>
          <w:rStyle w:val="25"/>
          <w:rFonts w:ascii="仿宋" w:eastAsia="仿宋" w:hint="eastAsia"/>
          <w:b w:val="0"/>
          <w:bCs/>
          <w:sz w:val="32"/>
          <w:szCs w:val="32"/>
        </w:rPr>
        <w:t>支出决算为4.55万元，完成预算100</w:t>
      </w:r>
      <w:r>
        <w:rPr>
          <w:rStyle w:val="25"/>
          <w:rFonts w:ascii="仿宋" w:eastAsia="仿宋"/>
          <w:b w:val="0"/>
          <w:bCs/>
          <w:sz w:val="32"/>
          <w:szCs w:val="32"/>
        </w:rPr>
        <w:t>%</w:t>
      </w:r>
      <w:r>
        <w:rPr>
          <w:rStyle w:val="25"/>
          <w:rFonts w:ascii="仿宋" w:eastAsia="仿宋" w:hint="eastAsia"/>
          <w:b w:val="0"/>
          <w:bCs/>
          <w:sz w:val="32"/>
          <w:szCs w:val="32"/>
        </w:rPr>
        <w:t>，决算数持平预算数的主要原因是</w:t>
      </w:r>
      <w:r>
        <w:rPr>
          <w:rFonts w:ascii="仿宋" w:eastAsia="仿宋" w:hint="eastAsia"/>
          <w:sz w:val="32"/>
          <w:szCs w:val="32"/>
        </w:rPr>
        <w:t>人员调动及经费相互调剂。</w:t>
      </w:r>
    </w:p>
    <w:p>
      <w:pPr>
        <w:pStyle w:val="15"/>
        <w:spacing w:beforeLines="0" w:before="93"/>
        <w:ind w:firstLineChars="200" w:firstLine="640"/>
        <w:rPr>
          <w:rFonts w:ascii="仿宋" w:eastAsia="仿宋"/>
          <w:sz w:val="32"/>
          <w:szCs w:val="32"/>
        </w:rPr>
      </w:pPr>
      <w:r>
        <w:rPr>
          <w:rStyle w:val="25"/>
          <w:rFonts w:ascii="仿宋" w:eastAsia="仿宋" w:hint="eastAsia"/>
          <w:bCs/>
          <w:color w:val="000000"/>
          <w:sz w:val="32"/>
          <w:szCs w:val="32"/>
        </w:rPr>
        <w:t>7.住房保障</w:t>
      </w:r>
      <w:r>
        <w:rPr>
          <w:rStyle w:val="25"/>
          <w:rFonts w:ascii="仿宋" w:eastAsia="仿宋"/>
          <w:bCs/>
          <w:sz w:val="32"/>
          <w:szCs w:val="32"/>
        </w:rPr>
        <w:t>:</w:t>
      </w:r>
      <w:r>
        <w:rPr>
          <w:rStyle w:val="25"/>
          <w:rFonts w:ascii="仿宋" w:eastAsia="仿宋" w:hint="eastAsia"/>
          <w:b w:val="0"/>
          <w:bCs/>
          <w:color w:val="000000"/>
          <w:sz w:val="32"/>
          <w:szCs w:val="32"/>
        </w:rPr>
        <w:t>支出决算为6.96万元，完成预算100%，</w:t>
      </w:r>
      <w:r>
        <w:rPr>
          <w:rStyle w:val="25"/>
          <w:rFonts w:ascii="仿宋" w:eastAsia="仿宋" w:hint="eastAsia"/>
          <w:b w:val="0"/>
          <w:bCs/>
          <w:sz w:val="32"/>
          <w:szCs w:val="32"/>
        </w:rPr>
        <w:t>决算数持平预算数的主要原因是</w:t>
      </w:r>
      <w:bookmarkStart w:id="53" w:name="_Toc905956070"/>
      <w:bookmarkStart w:id="54" w:name="_Toc15396608"/>
      <w:bookmarkStart w:id="55" w:name="_Toc15377214"/>
      <w:r>
        <w:rPr>
          <w:rFonts w:ascii="仿宋" w:eastAsia="仿宋" w:hint="eastAsia"/>
          <w:sz w:val="32"/>
          <w:szCs w:val="32"/>
        </w:rPr>
        <w:t>人员调动及经费相互调剂</w:t>
      </w:r>
    </w:p>
    <w:p>
      <w:pPr>
        <w:pStyle w:val="15"/>
        <w:spacing w:beforeLines="0" w:before="93"/>
        <w:ind w:firstLineChars="200" w:firstLine="640"/>
        <w:rPr>
          <w:rStyle w:val="2Char"/>
          <w:rFonts w:ascii="Times New Roman" w:hAnsi="Times New Roman"/>
        </w:rPr>
      </w:pPr>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3"/>
      <w:bookmarkEnd w:id="54"/>
      <w:bookmarkEnd w:id="55"/>
      <w:r>
        <w:rPr>
          <w:rStyle w:val="2Char"/>
          <w:rFonts w:ascii="Times New Roman" w:eastAsia="黑体" w:hAnsi="Times New Roman"/>
          <w:b w:val="0"/>
        </w:rPr>
        <w:tab/>
      </w:r>
    </w:p>
    <w:p>
      <w:pPr>
        <w:spacing w:line="600" w:lineRule="exact"/>
        <w:ind w:firstLine="640"/>
        <w:rPr>
          <w:rFonts w:eastAsia="仿宋_GB2312" w:cs="仿宋_GB2312"/>
          <w:sz w:val="32"/>
          <w:szCs w:val="32"/>
        </w:rPr>
      </w:pPr>
      <w:r>
        <w:rPr>
          <w:rFonts w:eastAsia="仿宋_GB2312" w:cs="仿宋_GB2312" w:hint="eastAsia"/>
          <w:sz w:val="32"/>
          <w:szCs w:val="32"/>
        </w:rPr>
        <w:t>2025年度一般公共预算财政拨款基本支出</w:t>
      </w:r>
      <w:r>
        <w:rPr>
          <w:rFonts w:ascii="仿宋_GB2312" w:eastAsia="仿宋_GB2312" w:cs="仿宋_GB2312" w:hint="eastAsia"/>
          <w:sz w:val="32"/>
          <w:szCs w:val="32"/>
        </w:rPr>
        <w:t>92.68万</w:t>
      </w:r>
      <w:r>
        <w:rPr>
          <w:rFonts w:eastAsia="仿宋_GB2312" w:cs="仿宋_GB2312" w:hint="eastAsia"/>
          <w:sz w:val="32"/>
          <w:szCs w:val="32"/>
        </w:rPr>
        <w:t>元，其中：</w:t>
      </w:r>
    </w:p>
    <w:p>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cs="仿宋_GB2312" w:hint="eastAsia"/>
          <w:sz w:val="32"/>
          <w:szCs w:val="32"/>
        </w:rPr>
        <w:t>85.49万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6.2万</w:t>
      </w:r>
      <w:r>
        <w:rPr>
          <w:rFonts w:eastAsia="仿宋_GB2312" w:cs="仿宋_GB2312" w:hint="eastAsia"/>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eastAsia="仿宋_GB2312" w:cs="仿宋_GB2312"/>
          <w:sz w:val="32"/>
          <w:szCs w:val="32"/>
        </w:rPr>
      </w:pPr>
      <w:r>
        <w:rPr>
          <w:rFonts w:eastAsia="仿宋_GB2312" w:cs="仿宋_GB2312" w:hint="eastAsia"/>
          <w:b/>
          <w:bCs/>
          <w:sz w:val="32"/>
          <w:szCs w:val="32"/>
        </w:rPr>
        <w:t>（注：仅罗列本部门实际支出涉及的经济分类科目）</w:t>
      </w:r>
    </w:p>
    <w:p>
      <w:pPr>
        <w:spacing w:line="600" w:lineRule="exact"/>
        <w:ind w:firstLine="640"/>
        <w:outlineLvl w:val="1"/>
        <w:rPr>
          <w:rStyle w:val="2Char"/>
          <w:rFonts w:ascii="Times New Roman" w:eastAsia="黑体" w:hAnsi="Times New Roman"/>
          <w:b w:val="0"/>
        </w:rPr>
      </w:pPr>
      <w:bookmarkStart w:id="56" w:name="_Toc15396609"/>
      <w:bookmarkStart w:id="57" w:name="_Toc15377215"/>
      <w:bookmarkStart w:id="58" w:name="_Toc1412895818"/>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56"/>
      <w:bookmarkEnd w:id="57"/>
      <w:bookmarkEnd w:id="58"/>
    </w:p>
    <w:p>
      <w:pPr>
        <w:spacing w:line="600" w:lineRule="exact"/>
        <w:ind w:firstLineChars="200" w:firstLine="640"/>
        <w:outlineLvl w:val="2"/>
        <w:rPr>
          <w:rFonts w:eastAsia="楷体_GB2312" w:cs="楷体_GB2312"/>
          <w:b/>
          <w:sz w:val="32"/>
          <w:szCs w:val="32"/>
        </w:rPr>
      </w:pPr>
      <w:bookmarkStart w:id="59" w:name="_Toc15377216"/>
      <w:r>
        <w:rPr>
          <w:rFonts w:eastAsia="楷体_GB2312" w:cs="楷体_GB2312" w:hint="eastAsia"/>
          <w:b/>
          <w:sz w:val="32"/>
          <w:szCs w:val="32"/>
        </w:rPr>
        <w:t>（一）“三公”经费财政拨款支出决算总体情况说明</w:t>
      </w:r>
      <w:bookmarkEnd w:id="59"/>
    </w:p>
    <w:p>
      <w:pPr>
        <w:spacing w:line="600" w:lineRule="exact"/>
        <w:ind w:firstLine="640"/>
        <w:rPr>
          <w:rFonts w:eastAsia="仿宋_GB2312" w:cs="仿宋_GB2312"/>
          <w:sz w:val="32"/>
          <w:szCs w:val="32"/>
        </w:rPr>
      </w:pPr>
      <w:r>
        <w:rPr>
          <w:rFonts w:eastAsia="仿宋_GB2312" w:cs="仿宋_GB2312" w:hint="eastAsia"/>
          <w:sz w:val="32"/>
          <w:szCs w:val="32"/>
        </w:rPr>
        <w:t>2025年度“三公”经费财政拨款支出决算为</w:t>
      </w:r>
      <w:r>
        <w:rPr>
          <w:rFonts w:ascii="仿宋_GB2312" w:eastAsia="仿宋_GB2312" w:cs="仿宋_GB2312" w:hint="eastAsia"/>
          <w:sz w:val="32"/>
          <w:szCs w:val="32"/>
        </w:rPr>
        <w:t>0万元，完成预算0%，</w:t>
      </w:r>
      <w:r>
        <w:rPr>
          <w:rFonts w:eastAsia="仿宋_GB2312" w:cs="仿宋_GB2312" w:hint="eastAsia"/>
          <w:sz w:val="32"/>
          <w:szCs w:val="32"/>
        </w:rPr>
        <w:t>较上年度持平。决算数与预算数持平的主要原因是无“三公”</w:t>
      </w:r>
      <w:bookmarkStart w:id="60" w:name="_GoBack"/>
      <w:bookmarkEnd w:id="60"/>
      <w:r>
        <w:rPr>
          <w:rFonts w:eastAsia="仿宋_GB2312" w:cs="仿宋_GB2312" w:hint="eastAsia"/>
          <w:sz w:val="32"/>
          <w:szCs w:val="32"/>
        </w:rPr>
        <w:t>经费。</w:t>
      </w:r>
    </w:p>
    <w:p>
      <w:pPr>
        <w:spacing w:line="600" w:lineRule="exact"/>
        <w:ind w:firstLine="640"/>
        <w:rPr>
          <w:rFonts w:eastAsia="仿宋_GB2312" w:cs="仿宋_GB2312"/>
          <w:b/>
          <w:bCs/>
          <w:sz w:val="32"/>
          <w:szCs w:val="32"/>
        </w:rPr>
      </w:pPr>
      <w:r>
        <w:rPr>
          <w:rFonts w:eastAsia="仿宋_GB2312" w:cs="仿宋_GB2312" w:hint="eastAsia"/>
          <w:b/>
          <w:bCs/>
          <w:sz w:val="32"/>
          <w:szCs w:val="32"/>
        </w:rPr>
        <w:t>（注：上述“预算”口径为全年预算数，包括一般公共预算和政府性基金预算财政拨款支出决算情况）</w:t>
      </w:r>
    </w:p>
    <w:p>
      <w:pPr>
        <w:spacing w:line="600" w:lineRule="exact"/>
        <w:ind w:firstLineChars="200" w:firstLine="640"/>
        <w:outlineLvl w:val="2"/>
        <w:rPr>
          <w:rFonts w:eastAsia="楷体_GB2312" w:cs="楷体_GB2312"/>
          <w:b/>
          <w:sz w:val="32"/>
          <w:szCs w:val="32"/>
        </w:rPr>
      </w:pPr>
      <w:bookmarkStart w:id="61" w:name="_Toc15377217"/>
      <w:r>
        <w:rPr>
          <w:rFonts w:eastAsia="楷体_GB2312" w:cs="楷体_GB2312" w:hint="eastAsia"/>
          <w:b/>
          <w:sz w:val="32"/>
          <w:szCs w:val="32"/>
        </w:rPr>
        <w:t>（二）“三公”经费财政拨款支出决算具体情况说明</w:t>
      </w:r>
      <w:bookmarkEnd w:id="61"/>
    </w:p>
    <w:p>
      <w:pPr>
        <w:spacing w:line="600" w:lineRule="exact"/>
        <w:ind w:firstLine="640"/>
        <w:rPr>
          <w:rFonts w:ascii="仿宋_GB2312" w:eastAsia="仿宋_GB2312" w:cs="仿宋_GB2312"/>
          <w:sz w:val="32"/>
          <w:szCs w:val="32"/>
        </w:rPr>
      </w:pPr>
      <w:r>
        <w:rPr>
          <w:rFonts w:ascii="仿宋_GB2312" w:eastAsia="仿宋_GB2312" w:cs="仿宋_GB2312" w:hint="eastAsia"/>
          <w:sz w:val="32"/>
          <w:szCs w:val="32"/>
        </w:rPr>
        <w:t>2025年度“三公”经费财政拨款支出决算中，因公出国（境）费支出决算0万元，占0%；公务用车购置及运行维护费支出决算0万元，占0%；公务接待费支出决算0万元，占0%。具体情况如下：</w:t>
      </w:r>
    </w:p>
    <w:p>
      <w:pPr>
        <w:spacing w:line="600" w:lineRule="exact"/>
        <w:ind w:firstLine="640"/>
        <w:rPr>
          <w:rFonts w:eastAsia="仿宋_GB2312" w:cs="仿宋_GB2312"/>
          <w:sz w:val="32"/>
          <w:szCs w:val="32"/>
        </w:rPr>
      </w:pPr>
      <w:r>
        <w:rPr>
          <w:rFonts w:eastAsia="仿宋_GB2312" w:cs="仿宋_GB2312" w:hint="eastAsia"/>
          <w:sz w:val="32"/>
          <w:szCs w:val="32"/>
        </w:rPr>
        <w:t>（图7：“三公”经费财政拨款支出结构）（饼状图）</w:t>
      </w:r>
    </w:p>
    <w:p>
      <w:pPr>
        <w:spacing w:line="600" w:lineRule="exact"/>
        <w:ind w:firstLine="640"/>
        <w:rPr>
          <w:rFonts w:eastAsia="仿宋_GB2312" w:cs="仿宋_GB2312"/>
          <w:sz w:val="32"/>
          <w:szCs w:val="32"/>
        </w:rPr>
      </w:pPr>
      <w:r>
        <w:rPr>
          <w:rFonts w:eastAsia="仿宋_GB2312" w:cs="仿宋_GB2312" w:hint="eastAsia"/>
          <w:b/>
          <w:bCs/>
          <w:sz w:val="32"/>
          <w:szCs w:val="32"/>
        </w:rPr>
        <w:t>1.因公出国（境）经费支出0万元，完成预算100%。</w:t>
      </w:r>
      <w:r>
        <w:rPr>
          <w:rFonts w:eastAsia="仿宋_GB2312" w:cs="仿宋_GB2312" w:hint="eastAsia"/>
          <w:sz w:val="32"/>
          <w:szCs w:val="32"/>
        </w:rPr>
        <w:t>全年安排因公出国（境）团</w:t>
      </w:r>
      <w:r>
        <w:rPr>
          <w:rFonts w:ascii="仿宋_GB2312" w:eastAsia="仿宋_GB2312" w:cs="仿宋_GB2312" w:hint="eastAsia"/>
          <w:sz w:val="32"/>
          <w:szCs w:val="32"/>
        </w:rPr>
        <w:t>组0</w:t>
      </w:r>
      <w:r>
        <w:rPr>
          <w:rFonts w:eastAsia="仿宋_GB2312" w:cs="仿宋_GB2312" w:hint="eastAsia"/>
          <w:sz w:val="32"/>
          <w:szCs w:val="32"/>
        </w:rPr>
        <w:t>次，出国（境）</w:t>
      </w:r>
      <w:r>
        <w:rPr>
          <w:rFonts w:ascii="仿宋_GB2312" w:eastAsia="仿宋_GB2312" w:cs="仿宋_GB2312" w:hint="eastAsia"/>
          <w:sz w:val="32"/>
          <w:szCs w:val="32"/>
        </w:rPr>
        <w:t>0人</w:t>
      </w:r>
      <w:r>
        <w:rPr>
          <w:rFonts w:eastAsia="仿宋_GB2312" w:cs="仿宋_GB2312" w:hint="eastAsia"/>
          <w:sz w:val="32"/>
          <w:szCs w:val="32"/>
        </w:rPr>
        <w:t>。因公出国（境）支出决算与2024年持平。主要原因是无此项经费，开支内容包括：团组名称、出访地点、取得成效等。</w:t>
      </w:r>
    </w:p>
    <w:p>
      <w:pPr>
        <w:spacing w:line="600" w:lineRule="exact"/>
        <w:ind w:firstLine="640"/>
        <w:rPr>
          <w:rFonts w:eastAsia="仿宋_GB2312" w:cs="仿宋_GB2312"/>
          <w:sz w:val="32"/>
          <w:szCs w:val="32"/>
        </w:rPr>
      </w:pPr>
      <w:r>
        <w:rPr>
          <w:rFonts w:eastAsia="仿宋_GB2312" w:cs="仿宋_GB2312" w:hint="eastAsia"/>
          <w:b/>
          <w:bCs/>
          <w:sz w:val="32"/>
          <w:szCs w:val="32"/>
        </w:rPr>
        <w:t>2.公务用车购置及运行维护费支出</w:t>
      </w:r>
      <w:r>
        <w:rPr>
          <w:rFonts w:ascii="仿宋_GB2312" w:eastAsia="仿宋_GB2312" w:cs="仿宋_GB2312" w:hint="eastAsia"/>
          <w:b/>
          <w:bCs/>
          <w:sz w:val="32"/>
          <w:szCs w:val="32"/>
        </w:rPr>
        <w:t>0万</w:t>
      </w:r>
      <w:r>
        <w:rPr>
          <w:rFonts w:eastAsia="仿宋_GB2312" w:cs="仿宋_GB2312" w:hint="eastAsia"/>
          <w:b/>
          <w:bCs/>
          <w:sz w:val="32"/>
          <w:szCs w:val="32"/>
        </w:rPr>
        <w:t>元，完成预算100%。</w:t>
      </w:r>
      <w:r>
        <w:rPr>
          <w:rFonts w:eastAsia="仿宋_GB2312" w:cs="仿宋_GB2312" w:hint="eastAsia"/>
          <w:sz w:val="32"/>
          <w:szCs w:val="32"/>
        </w:rPr>
        <w:t>公务用车购置及运行维护费支出决算比2024年度持平。主要原因是无此项经费。</w:t>
      </w:r>
    </w:p>
    <w:p>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cs="仿宋_GB2312" w:hint="eastAsia"/>
          <w:sz w:val="32"/>
          <w:szCs w:val="32"/>
        </w:rPr>
        <w:t>出0</w:t>
      </w:r>
      <w:r>
        <w:rPr>
          <w:rFonts w:eastAsia="仿宋_GB2312" w:cs="仿宋_GB2312" w:hint="eastAsia"/>
          <w:sz w:val="32"/>
          <w:szCs w:val="32"/>
        </w:rPr>
        <w:t>万元。全年按规定更新购置公务用车0辆，其中：轿车0辆、金额0万元，越野车0辆、金额0万元，载客汽车0辆、金额0万元，主要用于公务。截至2025年12月31日，单位共有公务用车0辆，其中：轿车0辆、越野车0辆、载客汽车0辆。</w:t>
      </w:r>
    </w:p>
    <w:p>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cs="仿宋_GB2312" w:hint="eastAsia"/>
          <w:sz w:val="32"/>
          <w:szCs w:val="32"/>
        </w:rPr>
        <w:t>出0</w:t>
      </w:r>
      <w:r>
        <w:rPr>
          <w:rFonts w:eastAsia="仿宋_GB2312" w:cs="仿宋_GB2312" w:hint="eastAsia"/>
          <w:sz w:val="32"/>
          <w:szCs w:val="32"/>
        </w:rPr>
        <w:t>万元。</w:t>
      </w:r>
    </w:p>
    <w:p>
      <w:pPr>
        <w:spacing w:line="600" w:lineRule="exact"/>
        <w:ind w:firstLine="640"/>
        <w:rPr>
          <w:rFonts w:eastAsia="仿宋_GB2312" w:cs="仿宋_GB2312"/>
          <w:sz w:val="32"/>
          <w:szCs w:val="32"/>
        </w:rPr>
      </w:pPr>
      <w:r>
        <w:rPr>
          <w:rFonts w:eastAsia="仿宋_GB2312" w:cs="仿宋_GB2312" w:hint="eastAsia"/>
          <w:b/>
          <w:bCs/>
          <w:sz w:val="32"/>
          <w:szCs w:val="32"/>
        </w:rPr>
        <w:t>3.公务接待费支出</w:t>
      </w:r>
      <w:r>
        <w:rPr>
          <w:rFonts w:ascii="仿宋_GB2312" w:eastAsia="仿宋_GB2312" w:cs="仿宋_GB2312" w:hint="eastAsia"/>
          <w:b/>
          <w:bCs/>
          <w:sz w:val="32"/>
          <w:szCs w:val="32"/>
        </w:rPr>
        <w:t>0万</w:t>
      </w:r>
      <w:r>
        <w:rPr>
          <w:rFonts w:eastAsia="仿宋_GB2312" w:cs="仿宋_GB2312" w:hint="eastAsia"/>
          <w:b/>
          <w:bCs/>
          <w:sz w:val="32"/>
          <w:szCs w:val="32"/>
        </w:rPr>
        <w:t>元，完成预算100%。</w:t>
      </w:r>
      <w:r>
        <w:rPr>
          <w:rFonts w:eastAsia="仿宋_GB2312" w:cs="仿宋_GB2312" w:hint="eastAsia"/>
          <w:sz w:val="32"/>
          <w:szCs w:val="32"/>
        </w:rPr>
        <w:t>公务接待费支出决算比2024年度持平。主要原因是无此项经费。其中：</w:t>
      </w:r>
    </w:p>
    <w:p>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cs="仿宋_GB2312" w:hint="eastAsia"/>
          <w:sz w:val="32"/>
          <w:szCs w:val="32"/>
        </w:rPr>
        <w:t>出0万</w:t>
      </w:r>
      <w:r>
        <w:rPr>
          <w:rFonts w:eastAsia="仿宋_GB2312" w:cs="仿宋_GB2312" w:hint="eastAsia"/>
          <w:sz w:val="32"/>
          <w:szCs w:val="32"/>
        </w:rPr>
        <w:t>元，。国内公务接</w:t>
      </w:r>
      <w:r>
        <w:rPr>
          <w:rFonts w:ascii="仿宋_GB2312" w:eastAsia="仿宋_GB2312" w:cs="仿宋_GB2312" w:hint="eastAsia"/>
          <w:sz w:val="32"/>
          <w:szCs w:val="32"/>
        </w:rPr>
        <w:t>待0批次，0</w:t>
      </w:r>
      <w:r>
        <w:rPr>
          <w:rFonts w:eastAsia="仿宋_GB2312" w:cs="仿宋_GB2312" w:hint="eastAsia"/>
          <w:sz w:val="32"/>
          <w:szCs w:val="32"/>
        </w:rPr>
        <w:t>人次（不包括陪同人员），共计支出0万元，外事接待支</w:t>
      </w:r>
      <w:r>
        <w:rPr>
          <w:rFonts w:ascii="仿宋_GB2312" w:eastAsia="仿宋_GB2312" w:cs="仿宋_GB2312" w:hint="eastAsia"/>
          <w:sz w:val="32"/>
          <w:szCs w:val="32"/>
        </w:rPr>
        <w:t>出0万元，主要用于……（具体项目）。外事接待0批次，0人次（不包括陪同人员），共计支出0万</w:t>
      </w:r>
      <w:r>
        <w:rPr>
          <w:rFonts w:eastAsia="仿宋_GB2312" w:cs="仿宋_GB2312" w:hint="eastAsia"/>
          <w:sz w:val="32"/>
          <w:szCs w:val="32"/>
        </w:rPr>
        <w:t>元。</w:t>
      </w:r>
      <w:bookmarkStart w:id="62" w:name="_Toc15377218"/>
      <w:bookmarkStart w:id="63" w:name="_Toc15396610"/>
    </w:p>
    <w:p>
      <w:pPr>
        <w:spacing w:line="600" w:lineRule="exact"/>
        <w:ind w:firstLine="640"/>
        <w:outlineLvl w:val="1"/>
        <w:rPr>
          <w:rStyle w:val="2Char"/>
          <w:rFonts w:ascii="Times New Roman" w:eastAsia="黑体" w:hAnsi="Times New Roman"/>
        </w:rPr>
      </w:pPr>
      <w:bookmarkStart w:id="64" w:name="_Toc1780642564"/>
      <w:r>
        <w:rPr>
          <w:rFonts w:eastAsia="黑体" w:hint="eastAsia"/>
          <w:sz w:val="32"/>
          <w:szCs w:val="32"/>
        </w:rPr>
        <w:t>八、</w:t>
      </w:r>
      <w:r>
        <w:rPr>
          <w:rStyle w:val="2Char"/>
          <w:rFonts w:ascii="Times New Roman" w:eastAsia="黑体" w:hAnsi="Times New Roman" w:hint="eastAsia"/>
          <w:b w:val="0"/>
        </w:rPr>
        <w:t>政府性基金预算支出决算情况说明</w:t>
      </w:r>
      <w:bookmarkEnd w:id="62"/>
      <w:bookmarkEnd w:id="63"/>
      <w:bookmarkEnd w:id="64"/>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2025年度政府性基金预算财政拨款支出0万元，占本年支出合计的0%</w:t>
      </w:r>
      <w:r>
        <w:rPr>
          <w:rFonts w:eastAsia="仿宋_GB2312" w:cs="仿宋_GB2312" w:hint="eastAsia"/>
          <w:sz w:val="32"/>
          <w:szCs w:val="32"/>
        </w:rPr>
        <w:t>。与2024年度相比，政府性基金预算财政拨款支出持平。</w:t>
      </w:r>
    </w:p>
    <w:p>
      <w:pPr>
        <w:spacing w:line="600" w:lineRule="exact"/>
        <w:ind w:left="630"/>
        <w:outlineLvl w:val="1"/>
        <w:rPr>
          <w:rStyle w:val="2Char"/>
          <w:rFonts w:ascii="Times New Roman" w:eastAsia="黑体" w:hAnsi="Times New Roman"/>
          <w:b w:val="0"/>
        </w:rPr>
      </w:pPr>
      <w:bookmarkStart w:id="65" w:name="_Toc15377219"/>
      <w:bookmarkStart w:id="66" w:name="_Toc1742046299"/>
      <w:bookmarkStart w:id="67" w:name="_Toc15396611"/>
      <w:r>
        <w:rPr>
          <w:rStyle w:val="2Char"/>
          <w:rFonts w:ascii="Times New Roman" w:eastAsia="黑体" w:hAnsi="Times New Roman" w:hint="eastAsia"/>
          <w:b w:val="0"/>
        </w:rPr>
        <w:t>九、国有资本经营预算支出决算情况说明</w:t>
      </w:r>
      <w:bookmarkEnd w:id="65"/>
      <w:bookmarkEnd w:id="66"/>
      <w:bookmarkEnd w:id="67"/>
    </w:p>
    <w:p>
      <w:pPr>
        <w:spacing w:line="600" w:lineRule="exact"/>
        <w:ind w:firstLine="640"/>
        <w:rPr>
          <w:rFonts w:eastAsia="仿宋_GB2312" w:cs="仿宋_GB2312"/>
          <w:sz w:val="32"/>
          <w:szCs w:val="32"/>
        </w:rPr>
      </w:pPr>
      <w:r>
        <w:rPr>
          <w:rFonts w:eastAsia="仿宋_GB2312" w:cs="仿宋_GB2312" w:hint="eastAsia"/>
          <w:sz w:val="32"/>
          <w:szCs w:val="32"/>
        </w:rPr>
        <w:t>2025年度国有资本经营预算财政拨款支出</w:t>
      </w:r>
      <w:r>
        <w:rPr>
          <w:rFonts w:ascii="仿宋_GB2312" w:eastAsia="仿宋_GB2312" w:cs="仿宋_GB2312" w:hint="eastAsia"/>
          <w:sz w:val="32"/>
          <w:szCs w:val="32"/>
        </w:rPr>
        <w:t>0万元，占本年支出合计的0%</w:t>
      </w:r>
      <w:r>
        <w:rPr>
          <w:rFonts w:eastAsia="仿宋_GB2312" w:cs="仿宋_GB2312" w:hint="eastAsia"/>
          <w:sz w:val="32"/>
          <w:szCs w:val="32"/>
        </w:rPr>
        <w:t>。与2024年度相比，国有资本经营预算财政拨款支出持平。</w:t>
      </w:r>
    </w:p>
    <w:p>
      <w:pPr>
        <w:spacing w:line="600" w:lineRule="exact"/>
        <w:ind w:left="630"/>
        <w:outlineLvl w:val="1"/>
        <w:rPr>
          <w:rStyle w:val="2Char"/>
          <w:rFonts w:ascii="Times New Roman" w:eastAsia="黑体" w:hAnsi="Times New Roman"/>
          <w:b w:val="0"/>
        </w:rPr>
      </w:pPr>
      <w:bookmarkStart w:id="68" w:name="_Toc15396612"/>
      <w:bookmarkStart w:id="69" w:name="_Toc1023446929"/>
      <w:bookmarkStart w:id="70" w:name="_Toc15377221"/>
      <w:r>
        <w:rPr>
          <w:rStyle w:val="2Char"/>
          <w:rFonts w:ascii="Times New Roman" w:eastAsia="黑体" w:hAnsi="Times New Roman" w:hint="eastAsia"/>
          <w:b w:val="0"/>
        </w:rPr>
        <w:t>十、其他重要事项的情况说明</w:t>
      </w:r>
      <w:bookmarkEnd w:id="68"/>
      <w:bookmarkEnd w:id="69"/>
      <w:bookmarkEnd w:id="70"/>
    </w:p>
    <w:p>
      <w:pPr>
        <w:spacing w:line="600" w:lineRule="exact"/>
        <w:ind w:firstLineChars="200" w:firstLine="640"/>
        <w:outlineLvl w:val="2"/>
        <w:rPr>
          <w:rFonts w:eastAsia="楷体_GB2312" w:cs="楷体_GB2312"/>
          <w:b/>
          <w:sz w:val="32"/>
          <w:szCs w:val="32"/>
        </w:rPr>
      </w:pPr>
      <w:bookmarkStart w:id="71" w:name="_Toc15377222"/>
      <w:r>
        <w:rPr>
          <w:rFonts w:eastAsia="楷体_GB2312" w:cs="楷体_GB2312" w:hint="eastAsia"/>
          <w:b/>
          <w:sz w:val="32"/>
          <w:szCs w:val="32"/>
        </w:rPr>
        <w:t>（一）机关运行经费支出情况</w:t>
      </w:r>
      <w:bookmarkEnd w:id="71"/>
    </w:p>
    <w:p>
      <w:pPr>
        <w:spacing w:line="600" w:lineRule="exact"/>
        <w:ind w:firstLine="640"/>
        <w:rPr>
          <w:rFonts w:eastAsia="仿宋_GB2312" w:cs="仿宋_GB2312"/>
          <w:sz w:val="32"/>
          <w:szCs w:val="32"/>
        </w:rPr>
      </w:pPr>
      <w:r>
        <w:rPr>
          <w:rFonts w:eastAsia="仿宋_GB2312" w:cs="仿宋_GB2312" w:hint="eastAsia"/>
          <w:sz w:val="32"/>
          <w:szCs w:val="32"/>
        </w:rPr>
        <w:t>2025年度</w:t>
      </w:r>
      <w:r>
        <w:rPr>
          <w:rFonts w:ascii="仿宋_GB2312" w:eastAsia="仿宋_GB2312" w:cs="仿宋_GB2312" w:hint="eastAsia"/>
          <w:sz w:val="32"/>
          <w:szCs w:val="32"/>
        </w:rPr>
        <w:t>，中共阿坝州若尔盖县文化艺术界联合会机关运行经费支出0万</w:t>
      </w:r>
      <w:r>
        <w:rPr>
          <w:rFonts w:eastAsia="仿宋_GB2312" w:cs="仿宋_GB2312" w:hint="eastAsia"/>
          <w:sz w:val="32"/>
          <w:szCs w:val="32"/>
        </w:rPr>
        <w:t>元，比2024年度持平。主要原因是无变动。</w:t>
      </w:r>
    </w:p>
    <w:p>
      <w:pPr>
        <w:spacing w:line="600" w:lineRule="exact"/>
        <w:ind w:firstLineChars="200" w:firstLine="640"/>
        <w:outlineLvl w:val="2"/>
        <w:rPr>
          <w:rFonts w:eastAsia="楷体_GB2312" w:cs="楷体_GB2312"/>
          <w:b/>
          <w:sz w:val="32"/>
          <w:szCs w:val="32"/>
        </w:rPr>
      </w:pPr>
      <w:bookmarkStart w:id="72" w:name="_Toc15377223"/>
      <w:r>
        <w:rPr>
          <w:rFonts w:eastAsia="楷体_GB2312" w:cs="楷体_GB2312" w:hint="eastAsia"/>
          <w:b/>
          <w:sz w:val="32"/>
          <w:szCs w:val="32"/>
        </w:rPr>
        <w:t>（二）政府采购支出情况</w:t>
      </w:r>
      <w:bookmarkEnd w:id="72"/>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中共阿坝州若尔盖县文化艺术界联合会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spacing w:line="600" w:lineRule="exact"/>
        <w:ind w:firstLineChars="200" w:firstLine="640"/>
        <w:outlineLvl w:val="2"/>
        <w:rPr>
          <w:rFonts w:eastAsia="楷体_GB2312" w:cs="楷体_GB2312"/>
          <w:b/>
          <w:sz w:val="32"/>
          <w:szCs w:val="32"/>
        </w:rPr>
      </w:pPr>
      <w:bookmarkStart w:id="73" w:name="_Toc15377224"/>
      <w:r>
        <w:rPr>
          <w:rFonts w:eastAsia="楷体_GB2312" w:cs="楷体_GB2312" w:hint="eastAsia"/>
          <w:b/>
          <w:sz w:val="32"/>
          <w:szCs w:val="32"/>
        </w:rPr>
        <w:t>（三）国有资产占有使用情况</w:t>
      </w:r>
      <w:bookmarkEnd w:id="73"/>
    </w:p>
    <w:p>
      <w:pPr>
        <w:spacing w:line="600" w:lineRule="exact"/>
        <w:ind w:firstLine="640"/>
        <w:rPr>
          <w:rFonts w:eastAsia="仿宋_GB2312" w:cs="仿宋_GB2312"/>
          <w:sz w:val="32"/>
          <w:szCs w:val="32"/>
        </w:rPr>
      </w:pPr>
      <w:r>
        <w:rPr>
          <w:rFonts w:ascii="仿宋_GB2312" w:eastAsia="仿宋_GB2312" w:cs="仿宋_GB2312" w:hint="eastAsia"/>
          <w:sz w:val="32"/>
          <w:szCs w:val="32"/>
        </w:rPr>
        <w:t>截至2025年12月31日，中共阿坝州若尔盖县文化艺术界联合会共有车辆0辆，其中：主要负责人用车0辆、机要通信用车0辆、应急保障用车0辆、其他用车0辆，单价0万元（含）以上设备（不含车辆）0台（套）</w:t>
      </w:r>
      <w:r>
        <w:rPr>
          <w:rFonts w:eastAsia="仿宋_GB2312" w:cs="仿宋_GB2312" w:hint="eastAsia"/>
          <w:sz w:val="32"/>
          <w:szCs w:val="32"/>
        </w:rPr>
        <w:t>。</w:t>
      </w:r>
    </w:p>
    <w:p>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pPr>
        <w:spacing w:line="600" w:lineRule="exact"/>
        <w:ind w:firstLine="640"/>
        <w:rPr>
          <w:rFonts w:ascii="仿宋_GB2312" w:eastAsia="仿宋_GB2312"/>
          <w:sz w:val="32"/>
          <w:szCs w:val="32"/>
        </w:rPr>
      </w:pPr>
      <w:r>
        <w:rPr>
          <w:rFonts w:ascii="仿宋_GB2312" w:eastAsia="仿宋_GB2312" w:hint="eastAsia"/>
          <w:sz w:val="32"/>
          <w:szCs w:val="32"/>
        </w:rPr>
        <w:t>根据预算绩效管理要求，本单位在2024年度预算编制阶段，组织对0项目（项目名称）等0个项目开展了预算事前绩效评估，对0个项目编制了绩效目标，预算执行过程中，选取0个项目开展绩效监控，组织对0个项目开展绩效自评，绩效自评表详见第四部分附件。</w:t>
      </w:r>
    </w:p>
    <w:p>
      <w:pPr>
        <w:spacing w:line="600" w:lineRule="exact"/>
        <w:jc w:val="center"/>
        <w:outlineLvl w:val="0"/>
        <w:rPr>
          <w:rFonts w:eastAsia="黑体"/>
          <w:sz w:val="44"/>
          <w:szCs w:val="44"/>
        </w:rPr>
      </w:pPr>
      <w:bookmarkStart w:id="74" w:name="_Toc816001885"/>
      <w:bookmarkStart w:id="75" w:name="_Toc15396613"/>
      <w:bookmarkStart w:id="76" w:name="_Toc15377225"/>
      <w:r>
        <w:rPr>
          <w:rFonts w:eastAsia="黑体" w:hint="eastAsia"/>
          <w:sz w:val="44"/>
          <w:szCs w:val="44"/>
        </w:rPr>
        <w:t>第三部分  名词解释</w:t>
      </w:r>
      <w:bookmarkEnd w:id="74"/>
      <w:bookmarkEnd w:id="75"/>
      <w:bookmarkEnd w:id="76"/>
    </w:p>
    <w:p>
      <w:pPr>
        <w:spacing w:line="600" w:lineRule="exact"/>
        <w:ind w:firstLine="640"/>
        <w:rPr>
          <w:rFonts w:eastAsia="仿宋_GB2312" w:cs="仿宋_GB2312"/>
          <w:sz w:val="32"/>
          <w:szCs w:val="32"/>
        </w:rPr>
      </w:pPr>
      <w:r>
        <w:rPr>
          <w:rFonts w:eastAsia="仿宋_GB2312" w:cs="仿宋_GB2312" w:hint="eastAsia"/>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hint="eastAsia"/>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eastAsia="仿宋_GB2312" w:cs="仿宋_GB2312" w:hint="eastAsia"/>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eastAsia="仿宋_GB2312" w:cs="仿宋_GB2312" w:hint="eastAsia"/>
          <w:sz w:val="32"/>
          <w:szCs w:val="32"/>
        </w:rPr>
        <w:t>4.其他收入：指单位取得的除上述收入以外的各项收入。</w:t>
      </w:r>
    </w:p>
    <w:p>
      <w:pPr>
        <w:spacing w:line="600" w:lineRule="exact"/>
        <w:ind w:firstLine="640"/>
        <w:rPr>
          <w:rFonts w:eastAsia="仿宋_GB2312" w:cs="仿宋_GB2312"/>
          <w:sz w:val="32"/>
          <w:szCs w:val="32"/>
        </w:rPr>
      </w:pPr>
      <w:r>
        <w:rPr>
          <w:rFonts w:eastAsia="仿宋_GB2312" w:cs="仿宋_GB2312" w:hint="eastAsia"/>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eastAsia="仿宋_GB2312" w:cs="仿宋_GB2312" w:hint="eastAsia"/>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hint="eastAsia"/>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eastAsia="仿宋_GB2312" w:cs="仿宋_GB2312" w:hint="eastAsia"/>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eastAsia="仿宋_GB2312" w:cs="仿宋_GB2312" w:hint="eastAsia"/>
          <w:sz w:val="32"/>
          <w:szCs w:val="32"/>
        </w:rPr>
        <w:t>9.基本支出：指为保障机构正常运转、完成日常工作任务而发生的人员支出和公用支出。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hint="eastAsia"/>
          <w:sz w:val="32"/>
          <w:szCs w:val="32"/>
        </w:rPr>
        <w:t xml:space="preserve">10.项目支出：指在基本支出之外为完成特定行政任务和事业发展目标所发生的支出。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hint="eastAsia"/>
          <w:sz w:val="32"/>
          <w:szCs w:val="32"/>
        </w:rPr>
        <w:t>11.经营支出：指事业单位在专业业务活动及其辅助活动之外开展非独立核算经营活动发生的支出。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eastAsia="仿宋_GB2312" w:cs="仿宋_GB2312" w:hint="eastAsia"/>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hint="eastAsia"/>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eastAsia="黑体"/>
          <w:sz w:val="44"/>
          <w:szCs w:val="44"/>
        </w:rPr>
      </w:pPr>
      <w:bookmarkStart w:id="77" w:name="_Toc15396614"/>
      <w:bookmarkStart w:id="78" w:name="_Toc15377226"/>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pStyle w:val="15"/>
        <w:spacing w:beforeLines="0" w:before="93"/>
      </w:pPr>
    </w:p>
    <w:p>
      <w:pPr>
        <w:spacing w:line="600" w:lineRule="exact"/>
        <w:jc w:val="center"/>
        <w:rPr>
          <w:rFonts w:eastAsia="黑体"/>
          <w:sz w:val="44"/>
          <w:szCs w:val="44"/>
        </w:rPr>
      </w:pPr>
    </w:p>
    <w:p>
      <w:pPr>
        <w:spacing w:line="600" w:lineRule="exact"/>
        <w:jc w:val="center"/>
        <w:outlineLvl w:val="0"/>
        <w:rPr>
          <w:rStyle w:val="1Char"/>
          <w:rFonts w:eastAsia="黑体"/>
          <w:b w:val="0"/>
        </w:rPr>
      </w:pPr>
      <w:bookmarkStart w:id="79" w:name="_Toc377528193"/>
      <w:r>
        <w:rPr>
          <w:rFonts w:eastAsia="黑体" w:hint="eastAsia"/>
          <w:sz w:val="44"/>
          <w:szCs w:val="44"/>
        </w:rPr>
        <w:t>第四部分  附件</w:t>
      </w:r>
      <w:bookmarkEnd w:id="77"/>
      <w:bookmarkEnd w:id="79"/>
    </w:p>
    <w:p>
      <w:pPr>
        <w:spacing w:line="572" w:lineRule="exact"/>
        <w:jc w:val="left"/>
        <w:rPr>
          <w:rFonts w:ascii="仿宋_GB2312" w:eastAsia="仿宋_GB2312" w:cs="仿宋_GB2312"/>
          <w:sz w:val="32"/>
          <w:szCs w:val="32"/>
        </w:rPr>
      </w:pPr>
    </w:p>
    <w:p>
      <w:pPr>
        <w:spacing w:line="600" w:lineRule="exact"/>
        <w:jc w:val="center"/>
        <w:outlineLvl w:val="1"/>
        <w:rPr>
          <w:rFonts w:ascii="黑体" w:eastAsia="黑体"/>
          <w:color w:val="FF0000"/>
          <w:sz w:val="44"/>
          <w:szCs w:val="44"/>
        </w:rPr>
      </w:pPr>
      <w:bookmarkStart w:id="80" w:name="_Toc679416442"/>
      <w:bookmarkStart w:id="81" w:name="_Toc19374"/>
      <w:r>
        <w:rPr>
          <w:rFonts w:hint="eastAsia"/>
          <w:sz w:val="32"/>
          <w:szCs w:val="32"/>
        </w:rPr>
        <w:t>部门预算项目支出绩效自评表（2025年度）</w:t>
      </w:r>
      <w:bookmarkEnd w:id="80"/>
      <w:bookmarkEnd w:id="81"/>
    </w:p>
    <w:p>
      <w:pPr>
        <w:pStyle w:val="17"/>
        <w:spacing w:line="560" w:lineRule="exact"/>
        <w:ind w:leftChars="0" w:left="0"/>
        <w:rPr>
          <w:sz w:val="32"/>
        </w:rPr>
      </w:pPr>
    </w:p>
    <w:p>
      <w:pPr>
        <w:pStyle w:val="15"/>
        <w:spacing w:beforeLines="0" w:before="30"/>
        <w:ind w:firstLineChars="750" w:firstLine="2400"/>
        <w:rPr>
          <w:rFonts w:cs="仿宋"/>
          <w:b/>
          <w:bCs/>
          <w:sz w:val="32"/>
          <w:szCs w:val="32"/>
        </w:rPr>
      </w:pPr>
      <w:r>
        <w:rPr>
          <w:rFonts w:cs="仿宋" w:hint="eastAsia"/>
          <w:sz w:val="32"/>
        </w:rPr>
        <w:t>无</w:t>
      </w:r>
    </w:p>
    <w:p>
      <w:pPr>
        <w:pStyle w:val="15"/>
        <w:spacing w:beforeLines="0" w:before="30"/>
        <w:rPr>
          <w:rFonts w:cs="仿宋"/>
          <w:sz w:val="32"/>
          <w:szCs w:val="32"/>
        </w:rPr>
      </w:pPr>
    </w:p>
    <w:p>
      <w:pPr>
        <w:spacing w:line="578" w:lineRule="exact"/>
        <w:ind w:firstLine="640"/>
        <w:rPr>
          <w:rFonts w:eastAsia="仿宋_GB2312" w:cs="仿宋_GB2312"/>
          <w:kern w:val="0"/>
          <w:sz w:val="32"/>
          <w:szCs w:val="32"/>
        </w:rPr>
      </w:pPr>
      <w:bookmarkStart w:id="82" w:name="_Toc15396618"/>
      <w:r>
        <w:rPr>
          <w:rFonts w:eastAsia="仿宋_GB2312" w:cs="仿宋_GB2312" w:hint="eastAsia"/>
          <w:kern w:val="0"/>
          <w:sz w:val="32"/>
          <w:szCs w:val="32"/>
        </w:rPr>
        <w:br w:type="page"/>
      </w:r>
    </w:p>
    <w:p>
      <w:pPr>
        <w:widowControl/>
        <w:jc w:val="center"/>
        <w:outlineLvl w:val="0"/>
        <w:rPr>
          <w:rFonts w:eastAsia="仿宋"/>
        </w:rPr>
      </w:pPr>
      <w:bookmarkStart w:id="83" w:name="_Toc1464277687"/>
      <w:r>
        <w:rPr>
          <w:rFonts w:eastAsia="黑体" w:hint="eastAsia"/>
          <w:sz w:val="44"/>
          <w:szCs w:val="44"/>
        </w:rPr>
        <w:t>第</w:t>
      </w:r>
      <w:r>
        <w:rPr>
          <w:rStyle w:val="1Char"/>
          <w:rFonts w:eastAsia="黑体" w:hint="eastAsia"/>
          <w:b w:val="0"/>
        </w:rPr>
        <w:t>五部分 附表</w:t>
      </w:r>
      <w:bookmarkStart w:id="84" w:name="_Toc15396619"/>
      <w:bookmarkEnd w:id="78"/>
      <w:bookmarkEnd w:id="82"/>
      <w:bookmarkEnd w:id="83"/>
    </w:p>
    <w:p>
      <w:pPr>
        <w:pStyle w:val="24"/>
        <w:tabs>
          <w:tab w:val="right" w:leader="dot" w:pos="8296"/>
        </w:tabs>
        <w:adjustRightInd w:val="0"/>
        <w:snapToGrid w:val="0"/>
        <w:spacing w:line="560" w:lineRule="exact"/>
        <w:jc w:val="left"/>
        <w:rPr>
          <w:rFonts w:eastAsia="仿宋_GB2312" w:cs="仿宋_GB2312"/>
          <w:sz w:val="32"/>
          <w:szCs w:val="32"/>
        </w:rPr>
      </w:pPr>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84"/>
    </w:p>
    <w:p>
      <w:pPr>
        <w:pStyle w:val="24"/>
        <w:tabs>
          <w:tab w:val="right" w:leader="dot" w:pos="8296"/>
        </w:tabs>
        <w:adjustRightInd w:val="0"/>
        <w:snapToGrid w:val="0"/>
        <w:spacing w:line="560" w:lineRule="exact"/>
        <w:jc w:val="left"/>
        <w:rPr>
          <w:rFonts w:eastAsia="仿宋_GB2312" w:cs="仿宋_GB2312"/>
          <w:sz w:val="32"/>
          <w:szCs w:val="32"/>
        </w:rPr>
      </w:pPr>
      <w:bookmarkStart w:id="85" w:name="_Toc15396620"/>
      <w:r>
        <w:rPr>
          <w:rFonts w:eastAsia="仿宋_GB2312" w:cs="仿宋_GB2312" w:hint="eastAsia"/>
          <w:sz w:val="32"/>
          <w:szCs w:val="32"/>
        </w:rPr>
        <w:t>二、收入决算表</w:t>
      </w:r>
      <w:bookmarkEnd w:id="85"/>
    </w:p>
    <w:p>
      <w:pPr>
        <w:pStyle w:val="24"/>
        <w:tabs>
          <w:tab w:val="right" w:leader="dot" w:pos="8296"/>
        </w:tabs>
        <w:adjustRightInd w:val="0"/>
        <w:snapToGrid w:val="0"/>
        <w:spacing w:line="560" w:lineRule="exact"/>
        <w:jc w:val="left"/>
        <w:rPr>
          <w:rFonts w:eastAsia="仿宋_GB2312" w:cs="仿宋_GB2312"/>
          <w:sz w:val="32"/>
          <w:szCs w:val="32"/>
        </w:rPr>
      </w:pPr>
      <w:bookmarkStart w:id="86" w:name="_Toc15396621"/>
      <w:r>
        <w:rPr>
          <w:rFonts w:eastAsia="仿宋_GB2312" w:cs="仿宋_GB2312" w:hint="eastAsia"/>
          <w:sz w:val="32"/>
          <w:szCs w:val="32"/>
        </w:rPr>
        <w:t>三、支出决算表</w:t>
      </w:r>
      <w:bookmarkEnd w:id="86"/>
    </w:p>
    <w:p>
      <w:pPr>
        <w:pStyle w:val="24"/>
        <w:tabs>
          <w:tab w:val="right" w:leader="dot" w:pos="8296"/>
        </w:tabs>
        <w:adjustRightInd w:val="0"/>
        <w:snapToGrid w:val="0"/>
        <w:spacing w:line="560" w:lineRule="exact"/>
        <w:jc w:val="left"/>
        <w:rPr>
          <w:rFonts w:eastAsia="仿宋_GB2312" w:cs="仿宋_GB2312"/>
          <w:sz w:val="32"/>
          <w:szCs w:val="32"/>
        </w:rPr>
      </w:pPr>
      <w:bookmarkStart w:id="87" w:name="_Toc15396622"/>
      <w:r>
        <w:rPr>
          <w:rFonts w:eastAsia="仿宋_GB2312" w:cs="仿宋_GB2312" w:hint="eastAsia"/>
          <w:sz w:val="32"/>
          <w:szCs w:val="32"/>
        </w:rPr>
        <w:t>四、财政拨款收入支出决算总表</w:t>
      </w:r>
      <w:bookmarkEnd w:id="87"/>
    </w:p>
    <w:p>
      <w:pPr>
        <w:pStyle w:val="24"/>
        <w:tabs>
          <w:tab w:val="right" w:leader="dot" w:pos="8296"/>
        </w:tabs>
        <w:adjustRightInd w:val="0"/>
        <w:snapToGrid w:val="0"/>
        <w:spacing w:line="560" w:lineRule="exact"/>
        <w:jc w:val="left"/>
        <w:rPr>
          <w:rFonts w:eastAsia="仿宋_GB2312" w:cs="仿宋_GB2312"/>
          <w:sz w:val="32"/>
          <w:szCs w:val="32"/>
        </w:rPr>
      </w:pPr>
      <w:bookmarkStart w:id="88" w:name="_Toc15396623"/>
      <w:r>
        <w:rPr>
          <w:rFonts w:eastAsia="仿宋_GB2312" w:cs="仿宋_GB2312" w:hint="eastAsia"/>
          <w:sz w:val="32"/>
          <w:szCs w:val="32"/>
        </w:rPr>
        <w:t>五、财政拨款支出决算明细表</w:t>
      </w:r>
      <w:bookmarkStart w:id="89" w:name="_Toc15396624"/>
      <w:bookmarkEnd w:id="88"/>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89"/>
    </w:p>
    <w:p>
      <w:pPr>
        <w:pStyle w:val="24"/>
        <w:tabs>
          <w:tab w:val="right" w:leader="dot" w:pos="8296"/>
        </w:tabs>
        <w:adjustRightInd w:val="0"/>
        <w:snapToGrid w:val="0"/>
        <w:spacing w:line="560" w:lineRule="exact"/>
        <w:jc w:val="left"/>
        <w:rPr>
          <w:rFonts w:eastAsia="仿宋_GB2312" w:cs="仿宋_GB2312"/>
          <w:sz w:val="32"/>
          <w:szCs w:val="32"/>
        </w:rPr>
      </w:pPr>
      <w:bookmarkStart w:id="90" w:name="_Toc15396625"/>
      <w:r>
        <w:rPr>
          <w:rFonts w:eastAsia="仿宋_GB2312" w:cs="仿宋_GB2312" w:hint="eastAsia"/>
          <w:sz w:val="32"/>
          <w:szCs w:val="32"/>
        </w:rPr>
        <w:t>七、一般公共预算财政拨款支出决算明细表</w:t>
      </w:r>
      <w:bookmarkEnd w:id="90"/>
    </w:p>
    <w:p>
      <w:pPr>
        <w:pStyle w:val="24"/>
        <w:tabs>
          <w:tab w:val="right" w:leader="dot" w:pos="8296"/>
        </w:tabs>
        <w:adjustRightInd w:val="0"/>
        <w:snapToGrid w:val="0"/>
        <w:spacing w:line="560" w:lineRule="exact"/>
        <w:jc w:val="left"/>
        <w:rPr>
          <w:rFonts w:eastAsia="仿宋_GB2312" w:cs="仿宋_GB2312"/>
          <w:sz w:val="32"/>
          <w:szCs w:val="32"/>
        </w:rPr>
      </w:pPr>
      <w:bookmarkStart w:id="91" w:name="_Toc15396626"/>
      <w:r>
        <w:rPr>
          <w:rFonts w:eastAsia="仿宋_GB2312" w:cs="仿宋_GB2312" w:hint="eastAsia"/>
          <w:sz w:val="32"/>
          <w:szCs w:val="32"/>
        </w:rPr>
        <w:t>八、一般公共预算财政拨款基本支出决算表</w:t>
      </w:r>
      <w:bookmarkEnd w:id="91"/>
    </w:p>
    <w:p>
      <w:pPr>
        <w:pStyle w:val="24"/>
        <w:tabs>
          <w:tab w:val="right" w:leader="dot" w:pos="8296"/>
        </w:tabs>
        <w:adjustRightInd w:val="0"/>
        <w:snapToGrid w:val="0"/>
        <w:spacing w:line="560" w:lineRule="exact"/>
        <w:jc w:val="left"/>
        <w:rPr>
          <w:rFonts w:eastAsia="仿宋_GB2312" w:cs="仿宋_GB2312"/>
          <w:sz w:val="32"/>
          <w:szCs w:val="32"/>
        </w:rPr>
      </w:pPr>
      <w:bookmarkStart w:id="92" w:name="_Toc15396627"/>
      <w:r>
        <w:rPr>
          <w:rFonts w:eastAsia="仿宋_GB2312" w:cs="仿宋_GB2312" w:hint="eastAsia"/>
          <w:sz w:val="32"/>
          <w:szCs w:val="32"/>
        </w:rPr>
        <w:t>九、一般公共预算财政拨款项目支出决算表</w:t>
      </w:r>
      <w:bookmarkEnd w:id="92"/>
    </w:p>
    <w:p>
      <w:pPr>
        <w:pStyle w:val="24"/>
        <w:tabs>
          <w:tab w:val="right" w:leader="dot" w:pos="8296"/>
        </w:tabs>
        <w:adjustRightInd w:val="0"/>
        <w:snapToGrid w:val="0"/>
        <w:spacing w:line="560" w:lineRule="exact"/>
        <w:jc w:val="left"/>
        <w:rPr>
          <w:rFonts w:eastAsia="仿宋_GB2312" w:cs="仿宋_GB2312"/>
          <w:sz w:val="32"/>
          <w:szCs w:val="32"/>
        </w:rPr>
      </w:pPr>
      <w:bookmarkStart w:id="93" w:name="_Toc15396628"/>
      <w:r>
        <w:rPr>
          <w:rFonts w:eastAsia="仿宋_GB2312" w:cs="仿宋_GB2312" w:hint="eastAsia"/>
          <w:sz w:val="32"/>
          <w:szCs w:val="32"/>
        </w:rPr>
        <w:t>十、</w:t>
      </w:r>
      <w:bookmarkEnd w:id="93"/>
      <w:r>
        <w:rPr>
          <w:rFonts w:eastAsia="仿宋_GB2312" w:cs="仿宋_GB2312" w:hint="eastAsia"/>
          <w:sz w:val="32"/>
          <w:szCs w:val="32"/>
        </w:rPr>
        <w:t>政府性基金预算财政拨款收入支出决算表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94" w:name="_Toc15396629"/>
      <w:r>
        <w:rPr>
          <w:rFonts w:eastAsia="仿宋_GB2312" w:cs="仿宋_GB2312" w:hint="eastAsia"/>
          <w:sz w:val="32"/>
          <w:szCs w:val="32"/>
        </w:rPr>
        <w:t>十一、</w:t>
      </w:r>
      <w:bookmarkEnd w:id="94"/>
      <w:r>
        <w:rPr>
          <w:rFonts w:eastAsia="仿宋_GB2312" w:cs="仿宋_GB2312" w:hint="eastAsia"/>
          <w:sz w:val="32"/>
          <w:szCs w:val="32"/>
        </w:rPr>
        <w:t>国有资本经营预算财政拨款收入支出决算表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95" w:name="_Toc15396630"/>
      <w:r>
        <w:rPr>
          <w:rFonts w:eastAsia="仿宋_GB2312" w:cs="仿宋_GB2312" w:hint="eastAsia"/>
          <w:sz w:val="32"/>
          <w:szCs w:val="32"/>
        </w:rPr>
        <w:t>十二、</w:t>
      </w:r>
      <w:bookmarkEnd w:id="95"/>
      <w:r>
        <w:rPr>
          <w:rFonts w:eastAsia="仿宋_GB2312" w:cs="仿宋_GB2312" w:hint="eastAsia"/>
          <w:sz w:val="32"/>
          <w:szCs w:val="32"/>
        </w:rPr>
        <w:t>国有资本经营预算财政拨款支出决算表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96" w:name="_Toc15396631"/>
      <w:r>
        <w:rPr>
          <w:rFonts w:eastAsia="仿宋_GB2312" w:cs="仿宋_GB2312" w:hint="eastAsia"/>
          <w:sz w:val="32"/>
          <w:szCs w:val="32"/>
        </w:rPr>
        <w:t>十三、</w:t>
      </w:r>
      <w:bookmarkEnd w:id="96"/>
      <w:r>
        <w:rPr>
          <w:rFonts w:eastAsia="仿宋_GB2312" w:cs="仿宋_GB2312" w:hint="eastAsia"/>
          <w:sz w:val="32"/>
          <w:szCs w:val="32"/>
        </w:rPr>
        <w:t>财政拨款“三公”经费支出决算表</w:t>
      </w:r>
    </w:p>
    <w:p/>
    <w:sectPr>
      <w:footerReference w:type="default" r:id="rId5"/>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仿宋_GB2312">
    <w:altName w:val="方正仿宋_GBK"/>
    <w:panose1 w:val="02010609030101010101"/>
    <w:charset w:val="86"/>
    <w:family w:val="modern"/>
    <w:pitch w:val="variable"/>
    <w:sig w:usb0="00000001" w:usb1="080E0000" w:usb2="00000010" w:usb3="00000000" w:csb0="00040000" w:csb1="00000000"/>
  </w:font>
  <w:font w:name="方正仿宋_GBK">
    <w:altName w:val="微软雅黑"/>
    <w:panose1 w:val="00000000000000000000"/>
    <w:charset w:val="86"/>
    <w:family w:val="auto"/>
    <w:pitch w:val="variable"/>
    <w:sig w:usb0="00000000" w:usb1="08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altName w:val="方正仿宋_GBK"/>
    <w:panose1 w:val="02010609060101010101"/>
    <w:charset w:val="86"/>
    <w:family w:val="modern"/>
    <w:pitch w:val="variable"/>
    <w:sig w:usb0="800002BF" w:usb1="38CF7CFA" w:usb2="00000016" w:usb3="00000000" w:csb0="00040001" w:csb1="00000000"/>
  </w:font>
  <w:font w:name="楷体_GB2312">
    <w:altName w:val="方正楷体_GBK"/>
    <w:panose1 w:val="02010609030101010101"/>
    <w:charset w:val="86"/>
    <w:family w:val="modern"/>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Times New Roman"/>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center"/>
    </w:pPr>
  </w:p>
  <w:p>
    <w:pPr>
      <w:pStyle w:val="2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pPr>
    <w:r>
      <mc:AlternateContent>
        <mc:Choice Requires="wps">
          <w:drawing>
            <wp:anchor distT="0" distB="0" distL="114297" distR="114297" simplePos="0" relativeHeight="23" behindDoc="0" locked="0" layoutInCell="1" hidden="0" allowOverlap="1">
              <wp:simplePos x="0" y="0"/>
              <wp:positionH relativeFrom="margin">
                <wp:align>center</wp:align>
              </wp:positionH>
              <wp:positionV relativeFrom="paragraph">
                <wp:posOffset>0</wp:posOffset>
              </wp:positionV>
              <wp:extent cx="400844" cy="154600"/>
              <wp:effectExtent l="0" t="0" r="0" b="0"/>
              <wp:wrapNone/>
              <wp:docPr id="1" name="文本框"/>
              <wp:cNvGraphicFramePr>
                <a:graphicFrameLocks noChangeAspect="0"/>
              </wp:cNvGraphicFramePr>
              <a:graphic>
                <a:graphicData uri="http://schemas.microsoft.com/office/word/2010/wordprocessingShape">
                  <wps:wsp>
                    <wps:cNvSpPr/>
                    <wps:spPr>
                      <a:xfrm rot="0">
                        <a:off x="0" y="0"/>
                        <a:ext cx="400844" cy="154600"/>
                      </a:xfrm>
                      <a:prstGeom prst="rect"/>
                      <a:noFill/>
                      <a:ln w="9525" cmpd="sng" cap="flat">
                        <a:noFill/>
                        <a:prstDash val="solid"/>
                        <a:miter/>
                      </a:ln>
                    </wps:spPr>
                    <wps:txbx id="2">
                      <w:txbxContent>
                        <w:p>
                          <w:pPr>
                            <w:pStyle w:val="20"/>
                            <w:tabs>
                              <w:tab w:val="center" w:pos="4153"/>
                              <w:tab w:val="right" w:pos="8306"/>
                            </w:tabs>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anchorCtr="0" upright="1">
                      <a:spAutoFit/>
                    </wps:bodyPr>
                  </wps:wsp>
                </a:graphicData>
              </a:graphic>
            </wp:anchor>
          </w:drawing>
        </mc:Choice>
        <mc:Fallback>
          <w:pict>
            <v:shape type="#_x0000_t202" id="文本框 3" o:spid="_x0000_s3" filled="f" stroked="f" style="position:absolute;margin-left:0.0pt;margin-top:0.0pt;width:31.562588pt;height:12.1732645pt;z-index:23;mso-position-horizontal:center;mso-position-horizontal-relative:margin;mso-position-vertical:absolute;mso-wrap-distance-left:8.99983pt;mso-wrap-distance-right:8.99983pt;mso-wrap-style:none;">
              <v:stroke color="#000000"/>
              <v:textbox id="854" inset="0mm,0mm,0mm,0mm" o:insetmode="custom" style="layout-flow:horizontal;v-text-anchor:top;mso-fit-shape-to-text:t;">
                <w:txbxContent>
                  <w:p>
                    <w:pPr>
                      <w:pStyle w:val="20"/>
                      <w:tabs>
                        <w:tab w:val="center" w:pos="4153"/>
                        <w:tab w:val="right" w:pos="8306"/>
                      </w:tabs>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center"/>
    </w:pPr>
    <w:r>
      <mc:AlternateContent>
        <mc:Choice Requires="wps">
          <w:drawing>
            <wp:anchor distT="0" distB="0" distL="114297" distR="114297" simplePos="0" relativeHeight="24" behindDoc="0" locked="0" layoutInCell="1" hidden="0" allowOverlap="1">
              <wp:simplePos x="0" y="0"/>
              <wp:positionH relativeFrom="margin">
                <wp:align>center</wp:align>
              </wp:positionH>
              <wp:positionV relativeFrom="paragraph">
                <wp:posOffset>0</wp:posOffset>
              </wp:positionV>
              <wp:extent cx="400845" cy="154601"/>
              <wp:effectExtent l="0" t="0" r="0" b="0"/>
              <wp:wrapNone/>
              <wp:docPr id="4" name="文本框"/>
              <wp:cNvGraphicFramePr>
                <a:graphicFrameLocks noChangeAspect="0"/>
              </wp:cNvGraphicFramePr>
              <a:graphic>
                <a:graphicData uri="http://schemas.microsoft.com/office/word/2010/wordprocessingShape">
                  <wps:wsp>
                    <wps:cNvSpPr/>
                    <wps:spPr>
                      <a:xfrm rot="0">
                        <a:off x="0" y="0"/>
                        <a:ext cx="400845" cy="154601"/>
                      </a:xfrm>
                      <a:prstGeom prst="rect"/>
                      <a:noFill/>
                      <a:ln w="9525" cmpd="sng" cap="flat">
                        <a:noFill/>
                        <a:prstDash val="solid"/>
                        <a:miter/>
                      </a:ln>
                    </wps:spPr>
                    <wps:txbx id="5">
                      <w:txbxContent>
                        <w:p>
                          <w:pPr>
                            <w:pStyle w:val="20"/>
                            <w:tabs>
                              <w:tab w:val="center" w:pos="4153"/>
                              <w:tab w:val="right" w:pos="8306"/>
                            </w:tabs>
                          </w:pPr>
                          <w:r>
                            <w:t xml:space="preserve">第 </w:t>
                          </w:r>
                          <w:r>
                            <w:fldChar w:fldCharType="begin"/>
                          </w:r>
                          <w:r>
                            <w:instrText xml:space="preserve"> PAGE  \* MERGEFORMAT </w:instrText>
                          </w:r>
                          <w:r>
                            <w:fldChar w:fldCharType="separate"/>
                          </w:r>
                          <w:r>
                            <w:t>13</w:t>
                          </w:r>
                          <w:r>
                            <w:fldChar w:fldCharType="end"/>
                          </w:r>
                          <w:r>
                            <w:t xml:space="preserve"> 页</w:t>
                          </w:r>
                        </w:p>
                      </w:txbxContent>
                    </wps:txbx>
                    <wps:bodyPr vert="horz" wrap="none" lIns="0" tIns="0" rIns="0" bIns="0" anchor="t" anchorCtr="0" upright="1">
                      <a:spAutoFit/>
                    </wps:bodyPr>
                  </wps:wsp>
                </a:graphicData>
              </a:graphic>
            </wp:anchor>
          </w:drawing>
        </mc:Choice>
        <mc:Fallback>
          <w:pict>
            <v:shape type="#_x0000_t202" id="文本框 6" o:spid="_x0000_s6" filled="f" stroked="f" style="position:absolute;margin-left:0.0pt;margin-top:0.0pt;width:31.5626pt;height:12.173307pt;z-index:24;mso-position-horizontal:center;mso-position-horizontal-relative:margin;mso-position-vertical:absolute;mso-wrap-distance-left:8.99983pt;mso-wrap-distance-right:8.99983pt;mso-wrap-style:none;">
              <v:stroke color="#000000"/>
              <v:textbox id="855" inset="0mm,0mm,0mm,0mm" o:insetmode="custom" style="layout-flow:horizontal;v-text-anchor:top;mso-fit-shape-to-text:t;">
                <w:txbxContent>
                  <w:p>
                    <w:pPr>
                      <w:pStyle w:val="20"/>
                      <w:tabs>
                        <w:tab w:val="center" w:pos="4153"/>
                        <w:tab w:val="right" w:pos="8306"/>
                      </w:tabs>
                    </w:pPr>
                    <w:r>
                      <w:t xml:space="preserve">第 </w:t>
                    </w:r>
                    <w:r>
                      <w:fldChar w:fldCharType="begin"/>
                    </w:r>
                    <w:r>
                      <w:instrText xml:space="preserve"> PAGE  \* MERGEFORMAT </w:instrText>
                    </w:r>
                    <w:r>
                      <w:fldChar w:fldCharType="separate"/>
                    </w:r>
                    <w:r>
                      <w:t>13</w:t>
                    </w:r>
                    <w:r>
                      <w:fldChar w:fldCharType="end"/>
                    </w:r>
                    <w:r>
                      <w:t xml:space="preserve"> 页</w:t>
                    </w:r>
                  </w:p>
                </w:txbxContent>
              </v:textbox>
            </v:shape>
          </w:pict>
        </mc:Fallback>
      </mc:AlternateContent>
    </w:r>
  </w:p>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FFFF1C09"/>
    <w:multiLevelType w:val="singleLevel"/>
    <w:tmpl w:val="FFFF1C09"/>
    <w:lvl w:ilvl="0">
      <w:start w:val="1"/>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cs="宋体" w:hAnsi="Cambria"/>
      <w:b/>
      <w:bCs/>
      <w:sz w:val="32"/>
      <w:szCs w:val="32"/>
    </w:rPr>
  </w:style>
  <w:style w:type="character" w:customStyle="1" w:styleId="2Char">
    <w:name w:val="heading 2 Char"/>
    <w:basedOn w:val="10"/>
    <w:link w:val="2"/>
    <w:rPr>
      <w:rFonts w:ascii="Cambria" w:eastAsia="宋体" w:cs="宋体"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footnote text"/>
    <w:basedOn w:val="0"/>
    <w:next w:val="17"/>
    <w:pPr>
      <w:snapToGrid w:val="0"/>
      <w:jc w:val="left"/>
    </w:pPr>
    <w:rPr>
      <w:sz w:val="18"/>
      <w:szCs w:val="1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cs="宋体" w:hAnsi="Cambria"/>
      <w:color w:val="376092"/>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cs="宋体" w:hAnsi="Cambria"/>
      <w:color w:val="376092"/>
      <w:kern w:val="0"/>
      <w:sz w:val="28"/>
      <w:szCs w:val="28"/>
    </w:rPr>
  </w:style>
  <w:style w:type="paragraph" w:customStyle="1" w:styleId="35">
    <w:name w:val="四号正文"/>
    <w:basedOn w:val="0"/>
    <w:pPr>
      <w:spacing w:line="360" w:lineRule="auto"/>
    </w:pPr>
    <w:rPr>
      <w:rFonts w:ascii="??" w:hAnsi="??"/>
      <w:color w:val="000000"/>
      <w:kern w:val="0"/>
      <w:sz w:val="28"/>
      <w:szCs w:val="21"/>
      <w:lang w:val="zh-CN"/>
    </w:rPr>
  </w:style>
  <w:style w:type="paragraph" w:customStyle="1" w:styleId="36">
    <w:name w:val="WPSOffice手动目录 1"/>
    <w:rPr>
      <w:rFonts w:ascii="Calibri" w:eastAsia="宋体" w:cs="宋体" w:hAnsi="Calibri"/>
      <w:lang w:val="en-US" w:eastAsia="zh-CN" w:bidi="ar-SA"/>
    </w:rPr>
  </w:style>
  <w:style w:type="paragraph" w:customStyle="1" w:styleId="37">
    <w:name w:val="WPSOffice手动目录 2"/>
    <w:pPr>
      <w:ind w:leftChars="200" w:left="200"/>
    </w:pPr>
    <w:rPr>
      <w:rFonts w:ascii="Calibri" w:eastAsia="宋体" w:cs="宋体" w:hAnsi="Calibri"/>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17.png"/><Relationship Id="rId10" Type="http://schemas.openxmlformats.org/officeDocument/2006/relationships/image" Target="media/20.png"/><Relationship Id="rId11" Type="http://schemas.openxmlformats.org/officeDocument/2006/relationships/image" Target="media/23.png"/><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7</TotalTime>
  <Application>Yozo_Office</Application>
  <Pages>16</Pages>
  <Words>4654</Words>
  <Characters>4972</Characters>
  <Lines>278</Lines>
  <Paragraphs>131</Paragraphs>
  <CharactersWithSpaces>5029</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5</cp:revision>
  <cp:lastPrinted>2025-08-08T17:34:00Z</cp:lastPrinted>
  <dcterms:created xsi:type="dcterms:W3CDTF">2026-10-13T07:57:00Z</dcterms:created>
  <dcterms:modified xsi:type="dcterms:W3CDTF">2026-10-14T09:13:07Z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2052-11.8.2.12128</vt:lpwstr>
  </property>
  <property fmtid="{D5CDD505-2E9C-101B-9397-08002B2CF9AE}" pid="3" name="ICV">
    <vt:lpwstr>D2AB8B7B85173A7F784DEF682E4F5CE1</vt:lpwstr>
  </property>
</Properties>
</file>