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eastAsia="方正小标宋简体"/>
          <w:sz w:val="72"/>
          <w:szCs w:val="72"/>
        </w:rPr>
      </w:pPr>
      <w:bookmarkStart w:id="0" w:name="_Toc15378441"/>
      <w:bookmarkStart w:id="1" w:name="_Toc15306267"/>
      <w:bookmarkStart w:id="2" w:name="_Toc15396597"/>
      <w:bookmarkStart w:id="3" w:name="_Toc15396475"/>
      <w:bookmarkStart w:id="4" w:name="_Toc15377193"/>
      <w:bookmarkStart w:id="5" w:name="_Toc15377425"/>
    </w:p>
    <w:p>
      <w:pPr>
        <w:pStyle w:val="18"/>
        <w:spacing w:beforeLines="0" w:before="30"/>
        <w:rPr>
          <w:rFonts w:ascii="Times New Roman" w:eastAsia="方正小标宋简体" w:hAnsi="Times New Roman"/>
          <w:kern w:val="2"/>
          <w:sz w:val="72"/>
          <w:szCs w:val="72"/>
        </w:rPr>
      </w:pPr>
    </w:p>
    <w:p>
      <w:pPr>
        <w:pStyle w:val="18"/>
        <w:spacing w:beforeLines="0" w:before="30"/>
        <w:rPr>
          <w:rFonts w:ascii="Times New Roman" w:eastAsia="方正小标宋简体" w:hAnsi="Times New Roman"/>
          <w:kern w:val="2"/>
          <w:sz w:val="72"/>
          <w:szCs w:val="72"/>
        </w:rPr>
      </w:pPr>
    </w:p>
    <w:p/>
    <w:p>
      <w:pPr>
        <w:pStyle w:val="18"/>
        <w:spacing w:beforeLines="0" w:before="30"/>
        <w:jc w:val="center"/>
        <w:rPr>
          <w:rFonts w:ascii="Times New Roman" w:eastAsia="方正小标宋简体" w:hAnsi="Times New Roman"/>
          <w:kern w:val="2"/>
          <w:sz w:val="44"/>
          <w:szCs w:val="44"/>
        </w:rPr>
      </w:pPr>
    </w:p>
    <w:p>
      <w:pPr>
        <w:adjustRightInd w:val="0"/>
        <w:snapToGrid w:val="0"/>
        <w:spacing w:line="360" w:lineRule="auto"/>
        <w:jc w:val="center"/>
        <w:outlineLvl w:val="0"/>
        <w:rPr>
          <w:rFonts w:ascii="方正小标宋简体" w:eastAsia="方正小标宋简体" w:cs="方正小标宋简体"/>
          <w:sz w:val="72"/>
          <w:szCs w:val="72"/>
        </w:rPr>
      </w:pPr>
      <w:bookmarkStart w:id="6" w:name="_Toc10939"/>
      <w:bookmarkStart w:id="7" w:name="_Toc996462661"/>
      <w:r>
        <w:rPr>
          <w:rFonts w:ascii="方正小标宋简体" w:eastAsia="方正小标宋简体" w:cs="方正小标宋简体" w:hint="eastAsia"/>
          <w:sz w:val="72"/>
          <w:szCs w:val="72"/>
        </w:rPr>
        <w:t>2025年度</w:t>
      </w:r>
      <w:bookmarkEnd w:id="6"/>
      <w:bookmarkEnd w:id="7"/>
    </w:p>
    <w:p>
      <w:pPr>
        <w:adjustRightInd w:val="0"/>
        <w:snapToGrid w:val="0"/>
        <w:spacing w:line="360" w:lineRule="auto"/>
        <w:jc w:val="center"/>
        <w:outlineLvl w:val="0"/>
        <w:rPr>
          <w:rFonts w:ascii="方正小标宋简体" w:eastAsia="方正小标宋简体" w:cs="方正小标宋简体"/>
          <w:sz w:val="72"/>
          <w:szCs w:val="72"/>
        </w:rPr>
      </w:pPr>
      <w:bookmarkStart w:id="8" w:name="_Toc3779"/>
      <w:bookmarkStart w:id="9" w:name="_Toc23306"/>
      <w:bookmarkStart w:id="10" w:name="_Toc1663122032"/>
      <w:r>
        <w:rPr>
          <w:rFonts w:ascii="方正小标宋简体" w:eastAsia="方正小标宋简体" w:cs="方正小标宋简体" w:hint="eastAsia"/>
          <w:sz w:val="72"/>
          <w:szCs w:val="72"/>
        </w:rPr>
        <w:t>中共若尔盖县委宣传部</w:t>
      </w:r>
      <w:bookmarkEnd w:id="8"/>
      <w:bookmarkEnd w:id="9"/>
      <w:bookmarkEnd w:id="10"/>
    </w:p>
    <w:p>
      <w:pPr>
        <w:adjustRightInd w:val="0"/>
        <w:snapToGrid w:val="0"/>
        <w:spacing w:line="360" w:lineRule="auto"/>
        <w:jc w:val="center"/>
        <w:outlineLvl w:val="0"/>
      </w:pPr>
      <w:bookmarkStart w:id="11" w:name="_Toc28906"/>
      <w:bookmarkStart w:id="12" w:name="_Toc1895447080"/>
      <w:r>
        <w:rPr>
          <w:rFonts w:ascii="方正小标宋简体" w:eastAsia="方正小标宋简体" w:cs="方正小标宋简体" w:hint="eastAsia"/>
          <w:sz w:val="72"/>
          <w:szCs w:val="72"/>
        </w:rPr>
        <w:t>(本级)</w:t>
      </w:r>
      <w:bookmarkStart w:id="13" w:name="_Toc32515"/>
      <w:bookmarkStart w:id="14" w:name="_Toc4686"/>
      <w:bookmarkEnd w:id="11"/>
      <w:r>
        <w:rPr>
          <w:rFonts w:ascii="方正小标宋简体" w:eastAsia="方正小标宋简体" w:cs="方正小标宋简体" w:hint="eastAsia"/>
          <w:sz w:val="72"/>
          <w:szCs w:val="72"/>
        </w:rPr>
        <w:t>决算</w:t>
      </w:r>
      <w:bookmarkEnd w:id="12"/>
      <w:bookmarkEnd w:id="13"/>
      <w:bookmarkEnd w:id="14"/>
    </w:p>
    <w:p>
      <w:pPr>
        <w:pStyle w:val="18"/>
        <w:spacing w:beforeLines="0" w:before="30"/>
        <w:jc w:val="center"/>
        <w:rPr>
          <w:rFonts w:ascii="Times New Roman" w:eastAsia="方正小标宋简体" w:hAnsi="Times New Roman"/>
          <w:kern w:val="2"/>
          <w:sz w:val="44"/>
          <w:szCs w:val="44"/>
        </w:rPr>
      </w:pPr>
    </w:p>
    <w:p>
      <w:pPr>
        <w:widowControl/>
        <w:jc w:val="center"/>
        <w:rPr>
          <w:rFonts w:eastAsia="黑体"/>
          <w:sz w:val="48"/>
          <w:szCs w:val="48"/>
        </w:rPr>
      </w:pPr>
      <w:bookmarkEnd w:id="0"/>
      <w:bookmarkEnd w:id="1"/>
      <w:bookmarkEnd w:id="2"/>
      <w:bookmarkEnd w:id="3"/>
      <w:bookmarkEnd w:id="4"/>
      <w:bookmarkEnd w:id="5"/>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ind w:firstLineChars="800" w:firstLine="3840"/>
        <w:rPr>
          <w:rFonts w:eastAsia="黑体"/>
          <w:sz w:val="48"/>
          <w:szCs w:val="48"/>
        </w:rPr>
        <w:sectPr>
          <w:headerReference w:type="default" r:id="rId2"/>
          <w:footerReference w:type="default" r:id="rId3"/>
          <w:pgSz w:w="11906" w:h="16838"/>
          <w:pgMar w:top="1440" w:right="1800" w:bottom="1440" w:left="1800" w:header="851" w:footer="992" w:gutter="0"/>
          <w:pgNumType w:fmt="numberInDash" w:start="1"/>
          <w:titlePg/>
          <w:docGrid w:type="lines" w:linePitch="312" w:charSpace="0"/>
        </w:sectPr>
      </w:pPr>
    </w:p>
    <w:p>
      <w:pPr>
        <w:widowControl/>
        <w:ind w:firstLineChars="800" w:firstLine="3840"/>
        <w:outlineLvl w:val="0"/>
        <w:rPr>
          <w:rFonts w:eastAsia="黑体"/>
          <w:sz w:val="48"/>
          <w:szCs w:val="48"/>
        </w:rPr>
      </w:pPr>
      <w:bookmarkStart w:id="15" w:name="_Toc1070944601"/>
      <w:r>
        <w:rPr>
          <w:rFonts w:eastAsia="黑体" w:hint="eastAsia"/>
          <w:sz w:val="48"/>
          <w:szCs w:val="48"/>
        </w:rPr>
        <w:t>目录</w:t>
      </w:r>
      <w:bookmarkEnd w:id="15"/>
    </w:p>
    <w:p>
      <w:pPr>
        <w:widowControl/>
        <w:jc w:val="center"/>
        <w:rPr>
          <w:rFonts w:eastAsia="黑体" w:cs="宋体"/>
          <w:sz w:val="28"/>
          <w:szCs w:val="28"/>
        </w:rPr>
      </w:pPr>
    </w:p>
    <w:p>
      <w:pPr>
        <w:pStyle w:val="23"/>
        <w:tabs>
          <w:tab w:val="right" w:leader="dot" w:pos="8296"/>
        </w:tabs>
        <w:outlineLvl w:val="0"/>
        <w:rPr>
          <w:rFonts w:ascii="Times New Roman" w:eastAsia="仿宋_GB2312" w:cs="仿宋_GB2312" w:hAnsi="Times New Roman"/>
          <w:sz w:val="32"/>
          <w:szCs w:val="32"/>
        </w:rPr>
      </w:pPr>
      <w:bookmarkStart w:id="16" w:name="_Toc1447351015"/>
      <w:r>
        <w:rPr>
          <w:rFonts w:ascii="Times New Roman" w:eastAsia="仿宋_GB2312" w:cs="仿宋_GB2312" w:hAnsi="Times New Roman" w:hint="eastAsia"/>
          <w:sz w:val="32"/>
          <w:szCs w:val="32"/>
        </w:rPr>
        <w:t>公开时间：2026年 10 月10  日</w:t>
      </w:r>
      <w:bookmarkEnd w:id="16"/>
    </w:p>
    <w:p/>
    <w:p>
      <w:pPr>
        <w:pStyle w:val="36"/>
        <w:tabs>
          <w:tab w:val="right" w:leader="hyphen" w:pos="8306"/>
        </w:tabs>
        <w:rPr>
          <w:rFonts w:ascii="方正仿宋_GBK" w:eastAsia="方正仿宋_GBK" w:cs="方正仿宋_GBK"/>
          <w:b/>
          <w:sz w:val="32"/>
          <w:szCs w:val="32"/>
        </w:rPr>
      </w:pPr>
      <w:r>
        <w:rPr>
          <w:rFonts w:ascii="方正仿宋_GBK" w:eastAsia="方正仿宋_GBK" w:cs="方正仿宋_GBK" w:hint="eastAsia"/>
          <w:b/>
          <w:sz w:val="32"/>
          <w:szCs w:val="32"/>
        </w:rPr>
        <w:fldChar w:fldCharType="begin"/>
      </w:r>
      <w:r>
        <w:instrText>HYPERLINK  \l "_Toc320769460"</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第一部分  单位概况</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_Toc320769460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- 3 -</w:t>
      </w:r>
      <w:r>
        <w:rPr>
          <w:rFonts w:ascii="方正仿宋_GBK" w:eastAsia="方正仿宋_GBK" w:cs="方正仿宋_GBK" w:hint="eastAsia"/>
          <w:b/>
          <w:sz w:val="32"/>
          <w:szCs w:val="32"/>
        </w:rPr>
        <w:fldChar w:fldCharType="end"/>
      </w:r>
      <w:r>
        <w:rPr>
          <w:rFonts w:ascii="方正仿宋_GBK" w:eastAsia="方正仿宋_GBK" w:cs="方正仿宋_GBK" w:hint="eastAsia"/>
          <w:b/>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"_Toc1803444586"</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一、 单位职责</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_Toc1803444586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- 3 -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"_Toc1648700938"</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二、机构设置</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_Toc1648700938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- 3 -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6"/>
        <w:tabs>
          <w:tab w:val="right" w:leader="hyphen" w:pos="8306"/>
        </w:tabs>
        <w:rPr>
          <w:rFonts w:ascii="方正仿宋_GBK" w:eastAsia="方正仿宋_GBK" w:cs="方正仿宋_GBK"/>
          <w:b/>
          <w:sz w:val="32"/>
          <w:szCs w:val="32"/>
        </w:rPr>
      </w:pPr>
      <w:r>
        <w:rPr>
          <w:rFonts w:ascii="方正仿宋_GBK" w:eastAsia="方正仿宋_GBK" w:cs="方正仿宋_GBK" w:hint="eastAsia"/>
          <w:b/>
          <w:sz w:val="32"/>
          <w:szCs w:val="32"/>
        </w:rPr>
        <w:fldChar w:fldCharType="begin"/>
      </w:r>
      <w:r>
        <w:instrText>HYPERLINK  \l "_Toc1766871847"</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第二部分  2025年度单位决算情况说明</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_Toc1766871847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- 4 -</w:t>
      </w:r>
      <w:r>
        <w:rPr>
          <w:rFonts w:ascii="方正仿宋_GBK" w:eastAsia="方正仿宋_GBK" w:cs="方正仿宋_GBK" w:hint="eastAsia"/>
          <w:b/>
          <w:sz w:val="32"/>
          <w:szCs w:val="32"/>
        </w:rPr>
        <w:fldChar w:fldCharType="end"/>
      </w:r>
      <w:r>
        <w:rPr>
          <w:rFonts w:ascii="方正仿宋_GBK" w:eastAsia="方正仿宋_GBK" w:cs="方正仿宋_GBK" w:hint="eastAsia"/>
          <w:b/>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"_Toc1440607219"</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一、收入支出决算总体情况说明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_Toc1440607219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- 4 -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"_Toc1134797566"</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二、收入决算情况说明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_Toc1134797566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- 4 -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"_Toc823690147"</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三、支出决算情况说明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_Toc823690147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- 5 -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"_Toc778229529"</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四、财政拨款收入支出决算总体情况说明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_Toc778229529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- 5 -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"_Toc2069963663"</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五、一般公共预算财政拨款支出决算情况说明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_Toc2069963663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- 6 -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"_Toc1471273315"</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六、一般公共预算财政拨款基本支出决算情况说明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_Toc1471273315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- 8 -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"_Toc1091833097"</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七、财政拨款“三公”经费支出决算情况说明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_Toc1091833097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- 9-</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"_Toc1136809803"</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八、政府性基金预算支出决算情况说明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_Toc1136809803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- 10 -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"_Toc962274708"</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九、国有资本经营预算支出决算情况说明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_Toc962274708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- 10 -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"_Toc477910338"</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十、其他重要事项的情况说明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_Toc477910338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- 11 -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6"/>
        <w:tabs>
          <w:tab w:val="right" w:leader="hyphen" w:pos="8306"/>
        </w:tabs>
        <w:rPr>
          <w:rFonts w:ascii="方正仿宋_GBK" w:eastAsia="方正仿宋_GBK" w:cs="方正仿宋_GBK"/>
          <w:b/>
          <w:sz w:val="32"/>
          <w:szCs w:val="32"/>
        </w:rPr>
      </w:pPr>
      <w:r>
        <w:rPr>
          <w:rFonts w:ascii="方正仿宋_GBK" w:eastAsia="方正仿宋_GBK" w:cs="方正仿宋_GBK" w:hint="eastAsia"/>
          <w:b/>
          <w:sz w:val="32"/>
          <w:szCs w:val="32"/>
        </w:rPr>
        <w:fldChar w:fldCharType="begin"/>
      </w:r>
      <w:r>
        <w:instrText>HYPERLINK  \l "_Toc2046937050"</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第三部分  名词解释</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_Toc2046937050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- 12 -</w:t>
      </w:r>
      <w:r>
        <w:rPr>
          <w:rFonts w:ascii="方正仿宋_GBK" w:eastAsia="方正仿宋_GBK" w:cs="方正仿宋_GBK" w:hint="eastAsia"/>
          <w:b/>
          <w:sz w:val="32"/>
          <w:szCs w:val="32"/>
        </w:rPr>
        <w:fldChar w:fldCharType="end"/>
      </w:r>
      <w:r>
        <w:rPr>
          <w:rFonts w:ascii="方正仿宋_GBK" w:eastAsia="方正仿宋_GBK" w:cs="方正仿宋_GBK" w:hint="eastAsia"/>
          <w:b/>
          <w:sz w:val="32"/>
          <w:szCs w:val="32"/>
        </w:rPr>
        <w:fldChar w:fldCharType="end"/>
      </w:r>
    </w:p>
    <w:p>
      <w:pPr>
        <w:pStyle w:val="36"/>
        <w:tabs>
          <w:tab w:val="right" w:leader="hyphen" w:pos="8306"/>
        </w:tabs>
        <w:rPr>
          <w:rFonts w:ascii="方正仿宋_GBK" w:eastAsia="方正仿宋_GBK" w:cs="方正仿宋_GBK"/>
          <w:b/>
          <w:sz w:val="32"/>
          <w:szCs w:val="32"/>
        </w:rPr>
      </w:pPr>
      <w:r>
        <w:rPr>
          <w:rFonts w:ascii="方正仿宋_GBK" w:eastAsia="方正仿宋_GBK" w:cs="方正仿宋_GBK" w:hint="eastAsia"/>
          <w:b/>
          <w:sz w:val="32"/>
          <w:szCs w:val="32"/>
        </w:rPr>
        <w:fldChar w:fldCharType="begin"/>
      </w:r>
      <w:r>
        <w:instrText>HYPERLINK  \l "_Toc1762757085"</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第四部分  附件</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_Toc1762757085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- 14-</w:t>
      </w:r>
      <w:r>
        <w:rPr>
          <w:rFonts w:ascii="方正仿宋_GBK" w:eastAsia="方正仿宋_GBK" w:cs="方正仿宋_GBK" w:hint="eastAsia"/>
          <w:b/>
          <w:sz w:val="32"/>
          <w:szCs w:val="32"/>
        </w:rPr>
        <w:fldChar w:fldCharType="end"/>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jc w:val="left"/>
        <w:rPr>
          <w:rFonts w:ascii="方正仿宋_GBK" w:eastAsia="方正仿宋_GBK" w:cs="方正仿宋_GBK"/>
          <w:b/>
          <w:sz w:val="32"/>
          <w:szCs w:val="32"/>
        </w:rPr>
      </w:pPr>
      <w:r>
        <w:rPr>
          <w:rFonts w:ascii="方正仿宋_GBK" w:eastAsia="方正仿宋_GBK" w:cs="方正仿宋_GBK" w:hint="eastAsia"/>
          <w:b/>
          <w:sz w:val="32"/>
          <w:szCs w:val="32"/>
        </w:rPr>
        <w:fldChar w:fldCharType="begin"/>
      </w:r>
      <w:r>
        <w:instrText>HYPERLINK  \l "_Toc895916063"</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第五部分 附表</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_Toc895916063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jc w:val="left"/>
        <w:rPr>
          <w:rFonts w:eastAsia="仿宋_GB2312" w:cs="仿宋_GB2312"/>
          <w:sz w:val="32"/>
          <w:szCs w:val="32"/>
        </w:rPr>
      </w:pPr>
      <w:r>
        <w:rPr>
          <w:rFonts w:eastAsia="仿宋_GB2312" w:cs="仿宋_GB2312" w:hint="eastAsia"/>
          <w:sz w:val="32"/>
          <w:szCs w:val="32"/>
        </w:rPr>
        <w:t>一、收入支出决算总表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p>
    <w:p>
      <w:pPr>
        <w:widowControl/>
        <w:spacing w:line="560" w:lineRule="exact"/>
        <w:jc w:val="left"/>
        <w:rPr>
          <w:rFonts w:eastAsia="仿宋_GB2312" w:cs="仿宋_GB2312"/>
          <w:bCs/>
          <w:kern w:val="44"/>
          <w:sz w:val="32"/>
          <w:szCs w:val="32"/>
        </w:rPr>
      </w:pPr>
      <w:bookmarkStart w:id="17" w:name="_Toc15396599"/>
      <w:bookmarkStart w:id="18" w:name="_Toc15377196"/>
      <w:r>
        <w:rPr>
          <w:rFonts w:eastAsia="仿宋_GB2312" w:cs="仿宋_GB2312" w:hint="eastAsia"/>
          <w:b/>
          <w:sz w:val="32"/>
          <w:szCs w:val="32"/>
        </w:rPr>
        <w:br w:type="page"/>
      </w:r>
    </w:p>
    <w:p>
      <w:pPr>
        <w:pStyle w:val="1"/>
        <w:jc w:val="center"/>
        <w:rPr>
          <w:rFonts w:eastAsia="黑体"/>
          <w:sz w:val="32"/>
          <w:szCs w:val="32"/>
        </w:rPr>
      </w:pPr>
      <w:bookmarkStart w:id="19" w:name="_Toc320769460"/>
      <w:r>
        <w:rPr>
          <w:rFonts w:eastAsia="方正小标宋简体" w:cs="方正小标宋简体" w:hint="eastAsia"/>
          <w:b w:val="0"/>
        </w:rPr>
        <w:t xml:space="preserve">第一部分  </w:t>
      </w:r>
      <w:r>
        <w:rPr>
          <w:rStyle w:val="1Char"/>
          <w:rFonts w:eastAsia="方正小标宋简体" w:cs="方正小标宋简体" w:hint="eastAsia"/>
        </w:rPr>
        <w:t>单位概况</w:t>
      </w:r>
      <w:bookmarkEnd w:id="17"/>
      <w:bookmarkEnd w:id="18"/>
      <w:bookmarkEnd w:id="19"/>
    </w:p>
    <w:p>
      <w:pPr>
        <w:pStyle w:val="2"/>
        <w:numPr>
          <w:ilvl w:val="0"/>
          <w:numId w:val="1"/>
        </w:numPr>
        <w:spacing w:line="560" w:lineRule="exact"/>
        <w:rPr>
          <w:rFonts w:ascii="Times New Roman" w:eastAsia="黑体" w:hAnsi="Times New Roman"/>
          <w:b w:val="0"/>
        </w:rPr>
      </w:pPr>
      <w:bookmarkStart w:id="20" w:name="_Toc1803444586"/>
      <w:r>
        <w:rPr>
          <w:rFonts w:ascii="Times New Roman" w:eastAsia="黑体" w:hAnsi="Times New Roman" w:hint="eastAsia"/>
          <w:b w:val="0"/>
        </w:rPr>
        <w:t>单位职责</w:t>
      </w:r>
      <w:bookmarkEnd w:id="20"/>
    </w:p>
    <w:p>
      <w:pPr>
        <w:spacing w:line="560" w:lineRule="exact"/>
        <w:ind w:firstLineChars="200" w:firstLine="640"/>
      </w:pPr>
      <w:r>
        <w:rPr>
          <w:rFonts w:ascii="仿宋_GB2312" w:eastAsia="仿宋_GB2312" w:cs="仿宋_GB2312" w:hint="eastAsia"/>
          <w:sz w:val="32"/>
          <w:szCs w:val="32"/>
        </w:rPr>
        <w:t>县委宣传部是县委主管意识形态方面工作的综合职能部门。负责抓好新闻工作；负责抓好广播电视工作；负责抓好讲师团工作；负责抓好宣传部政工工作；负责抓好文联工作；负责抓好社会宣传工作；负责抓好文明创建工作。</w:t>
      </w:r>
    </w:p>
    <w:p>
      <w:pPr>
        <w:pStyle w:val="2"/>
        <w:spacing w:line="560" w:lineRule="exact"/>
        <w:rPr>
          <w:rStyle w:val="2Char"/>
          <w:rFonts w:ascii="Times New Roman" w:hAnsi="Times New Roman"/>
        </w:rPr>
      </w:pPr>
      <w:bookmarkStart w:id="21" w:name="_Toc15377200"/>
      <w:bookmarkStart w:id="22" w:name="_Toc15396601"/>
      <w:bookmarkStart w:id="23" w:name="_Toc1648700938"/>
      <w:r>
        <w:rPr>
          <w:rFonts w:ascii="Times New Roman" w:eastAsia="黑体" w:hAnsi="Times New Roman" w:hint="eastAsia"/>
          <w:b w:val="0"/>
        </w:rPr>
        <w:t>二、机</w:t>
      </w:r>
      <w:r>
        <w:rPr>
          <w:rStyle w:val="2Char"/>
          <w:rFonts w:ascii="Times New Roman" w:eastAsia="黑体" w:hAnsi="Times New Roman" w:hint="eastAsia"/>
        </w:rPr>
        <w:t>构设置</w:t>
      </w:r>
      <w:bookmarkEnd w:id="21"/>
      <w:bookmarkEnd w:id="22"/>
      <w:bookmarkEnd w:id="23"/>
    </w:p>
    <w:p>
      <w:pPr>
        <w:ind w:firstLineChars="200" w:firstLine="640"/>
        <w:rPr>
          <w:rFonts w:ascii="仿宋" w:eastAsia="仿宋"/>
          <w:sz w:val="32"/>
          <w:szCs w:val="32"/>
        </w:rPr>
      </w:pPr>
      <w:r>
        <w:rPr>
          <w:rFonts w:ascii="仿宋" w:eastAsia="仿宋" w:hint="eastAsia"/>
          <w:sz w:val="32"/>
          <w:szCs w:val="32"/>
        </w:rPr>
        <w:t>宣传部下属二级单位2个，其中行政单位1个，参照公务员法管理的事业单位0个，事业单位2个。部门独立核算机构为1个</w:t>
      </w:r>
      <w:r>
        <w:rPr>
          <w:rFonts w:ascii="仿宋_GB2312" w:eastAsia="仿宋_GB2312" w:hint="eastAsia"/>
          <w:sz w:val="32"/>
          <w:szCs w:val="32"/>
        </w:rPr>
        <w:t>，其中：行政机构编制数为1个,事业管理机构编制数为2个,事业和行政共用一个机构代码，归行政机构统一管理。</w:t>
      </w:r>
      <w:r>
        <w:rPr>
          <w:rFonts w:ascii="仿宋" w:eastAsia="仿宋" w:hint="eastAsia"/>
          <w:sz w:val="32"/>
          <w:szCs w:val="32"/>
        </w:rPr>
        <w:t>机构情况，当年机构无变动。</w:t>
      </w:r>
    </w:p>
    <w:p>
      <w:pPr>
        <w:pStyle w:val="18"/>
        <w:adjustRightInd w:val="0"/>
        <w:snapToGrid w:val="0"/>
        <w:spacing w:beforeLines="0" w:before="30" w:line="600" w:lineRule="exact"/>
        <w:ind w:firstLineChars="208" w:firstLine="666"/>
        <w:rPr>
          <w:rFonts w:ascii="仿宋" w:eastAsia="仿宋"/>
          <w:color w:val="000000"/>
          <w:sz w:val="32"/>
          <w:szCs w:val="32"/>
        </w:rPr>
      </w:pPr>
      <w:r>
        <w:rPr>
          <w:rFonts w:ascii="仿宋" w:eastAsia="仿宋" w:hint="eastAsia"/>
          <w:color w:val="000000"/>
          <w:sz w:val="32"/>
          <w:szCs w:val="32"/>
        </w:rPr>
        <w:t>纳入宣传部2025年度部门决算编制范围的二级预算单位包括：</w:t>
      </w:r>
    </w:p>
    <w:p>
      <w:pPr>
        <w:ind w:firstLineChars="200" w:firstLine="640"/>
        <w:rPr>
          <w:rFonts w:ascii="仿宋_GB2312" w:eastAsia="仿宋_GB2312" w:cs="仿宋_GB2312"/>
          <w:sz w:val="32"/>
          <w:szCs w:val="32"/>
        </w:rPr>
      </w:pPr>
      <w:r>
        <w:rPr>
          <w:rFonts w:ascii="仿宋_GB2312" w:eastAsia="仿宋_GB2312" w:hint="eastAsia"/>
          <w:sz w:val="32"/>
          <w:szCs w:val="32"/>
        </w:rPr>
        <w:t>1.行政单位1个。人员情况为</w:t>
      </w:r>
      <w:r>
        <w:rPr>
          <w:rFonts w:ascii="仿宋" w:eastAsia="仿宋" w:hint="eastAsia"/>
          <w:sz w:val="32"/>
          <w:szCs w:val="32"/>
        </w:rPr>
        <w:t>县委宣传部行政编制8名。其中，部长1名，常务副部长1名（正科级），副部长2名，县精神文明建设办公室副主任1名（副科级）；股级领导职数3名；行政单位在职人员7名。</w:t>
      </w:r>
      <w:bookmarkStart w:id="24" w:name="_Toc15377203"/>
      <w:bookmarkStart w:id="25" w:name="_Toc79163608"/>
      <w:bookmarkStart w:id="26" w:name="_Toc15378450"/>
      <w:bookmarkStart w:id="27" w:name="_Toc79163858"/>
      <w:bookmarkStart w:id="28" w:name="_Toc15306277"/>
      <w:bookmarkStart w:id="29" w:name="_Toc15377434"/>
      <w:r>
        <w:rPr>
          <w:rFonts w:ascii="仿宋" w:eastAsia="仿宋" w:hint="eastAsia"/>
          <w:sz w:val="32"/>
          <w:szCs w:val="32"/>
        </w:rPr>
        <w:t>机关工勤人员编制数1名，在职人员1名。</w:t>
      </w:r>
      <w:bookmarkEnd w:id="24"/>
      <w:bookmarkEnd w:id="25"/>
      <w:bookmarkEnd w:id="26"/>
      <w:bookmarkEnd w:id="27"/>
      <w:bookmarkEnd w:id="28"/>
      <w:bookmarkEnd w:id="29"/>
    </w:p>
    <w:p>
      <w:pPr>
        <w:widowControl/>
        <w:spacing w:line="560" w:lineRule="exact"/>
        <w:jc w:val="left"/>
        <w:rPr>
          <w:rFonts w:eastAsia="仿宋"/>
          <w:kern w:val="0"/>
          <w:sz w:val="32"/>
          <w:szCs w:val="32"/>
        </w:rPr>
      </w:pPr>
    </w:p>
    <w:p>
      <w:pPr>
        <w:pStyle w:val="1"/>
        <w:spacing w:line="560" w:lineRule="exact"/>
        <w:jc w:val="center"/>
        <w:rPr>
          <w:rFonts w:eastAsia="方正小标宋简体" w:cs="方正小标宋简体"/>
          <w:b w:val="0"/>
        </w:rPr>
      </w:pPr>
      <w:bookmarkStart w:id="30" w:name="_Toc15377204"/>
      <w:bookmarkStart w:id="31" w:name="_Toc15396602"/>
      <w:bookmarkStart w:id="32" w:name="_Toc1766871847"/>
      <w:r>
        <w:rPr>
          <w:rFonts w:eastAsia="方正小标宋简体" w:cs="方正小标宋简体" w:hint="eastAsia"/>
          <w:b w:val="0"/>
        </w:rPr>
        <w:t>第二部分  2025年度单位决算情况说明</w:t>
      </w:r>
      <w:bookmarkEnd w:id="30"/>
      <w:bookmarkEnd w:id="31"/>
      <w:bookmarkEnd w:id="32"/>
    </w:p>
    <w:p>
      <w:pPr>
        <w:spacing w:line="560" w:lineRule="exact"/>
      </w:pPr>
    </w:p>
    <w:p>
      <w:pPr>
        <w:pStyle w:val="32"/>
        <w:spacing w:line="560" w:lineRule="exact"/>
        <w:outlineLvl w:val="1"/>
        <w:rPr>
          <w:rStyle w:val="2Char"/>
          <w:rFonts w:ascii="Times New Roman" w:eastAsia="黑体" w:hAnsi="Times New Roman"/>
          <w:b w:val="0"/>
        </w:rPr>
      </w:pPr>
      <w:bookmarkStart w:id="33" w:name="_Toc15396603"/>
      <w:bookmarkStart w:id="34" w:name="_Toc15377205"/>
      <w:bookmarkStart w:id="35" w:name="_Toc1440607219"/>
      <w:r>
        <w:rPr>
          <w:rFonts w:eastAsia="黑体" w:hint="eastAsia"/>
          <w:sz w:val="32"/>
          <w:szCs w:val="32"/>
        </w:rPr>
        <w:t>一、收</w:t>
      </w:r>
      <w:r>
        <w:rPr>
          <w:rStyle w:val="2Char"/>
          <w:rFonts w:ascii="Times New Roman" w:eastAsia="黑体" w:hAnsi="Times New Roman" w:hint="eastAsia"/>
          <w:b w:val="0"/>
        </w:rPr>
        <w:t>入支出决算总体情况说明</w:t>
      </w:r>
      <w:bookmarkEnd w:id="33"/>
      <w:bookmarkEnd w:id="34"/>
      <w:bookmarkEnd w:id="35"/>
    </w:p>
    <w:p>
      <w:pPr>
        <w:pStyle w:val="32"/>
        <w:spacing w:line="560" w:lineRule="exact"/>
        <w:outlineLvl w:val="1"/>
        <w:rPr>
          <w:rFonts w:eastAsia="仿宋_GB2312" w:cs="仿宋_GB2312"/>
          <w:sz w:val="32"/>
          <w:szCs w:val="32"/>
        </w:rPr>
      </w:pPr>
      <w:bookmarkStart w:id="36" w:name="_Toc1270115994"/>
      <w:r>
        <w:rPr>
          <w:rFonts w:eastAsia="仿宋_GB2312" w:cs="仿宋_GB2312" w:hint="eastAsia"/>
          <w:sz w:val="32"/>
          <w:szCs w:val="32"/>
        </w:rPr>
        <w:t>2025年度收入、支出总计均为</w:t>
      </w:r>
      <w:r>
        <w:rPr>
          <w:rFonts w:ascii="仿宋_GB2312" w:eastAsia="仿宋_GB2312" w:cs="仿宋_GB2312" w:hint="eastAsia"/>
          <w:sz w:val="32"/>
          <w:szCs w:val="32"/>
        </w:rPr>
        <w:t>566.84</w:t>
      </w:r>
      <w:r>
        <w:rPr>
          <w:rFonts w:eastAsia="仿宋_GB2312" w:cs="仿宋_GB2312" w:hint="eastAsia"/>
          <w:sz w:val="32"/>
          <w:szCs w:val="32"/>
        </w:rPr>
        <w:t>万元。与2024年度相比，收入总计减少122.39，减少23.42%。支出总计减少104.07万元，下降15.51%。主要变动原因是</w:t>
      </w:r>
      <w:r>
        <w:rPr>
          <w:rFonts w:ascii="仿宋" w:eastAsia="仿宋" w:hint="eastAsia"/>
          <w:sz w:val="32"/>
          <w:szCs w:val="32"/>
        </w:rPr>
        <w:t>单位项目资金减少，人员减少，保险及工资减少</w:t>
      </w:r>
      <w:r>
        <w:rPr>
          <w:rFonts w:eastAsia="仿宋_GB2312" w:cs="仿宋_GB2312" w:hint="eastAsia"/>
          <w:sz w:val="32"/>
          <w:szCs w:val="32"/>
        </w:rPr>
        <w:t>。</w:t>
      </w:r>
      <w:bookmarkStart w:id="37" w:name="_Toc15396604"/>
      <w:bookmarkStart w:id="38" w:name="_Toc15377206"/>
      <w:bookmarkEnd w:id="36"/>
    </w:p>
    <w:p>
      <w:pPr>
        <w:pStyle w:val="32"/>
        <w:tabs>
          <w:tab w:val="left" w:pos="778"/>
        </w:tabs>
        <w:spacing w:line="560" w:lineRule="exact"/>
        <w:ind w:firstLineChars="0" w:firstLine="0"/>
        <w:rPr>
          <w:rFonts w:eastAsia="黑体"/>
          <w:sz w:val="32"/>
          <w:szCs w:val="32"/>
        </w:rPr>
      </w:pPr>
      <w:r>
        <w:rPr>
          <w:rFonts w:eastAsia="黑体" w:hint="eastAsia"/>
          <w:sz w:val="28"/>
          <w:szCs w:val="28"/>
          <w:lang w:bidi="bo-CN"/>
        </w:rPr>
        <w:drawing>
          <wp:anchor distT="0" distB="0" distL="114300" distR="114300" simplePos="0" relativeHeight="23" behindDoc="0" locked="0" layoutInCell="1" hidden="0" allowOverlap="1">
            <wp:simplePos x="0" y="0"/>
            <wp:positionH relativeFrom="column">
              <wp:posOffset>398144</wp:posOffset>
            </wp:positionH>
            <wp:positionV relativeFrom="paragraph">
              <wp:posOffset>316865</wp:posOffset>
            </wp:positionV>
            <wp:extent cx="4128134" cy="2668904"/>
            <wp:effectExtent l="0" t="0" r="0" b="0"/>
            <wp:wrapSquare wrapText="bothSides"/>
            <wp:docPr id="7" name="图表 1"/>
            <wp:cNvGraphicFramePr>
              <a:graphicFrameLocks noChangeAspect="0"/>
            </wp:cNvGraphicFramePr>
            <a:graphic>
              <a:graphicData uri="http://schemas.openxmlformats.org/drawingml/2006/picture">
                <pic:pic>
                  <pic:nvPicPr>
                    <pic:cNvPr id="9" name="图表 1 9"/>
                    <pic:cNvPicPr/>
                  </pic:nvPicPr>
                  <pic:blipFill>
                    <a:blip r:embed="rId6"/>
                    <a:stretch>
                      <a:fillRect/>
                    </a:stretch>
                  </pic:blipFill>
                  <pic:spPr>
                    <a:xfrm rot="0">
                      <a:off x="0" y="0"/>
                      <a:ext cx="4128134" cy="2668904"/>
                    </a:xfrm>
                    <a:prstGeom prst="rect"/>
                    <a:ln w="9525" cmpd="sng" cap="flat">
                      <a:solidFill>
                        <a:srgbClr val="000000"/>
                      </a:solidFill>
                      <a:prstDash val="solid"/>
                      <a:miter/>
                    </a:ln>
                  </pic:spPr>
                </pic:pic>
              </a:graphicData>
            </a:graphic>
          </wp:anchor>
        </w:drawing>
      </w:r>
    </w:p>
    <w:p>
      <w:pPr>
        <w:pStyle w:val="32"/>
        <w:tabs>
          <w:tab w:val="left" w:pos="778"/>
        </w:tabs>
        <w:spacing w:line="560" w:lineRule="exact"/>
        <w:ind w:firstLineChars="0" w:firstLine="0"/>
        <w:rPr>
          <w:rFonts w:eastAsia="黑体"/>
          <w:sz w:val="32"/>
          <w:szCs w:val="32"/>
        </w:rPr>
      </w:pPr>
    </w:p>
    <w:p>
      <w:pPr>
        <w:pStyle w:val="32"/>
        <w:spacing w:line="560" w:lineRule="exact"/>
        <w:outlineLvl w:val="1"/>
        <w:rPr>
          <w:rFonts w:eastAsia="黑体"/>
          <w:sz w:val="32"/>
          <w:szCs w:val="32"/>
        </w:rPr>
      </w:pPr>
      <w:bookmarkStart w:id="39" w:name="_Toc81312668"/>
      <w:r>
        <w:rPr>
          <w:rFonts w:eastAsia="仿宋_GB2312" w:cs="仿宋_GB2312" w:hint="eastAsia"/>
          <w:sz w:val="32"/>
          <w:szCs w:val="32"/>
        </w:rPr>
        <w:t>（图1：收入、支出决算总计变动情况图）（柱状图）</w:t>
      </w:r>
      <w:bookmarkEnd w:id="39"/>
    </w:p>
    <w:p>
      <w:pPr>
        <w:pStyle w:val="32"/>
        <w:spacing w:line="560" w:lineRule="exact"/>
        <w:outlineLvl w:val="1"/>
        <w:rPr>
          <w:rFonts w:eastAsia="黑体"/>
          <w:sz w:val="32"/>
          <w:szCs w:val="32"/>
        </w:rPr>
      </w:pPr>
      <w:bookmarkStart w:id="40" w:name="_Toc1134797566"/>
      <w:r>
        <w:rPr>
          <w:rFonts w:eastAsia="黑体" w:hint="eastAsia"/>
          <w:sz w:val="32"/>
          <w:szCs w:val="32"/>
        </w:rPr>
        <w:t>二、收入决算情况说明</w:t>
      </w:r>
      <w:bookmarkEnd w:id="37"/>
      <w:bookmarkEnd w:id="38"/>
      <w:bookmarkEnd w:id="40"/>
    </w:p>
    <w:p>
      <w:pPr>
        <w:pStyle w:val="32"/>
        <w:spacing w:line="560" w:lineRule="exact"/>
        <w:jc w:val="left"/>
        <w:outlineLvl w:val="1"/>
        <w:rPr>
          <w:rFonts w:eastAsia="仿宋_GB2312" w:cs="仿宋_GB2312"/>
          <w:sz w:val="32"/>
          <w:szCs w:val="32"/>
        </w:rPr>
      </w:pPr>
      <w:bookmarkStart w:id="41" w:name="_Toc743908439"/>
      <w:r>
        <w:rPr>
          <w:rFonts w:ascii="仿宋_GB2312" w:eastAsia="仿宋_GB2312" w:cs="仿宋_GB2312" w:hint="eastAsia"/>
          <w:sz w:val="32"/>
          <w:szCs w:val="32"/>
        </w:rPr>
        <w:t>2025年度本年收入合计400.17万元，其中：一般公共预算财政拨款收入400.17万元，占100%；政府性基金预算财政拨款收入0万元，占0%%；国有资本经营预算财政拨款收入0万元，占0%；上级补助收入0万元，占0%；事业收入0万元，占0%；经营收入0万元，占0%；附属单位上缴收入0万元，占0%；其他收入0万元，占0%。</w:t>
      </w:r>
      <w:bookmarkEnd w:id="41"/>
    </w:p>
    <w:p>
      <w:pPr>
        <w:pStyle w:val="15"/>
        <w:rPr>
          <w:rFonts w:eastAsia="仿宋_GB2312" w:cs="仿宋_GB2312"/>
          <w:sz w:val="32"/>
          <w:szCs w:val="32"/>
        </w:rPr>
      </w:pPr>
      <w:r>
        <w:rPr>
          <w:rFonts w:eastAsia="仿宋_GB2312" w:cs="仿宋_GB2312" w:hint="eastAsia"/>
          <w:sz w:val="32"/>
          <w:szCs w:val="32"/>
        </w:rPr>
        <w:t xml:space="preserve">    </w:t>
      </w:r>
      <w:r>
        <w:rPr>
          <w:rFonts w:eastAsia="仿宋_GB2312" w:cs="仿宋_GB2312" w:hint="eastAsia"/>
          <w:sz w:val="32"/>
          <w:szCs w:val="32"/>
          <w:lang w:bidi="bo-CN"/>
        </w:rPr>
        <w:drawing>
          <wp:inline distT="0" distB="0" distL="114300" distR="114300">
            <wp:extent cx="4004309" cy="2239010"/>
            <wp:effectExtent l="0" t="0" r="0" b="0"/>
            <wp:docPr id="10" name="图表 2"/>
            <wp:cNvGraphicFramePr>
              <a:graphicFrameLocks noChangeAspect="0"/>
            </wp:cNvGraphicFramePr>
            <a:graphic>
              <a:graphicData uri="http://schemas.openxmlformats.org/drawingml/2006/picture">
                <pic:pic>
                  <pic:nvPicPr>
                    <pic:cNvPr id="12" name="图表 2 12"/>
                    <pic:cNvPicPr/>
                  </pic:nvPicPr>
                  <pic:blipFill>
                    <a:blip r:embed="rId7"/>
                    <a:stretch>
                      <a:fillRect/>
                    </a:stretch>
                  </pic:blipFill>
                  <pic:spPr>
                    <a:xfrm rot="0">
                      <a:off x="0" y="0"/>
                      <a:ext cx="4004309" cy="2239010"/>
                    </a:xfrm>
                    <a:prstGeom prst="rect"/>
                    <a:ln w="9525" cmpd="sng" cap="flat">
                      <a:solidFill>
                        <a:srgbClr val="000000"/>
                      </a:solidFill>
                      <a:prstDash val="solid"/>
                      <a:miter/>
                    </a:ln>
                  </pic:spPr>
                </pic:pic>
              </a:graphicData>
            </a:graphic>
          </wp:inline>
        </w:drawing>
      </w:r>
    </w:p>
    <w:p>
      <w:pPr>
        <w:spacing w:line="560" w:lineRule="exact"/>
        <w:ind w:firstLineChars="250" w:firstLine="800"/>
      </w:pPr>
      <w:r>
        <w:rPr>
          <w:rFonts w:eastAsia="仿宋_GB2312" w:cs="仿宋_GB2312" w:hint="eastAsia"/>
          <w:sz w:val="32"/>
          <w:szCs w:val="32"/>
        </w:rPr>
        <w:t>（图2：收入决算结构图）（饼状图）</w:t>
      </w:r>
    </w:p>
    <w:p>
      <w:pPr>
        <w:pStyle w:val="32"/>
        <w:spacing w:line="560" w:lineRule="exact"/>
        <w:outlineLvl w:val="1"/>
        <w:rPr>
          <w:rStyle w:val="2Char"/>
          <w:rFonts w:ascii="Times New Roman" w:eastAsia="黑体" w:hAnsi="Times New Roman"/>
          <w:b w:val="0"/>
        </w:rPr>
      </w:pPr>
      <w:bookmarkStart w:id="42" w:name="_Toc15377207"/>
      <w:bookmarkStart w:id="43" w:name="_Toc15396605"/>
      <w:bookmarkStart w:id="44" w:name="_Toc823690147"/>
      <w:r>
        <w:rPr>
          <w:rFonts w:eastAsia="黑体" w:hint="eastAsia"/>
          <w:sz w:val="32"/>
          <w:szCs w:val="32"/>
        </w:rPr>
        <w:t>三、支</w:t>
      </w:r>
      <w:r>
        <w:rPr>
          <w:rStyle w:val="2Char"/>
          <w:rFonts w:ascii="Times New Roman" w:eastAsia="黑体" w:hAnsi="Times New Roman" w:hint="eastAsia"/>
          <w:b w:val="0"/>
        </w:rPr>
        <w:t>出决算情况说明</w:t>
      </w:r>
      <w:bookmarkEnd w:id="42"/>
      <w:bookmarkEnd w:id="43"/>
      <w:bookmarkEnd w:id="44"/>
    </w:p>
    <w:p>
      <w:pPr>
        <w:pStyle w:val="32"/>
        <w:spacing w:line="560" w:lineRule="exact"/>
        <w:jc w:val="left"/>
        <w:outlineLvl w:val="1"/>
        <w:rPr>
          <w:rFonts w:eastAsia="仿宋_GB2312" w:cs="仿宋_GB2312"/>
          <w:sz w:val="32"/>
          <w:szCs w:val="32"/>
        </w:rPr>
      </w:pPr>
      <w:bookmarkStart w:id="45" w:name="_Toc1334647342"/>
      <w:r>
        <w:rPr>
          <w:rFonts w:ascii="仿宋_GB2312" w:eastAsia="仿宋_GB2312" w:cs="仿宋_GB2312" w:hint="eastAsia"/>
          <w:sz w:val="32"/>
          <w:szCs w:val="32"/>
        </w:rPr>
        <w:t>2025年度本年支出合计566.84万元，其中：基本支出273.83万元，占48.31%；项目支出291.01万元，占51.69%；上缴上级支出0万元，占0%；经营支出0万元，占0%；对附属单位补助支出0万元，占0%。</w:t>
      </w:r>
      <w:bookmarkEnd w:id="45"/>
    </w:p>
    <w:p>
      <w:pPr>
        <w:pStyle w:val="17"/>
        <w:ind w:leftChars="0" w:left="0" w:firstLineChars="0" w:firstLine="0"/>
        <w:rPr>
          <w:rFonts w:eastAsia="仿宋_GB2312" w:cs="仿宋_GB2312"/>
          <w:sz w:val="32"/>
        </w:rPr>
      </w:pPr>
      <w:r>
        <w:rPr>
          <w:rFonts w:eastAsia="仿宋_GB2312" w:cs="仿宋_GB2312" w:hint="eastAsia"/>
          <w:sz w:val="32"/>
        </w:rPr>
        <w:t xml:space="preserve">    </w:t>
      </w:r>
      <w:r>
        <w:rPr>
          <w:rFonts w:eastAsia="仿宋_GB2312" w:cs="仿宋_GB2312" w:hint="eastAsia"/>
          <w:sz w:val="32"/>
          <w:lang w:bidi="bo-CN"/>
        </w:rPr>
        <w:drawing>
          <wp:inline distT="0" distB="0" distL="114300" distR="114300">
            <wp:extent cx="3889373" cy="2279015"/>
            <wp:effectExtent l="0" t="0" r="0" b="0"/>
            <wp:docPr id="13" name="图表 3"/>
            <wp:cNvGraphicFramePr>
              <a:graphicFrameLocks noChangeAspect="0"/>
            </wp:cNvGraphicFramePr>
            <a:graphic>
              <a:graphicData uri="http://schemas.openxmlformats.org/drawingml/2006/picture">
                <pic:pic>
                  <pic:nvPicPr>
                    <pic:cNvPr id="15" name="图表 3 15"/>
                    <pic:cNvPicPr/>
                  </pic:nvPicPr>
                  <pic:blipFill>
                    <a:blip r:embed="rId8"/>
                    <a:stretch>
                      <a:fillRect/>
                    </a:stretch>
                  </pic:blipFill>
                  <pic:spPr>
                    <a:xfrm rot="0">
                      <a:off x="0" y="0"/>
                      <a:ext cx="3889373" cy="2279015"/>
                    </a:xfrm>
                    <a:prstGeom prst="rect"/>
                    <a:ln w="9525" cmpd="sng" cap="flat">
                      <a:solidFill>
                        <a:srgbClr val="000000"/>
                      </a:solidFill>
                      <a:prstDash val="solid"/>
                      <a:miter/>
                    </a:ln>
                  </pic:spPr>
                </pic:pic>
              </a:graphicData>
            </a:graphic>
          </wp:inline>
        </w:drawing>
      </w:r>
    </w:p>
    <w:p>
      <w:pPr>
        <w:spacing w:line="560" w:lineRule="exact"/>
        <w:ind w:firstLineChars="250" w:firstLine="800"/>
        <w:rPr>
          <w:rFonts w:eastAsia="仿宋_GB2312" w:cs="仿宋_GB2312"/>
          <w:sz w:val="32"/>
          <w:szCs w:val="32"/>
        </w:rPr>
      </w:pPr>
      <w:r>
        <w:rPr>
          <w:rFonts w:eastAsia="仿宋_GB2312" w:cs="仿宋_GB2312" w:hint="eastAsia"/>
          <w:sz w:val="32"/>
          <w:szCs w:val="32"/>
        </w:rPr>
        <w:t>（图3：支出决算结构图）（饼状图）</w:t>
      </w:r>
    </w:p>
    <w:p>
      <w:pPr>
        <w:spacing w:line="560" w:lineRule="exact"/>
        <w:ind w:firstLineChars="200" w:firstLine="640"/>
        <w:outlineLvl w:val="1"/>
        <w:rPr>
          <w:rStyle w:val="2Char"/>
          <w:rFonts w:ascii="Times New Roman" w:eastAsia="黑体" w:hAnsi="Times New Roman"/>
          <w:b w:val="0"/>
        </w:rPr>
      </w:pPr>
      <w:bookmarkStart w:id="46" w:name="_Toc15396606"/>
      <w:bookmarkStart w:id="47" w:name="_Toc15377208"/>
      <w:bookmarkStart w:id="48" w:name="_Toc778229529"/>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46"/>
      <w:bookmarkEnd w:id="47"/>
      <w:bookmarkEnd w:id="48"/>
    </w:p>
    <w:p>
      <w:pPr>
        <w:spacing w:line="560" w:lineRule="exact"/>
        <w:ind w:firstLine="640"/>
        <w:rPr>
          <w:rFonts w:ascii="仿宋" w:eastAsia="仿宋"/>
          <w:sz w:val="32"/>
          <w:szCs w:val="32"/>
        </w:rPr>
      </w:pPr>
      <w:r>
        <w:rPr>
          <w:rFonts w:eastAsia="仿宋_GB2312" w:cs="仿宋_GB2312" w:hint="eastAsia"/>
          <w:sz w:val="32"/>
          <w:szCs w:val="32"/>
        </w:rPr>
        <w:t>2025年度财政拨款收入、支出总计均为</w:t>
      </w:r>
      <w:r>
        <w:rPr>
          <w:rFonts w:ascii="仿宋_GB2312" w:eastAsia="仿宋_GB2312" w:cs="仿宋_GB2312" w:hint="eastAsia"/>
          <w:sz w:val="32"/>
          <w:szCs w:val="32"/>
        </w:rPr>
        <w:t>566.84</w:t>
      </w:r>
      <w:r>
        <w:rPr>
          <w:rFonts w:eastAsia="仿宋_GB2312" w:cs="仿宋_GB2312" w:hint="eastAsia"/>
          <w:sz w:val="32"/>
          <w:szCs w:val="32"/>
        </w:rPr>
        <w:t>万元。与2024年度相比，财政拨款收入总计减少122.39，减少23.42%。支出总计减少104.07万元，下降15.51%。主要变动原因是</w:t>
      </w:r>
      <w:r>
        <w:rPr>
          <w:rFonts w:ascii="仿宋" w:eastAsia="仿宋" w:hint="eastAsia"/>
          <w:sz w:val="32"/>
          <w:szCs w:val="32"/>
        </w:rPr>
        <w:t>单位项目资金减少，人员减少，保险及工资减少</w:t>
      </w:r>
    </w:p>
    <w:p>
      <w:pPr>
        <w:pStyle w:val="17"/>
        <w:ind w:leftChars="0" w:left="0" w:firstLineChars="0" w:firstLine="0"/>
        <w:rPr>
          <w:rFonts w:ascii="仿宋" w:eastAsia="仿宋"/>
          <w:sz w:val="32"/>
        </w:rPr>
      </w:pPr>
      <w:r>
        <w:rPr>
          <w:rFonts w:ascii="仿宋" w:eastAsia="仿宋" w:hint="eastAsia"/>
          <w:sz w:val="32"/>
        </w:rPr>
        <w:t xml:space="preserve">    </w:t>
      </w:r>
      <w:r>
        <w:rPr>
          <w:rFonts w:ascii="仿宋" w:eastAsia="仿宋" w:hint="eastAsia"/>
          <w:sz w:val="32"/>
          <w:lang w:bidi="bo-CN"/>
        </w:rPr>
        <w:drawing>
          <wp:inline distT="0" distB="0" distL="114300" distR="114300">
            <wp:extent cx="3717923" cy="2212340"/>
            <wp:effectExtent l="0" t="0" r="0" b="0"/>
            <wp:docPr id="16" name="图表 4"/>
            <wp:cNvGraphicFramePr>
              <a:graphicFrameLocks noChangeAspect="0"/>
            </wp:cNvGraphicFramePr>
            <a:graphic>
              <a:graphicData uri="http://schemas.openxmlformats.org/drawingml/2006/picture">
                <pic:pic>
                  <pic:nvPicPr>
                    <pic:cNvPr id="18" name="图表 4 18"/>
                    <pic:cNvPicPr/>
                  </pic:nvPicPr>
                  <pic:blipFill>
                    <a:blip r:embed="rId9"/>
                    <a:stretch>
                      <a:fillRect/>
                    </a:stretch>
                  </pic:blipFill>
                  <pic:spPr>
                    <a:xfrm rot="0">
                      <a:off x="0" y="0"/>
                      <a:ext cx="3717923" cy="2212340"/>
                    </a:xfrm>
                    <a:prstGeom prst="rect"/>
                    <a:ln w="9525" cmpd="sng" cap="flat">
                      <a:solidFill>
                        <a:srgbClr val="000000"/>
                      </a:solidFill>
                      <a:prstDash val="solid"/>
                      <a:miter/>
                    </a:ln>
                  </pic:spPr>
                </pic:pic>
              </a:graphicData>
            </a:graphic>
          </wp:inline>
        </w:drawing>
      </w:r>
    </w:p>
    <w:p>
      <w:pPr>
        <w:spacing w:line="560" w:lineRule="exact"/>
        <w:ind w:firstLineChars="200" w:firstLine="640"/>
        <w:rPr>
          <w:rFonts w:eastAsia="仿宋_GB2312" w:cs="仿宋_GB2312"/>
          <w:sz w:val="32"/>
          <w:szCs w:val="32"/>
        </w:rPr>
      </w:pPr>
      <w:r>
        <w:rPr>
          <w:rFonts w:eastAsia="仿宋_GB2312" w:cs="仿宋_GB2312" w:hint="eastAsia"/>
          <w:sz w:val="32"/>
          <w:szCs w:val="32"/>
        </w:rPr>
        <w:t>（图4：财政拨款收、支决算总计变动情况）（柱状图）</w:t>
      </w:r>
    </w:p>
    <w:p>
      <w:pPr>
        <w:spacing w:line="560" w:lineRule="exact"/>
        <w:ind w:firstLineChars="200" w:firstLine="640"/>
        <w:outlineLvl w:val="1"/>
        <w:rPr>
          <w:rStyle w:val="2Char"/>
          <w:rFonts w:ascii="Times New Roman" w:eastAsia="黑体" w:hAnsi="Times New Roman"/>
          <w:b w:val="0"/>
        </w:rPr>
      </w:pPr>
      <w:bookmarkStart w:id="49" w:name="_Toc15396607"/>
      <w:bookmarkStart w:id="50" w:name="_Toc15377209"/>
      <w:bookmarkStart w:id="51" w:name="_Toc2069963663"/>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49"/>
      <w:bookmarkEnd w:id="50"/>
      <w:bookmarkEnd w:id="51"/>
    </w:p>
    <w:p>
      <w:pPr>
        <w:spacing w:line="560" w:lineRule="exact"/>
        <w:ind w:firstLineChars="200" w:firstLine="640"/>
        <w:outlineLvl w:val="2"/>
        <w:rPr>
          <w:rFonts w:eastAsia="楷体_GB2312" w:cs="楷体_GB2312"/>
          <w:b/>
          <w:sz w:val="32"/>
          <w:szCs w:val="32"/>
        </w:rPr>
      </w:pPr>
      <w:bookmarkStart w:id="52" w:name="_Toc15377210"/>
      <w:r>
        <w:rPr>
          <w:rFonts w:eastAsia="楷体_GB2312" w:cs="楷体_GB2312" w:hint="eastAsia"/>
          <w:b/>
          <w:sz w:val="32"/>
          <w:szCs w:val="32"/>
        </w:rPr>
        <w:t>（一）一般公共预算财政拨款支出决算总体情况</w:t>
      </w:r>
      <w:bookmarkEnd w:id="52"/>
    </w:p>
    <w:p>
      <w:pPr>
        <w:spacing w:line="560" w:lineRule="exact"/>
        <w:ind w:firstLine="640"/>
        <w:rPr>
          <w:rFonts w:ascii="仿宋" w:eastAsia="仿宋"/>
          <w:sz w:val="32"/>
          <w:szCs w:val="32"/>
        </w:rPr>
      </w:pPr>
      <w:r>
        <w:rPr>
          <w:rFonts w:ascii="仿宋_GB2312" w:eastAsia="仿宋_GB2312" w:cs="仿宋_GB2312" w:hint="eastAsia"/>
          <w:sz w:val="32"/>
          <w:szCs w:val="32"/>
        </w:rPr>
        <w:t>2025年度一般公共预算财政拨款支出566.84万元，占本年支出合计的100%。与2024年度相比，一般公共预算财政拨款支出减少104.07万元，下降15.51%。主要变动原因是</w:t>
      </w:r>
      <w:r>
        <w:rPr>
          <w:rFonts w:ascii="仿宋" w:eastAsia="仿宋" w:hint="eastAsia"/>
          <w:sz w:val="32"/>
          <w:szCs w:val="32"/>
        </w:rPr>
        <w:t>项目资金支出减少。</w:t>
      </w:r>
    </w:p>
    <w:p>
      <w:pPr>
        <w:pStyle w:val="17"/>
        <w:ind w:leftChars="0" w:left="0" w:firstLineChars="0" w:firstLine="0"/>
        <w:rPr>
          <w:rFonts w:eastAsia="仿宋_GB2312" w:cs="仿宋_GB2312"/>
          <w:sz w:val="32"/>
        </w:rPr>
      </w:pPr>
      <w:r>
        <w:rPr>
          <w:rFonts w:ascii="仿宋" w:eastAsia="仿宋" w:hint="eastAsia"/>
          <w:sz w:val="32"/>
        </w:rPr>
        <w:t xml:space="preserve">     </w:t>
      </w:r>
      <w:r>
        <w:rPr>
          <w:rFonts w:ascii="仿宋" w:eastAsia="仿宋" w:hint="eastAsia"/>
          <w:sz w:val="32"/>
          <w:lang w:bidi="bo-CN"/>
        </w:rPr>
        <w:drawing>
          <wp:inline distT="0" distB="0" distL="114300" distR="114300">
            <wp:extent cx="4355465" cy="2124710"/>
            <wp:effectExtent l="0" t="0" r="0" b="0"/>
            <wp:docPr id="19" name="图表 5"/>
            <wp:cNvGraphicFramePr>
              <a:graphicFrameLocks noChangeAspect="0"/>
            </wp:cNvGraphicFramePr>
            <a:graphic>
              <a:graphicData uri="http://schemas.openxmlformats.org/drawingml/2006/picture">
                <pic:pic>
                  <pic:nvPicPr>
                    <pic:cNvPr id="21" name="图表 5 21"/>
                    <pic:cNvPicPr/>
                  </pic:nvPicPr>
                  <pic:blipFill>
                    <a:blip r:embed="rId10"/>
                    <a:stretch>
                      <a:fillRect/>
                    </a:stretch>
                  </pic:blipFill>
                  <pic:spPr>
                    <a:xfrm rot="0">
                      <a:off x="0" y="0"/>
                      <a:ext cx="4355465" cy="2124710"/>
                    </a:xfrm>
                    <a:prstGeom prst="rect"/>
                    <a:ln w="9525" cmpd="sng" cap="flat">
                      <a:solidFill>
                        <a:srgbClr val="000000"/>
                      </a:solidFill>
                      <a:prstDash val="solid"/>
                      <a:miter/>
                    </a:ln>
                  </pic:spPr>
                </pic:pic>
              </a:graphicData>
            </a:graphic>
          </wp:inline>
        </w:drawing>
      </w:r>
      <w:r>
        <w:rPr>
          <w:rFonts w:ascii="仿宋" w:eastAsia="仿宋" w:hint="eastAsia"/>
          <w:sz w:val="32"/>
        </w:rPr>
        <w:t xml:space="preserve">         </w:t>
      </w:r>
      <w:r>
        <w:rPr>
          <w:rFonts w:eastAsia="仿宋_GB2312" w:cs="仿宋_GB2312" w:hint="eastAsia"/>
          <w:sz w:val="32"/>
        </w:rPr>
        <w:t>（图5：一般公共预算财政拨款支出决算变动情况）（柱状图）</w:t>
      </w:r>
    </w:p>
    <w:p>
      <w:pPr>
        <w:spacing w:line="560" w:lineRule="exact"/>
        <w:ind w:firstLine="640"/>
        <w:rPr>
          <w:rFonts w:eastAsia="仿宋_GB2312" w:cs="仿宋_GB2312"/>
          <w:sz w:val="32"/>
          <w:szCs w:val="32"/>
        </w:rPr>
      </w:pPr>
    </w:p>
    <w:p>
      <w:pPr>
        <w:spacing w:line="560" w:lineRule="exact"/>
        <w:ind w:firstLineChars="200" w:firstLine="640"/>
        <w:outlineLvl w:val="2"/>
        <w:rPr>
          <w:rFonts w:eastAsia="楷体_GB2312" w:cs="楷体_GB2312"/>
          <w:b/>
          <w:sz w:val="32"/>
          <w:szCs w:val="32"/>
        </w:rPr>
      </w:pPr>
      <w:bookmarkStart w:id="53" w:name="_Toc15377211"/>
      <w:r>
        <w:rPr>
          <w:rFonts w:eastAsia="楷体_GB2312" w:cs="楷体_GB2312" w:hint="eastAsia"/>
          <w:b/>
          <w:sz w:val="32"/>
          <w:szCs w:val="32"/>
        </w:rPr>
        <w:t>（二）一般公共预算财政拨款支出决算结构情况</w:t>
      </w:r>
      <w:bookmarkEnd w:id="53"/>
    </w:p>
    <w:p>
      <w:pPr>
        <w:spacing w:line="560" w:lineRule="exact"/>
        <w:ind w:firstLine="640"/>
        <w:rPr>
          <w:rFonts w:eastAsia="仿宋_GB2312" w:cs="仿宋_GB2312"/>
          <w:sz w:val="32"/>
          <w:szCs w:val="32"/>
        </w:rPr>
      </w:pPr>
      <w:r>
        <w:rPr>
          <w:rFonts w:eastAsia="仿宋_GB2312" w:cs="仿宋_GB2312" w:hint="eastAsia"/>
          <w:sz w:val="32"/>
          <w:szCs w:val="32"/>
        </w:rPr>
        <w:t>2025年度一般公共预算财政拨款支出</w:t>
      </w:r>
      <w:r>
        <w:rPr>
          <w:rFonts w:ascii="仿宋_GB2312" w:eastAsia="仿宋_GB2312" w:cs="仿宋_GB2312" w:hint="eastAsia"/>
          <w:sz w:val="32"/>
          <w:szCs w:val="32"/>
        </w:rPr>
        <w:t>566.84万元</w:t>
      </w:r>
      <w:r>
        <w:rPr>
          <w:rFonts w:eastAsia="仿宋_GB2312" w:cs="仿宋_GB2312" w:hint="eastAsia"/>
          <w:sz w:val="32"/>
          <w:szCs w:val="32"/>
        </w:rPr>
        <w:t>，主要用于以下方面：一般公共服务支出373.01万元，占65.83%；教育支出0万元，占0%；科学技术支出0万元，占0%；文化旅游体育与传媒支出133.15万元，占23.48%；社会保障和就业支出30.28万元，占5.34%；卫生健康支出13.01万元，占2.29%；住房保障支出17.38万元，占3.06%；</w:t>
      </w:r>
    </w:p>
    <w:p>
      <w:pPr>
        <w:spacing w:line="560" w:lineRule="exact"/>
        <w:ind w:firstLine="640"/>
        <w:rPr>
          <w:rFonts w:eastAsia="仿宋_GB2312" w:cs="仿宋_GB2312"/>
          <w:sz w:val="32"/>
          <w:szCs w:val="32"/>
        </w:rPr>
      </w:pPr>
      <w:r>
        <w:rPr>
          <w:rFonts w:eastAsia="仿宋_GB2312" w:cs="仿宋_GB2312" w:hint="eastAsia"/>
          <w:sz w:val="32"/>
          <w:szCs w:val="32"/>
          <w:lang w:bidi="bo-CN"/>
        </w:rPr>
        <w:drawing>
          <wp:anchor distT="0" distB="0" distL="114300" distR="114300" simplePos="0" relativeHeight="24" behindDoc="0" locked="0" layoutInCell="1" hidden="0" allowOverlap="1">
            <wp:simplePos x="0" y="0"/>
            <wp:positionH relativeFrom="column">
              <wp:posOffset>706119</wp:posOffset>
            </wp:positionH>
            <wp:positionV relativeFrom="paragraph">
              <wp:posOffset>92075</wp:posOffset>
            </wp:positionV>
            <wp:extent cx="4051934" cy="2658110"/>
            <wp:effectExtent l="0" t="0" r="0" b="0"/>
            <wp:wrapSquare wrapText="bothSides"/>
            <wp:docPr id="22" name="图表 6"/>
            <wp:cNvGraphicFramePr>
              <a:graphicFrameLocks noChangeAspect="0"/>
            </wp:cNvGraphicFramePr>
            <a:graphic>
              <a:graphicData uri="http://schemas.openxmlformats.org/drawingml/2006/picture">
                <pic:pic>
                  <pic:nvPicPr>
                    <pic:cNvPr id="24" name="图表 6 24"/>
                    <pic:cNvPicPr/>
                  </pic:nvPicPr>
                  <pic:blipFill>
                    <a:blip r:embed="rId11"/>
                    <a:stretch>
                      <a:fillRect/>
                    </a:stretch>
                  </pic:blipFill>
                  <pic:spPr>
                    <a:xfrm rot="0">
                      <a:off x="0" y="0"/>
                      <a:ext cx="4051934" cy="2658110"/>
                    </a:xfrm>
                    <a:prstGeom prst="rect"/>
                    <a:ln w="9525" cmpd="sng" cap="flat">
                      <a:solidFill>
                        <a:srgbClr val="000000"/>
                      </a:solidFill>
                      <a:prstDash val="solid"/>
                      <a:miter/>
                    </a:ln>
                  </pic:spPr>
                </pic:pic>
              </a:graphicData>
            </a:graphic>
          </wp:anchor>
        </w:drawing>
      </w:r>
    </w:p>
    <w:p>
      <w:pPr>
        <w:spacing w:line="560" w:lineRule="exact"/>
        <w:ind w:firstLine="640"/>
        <w:rPr>
          <w:rFonts w:eastAsia="仿宋_GB2312" w:cs="仿宋_GB2312"/>
          <w:sz w:val="32"/>
          <w:szCs w:val="32"/>
        </w:rPr>
      </w:pPr>
    </w:p>
    <w:p>
      <w:pPr>
        <w:spacing w:line="560" w:lineRule="exact"/>
        <w:ind w:firstLine="640"/>
        <w:rPr>
          <w:rFonts w:eastAsia="仿宋_GB2312" w:cs="仿宋_GB2312"/>
          <w:sz w:val="32"/>
          <w:szCs w:val="32"/>
        </w:rPr>
      </w:pPr>
    </w:p>
    <w:p>
      <w:pPr>
        <w:spacing w:line="560" w:lineRule="exact"/>
        <w:ind w:firstLine="640"/>
        <w:rPr>
          <w:rFonts w:eastAsia="仿宋_GB2312" w:cs="仿宋_GB2312"/>
          <w:sz w:val="32"/>
          <w:szCs w:val="32"/>
        </w:rPr>
      </w:pPr>
    </w:p>
    <w:p>
      <w:pPr>
        <w:spacing w:line="560" w:lineRule="exact"/>
        <w:ind w:firstLine="640"/>
        <w:rPr>
          <w:rFonts w:eastAsia="仿宋_GB2312" w:cs="仿宋_GB2312"/>
          <w:sz w:val="32"/>
          <w:szCs w:val="32"/>
        </w:rPr>
      </w:pPr>
    </w:p>
    <w:p>
      <w:pPr>
        <w:spacing w:line="560" w:lineRule="exact"/>
        <w:ind w:firstLine="640"/>
        <w:rPr>
          <w:rFonts w:eastAsia="仿宋_GB2312" w:cs="仿宋_GB2312"/>
          <w:sz w:val="32"/>
          <w:szCs w:val="32"/>
        </w:rPr>
      </w:pPr>
    </w:p>
    <w:p>
      <w:pPr>
        <w:spacing w:line="560" w:lineRule="exact"/>
        <w:ind w:firstLine="640"/>
        <w:rPr>
          <w:rFonts w:eastAsia="仿宋_GB2312" w:cs="仿宋_GB2312"/>
          <w:sz w:val="32"/>
          <w:szCs w:val="32"/>
        </w:rPr>
      </w:pPr>
    </w:p>
    <w:p>
      <w:pPr>
        <w:spacing w:line="560" w:lineRule="exact"/>
        <w:rPr>
          <w:rFonts w:eastAsia="仿宋_GB2312" w:cs="仿宋_GB2312"/>
          <w:sz w:val="32"/>
          <w:szCs w:val="32"/>
        </w:rPr>
      </w:pPr>
    </w:p>
    <w:p>
      <w:pPr>
        <w:spacing w:line="560" w:lineRule="exact"/>
        <w:ind w:firstLine="640"/>
        <w:rPr>
          <w:rFonts w:eastAsia="仿宋_GB2312" w:cs="仿宋_GB2312"/>
          <w:sz w:val="32"/>
          <w:szCs w:val="32"/>
        </w:rPr>
      </w:pPr>
      <w:r>
        <w:rPr>
          <w:rFonts w:eastAsia="仿宋_GB2312" w:cs="仿宋_GB2312" w:hint="eastAsia"/>
          <w:sz w:val="32"/>
          <w:szCs w:val="32"/>
        </w:rPr>
        <w:t>（图6：一般公共预算财政拨款支出决算结构）（饼状图）</w:t>
      </w:r>
    </w:p>
    <w:p>
      <w:pPr>
        <w:spacing w:line="560" w:lineRule="exact"/>
        <w:ind w:firstLineChars="200" w:firstLine="640"/>
        <w:outlineLvl w:val="2"/>
        <w:rPr>
          <w:rFonts w:eastAsia="楷体_GB2312" w:cs="楷体_GB2312"/>
          <w:b/>
          <w:sz w:val="32"/>
          <w:szCs w:val="32"/>
        </w:rPr>
      </w:pPr>
      <w:bookmarkStart w:id="54" w:name="_Toc15377212"/>
      <w:r>
        <w:rPr>
          <w:rFonts w:eastAsia="楷体_GB2312" w:cs="楷体_GB2312" w:hint="eastAsia"/>
          <w:b/>
          <w:sz w:val="32"/>
          <w:szCs w:val="32"/>
        </w:rPr>
        <w:t>（三）一般公共预算财政拨款支出决算具体情况</w:t>
      </w:r>
      <w:bookmarkEnd w:id="54"/>
    </w:p>
    <w:p>
      <w:pPr>
        <w:spacing w:line="560" w:lineRule="exact"/>
        <w:ind w:firstLine="640"/>
        <w:rPr>
          <w:rFonts w:eastAsia="仿宋_GB2312" w:cs="仿宋_GB2312"/>
          <w:sz w:val="32"/>
          <w:szCs w:val="32"/>
        </w:rPr>
      </w:pPr>
      <w:bookmarkStart w:id="55" w:name="_Toc15378460"/>
      <w:bookmarkStart w:id="56" w:name="_Toc15377444"/>
      <w:bookmarkStart w:id="57" w:name="_Toc15377213"/>
      <w:r>
        <w:rPr>
          <w:rFonts w:eastAsia="仿宋_GB2312" w:cs="仿宋_GB2312" w:hint="eastAsia"/>
          <w:sz w:val="32"/>
          <w:szCs w:val="32"/>
        </w:rPr>
        <w:t>2025年度一般公共预算财政拨款支出决算数为</w:t>
      </w:r>
      <w:r>
        <w:rPr>
          <w:rFonts w:ascii="仿宋_GB2312" w:eastAsia="仿宋_GB2312" w:cs="仿宋_GB2312" w:hint="eastAsia"/>
          <w:sz w:val="32"/>
          <w:szCs w:val="32"/>
        </w:rPr>
        <w:t>566.84，</w:t>
      </w:r>
      <w:r>
        <w:rPr>
          <w:rFonts w:eastAsia="仿宋_GB2312" w:cs="仿宋_GB2312" w:hint="eastAsia"/>
          <w:sz w:val="32"/>
          <w:szCs w:val="32"/>
        </w:rPr>
        <w:t>完成预算141.64%。其中：</w:t>
      </w:r>
      <w:bookmarkEnd w:id="55"/>
      <w:bookmarkEnd w:id="56"/>
      <w:bookmarkEnd w:id="57"/>
    </w:p>
    <w:p>
      <w:pPr>
        <w:numPr>
          <w:ilvl w:val="0"/>
          <w:numId w:val="2"/>
        </w:numPr>
        <w:spacing w:line="560" w:lineRule="exact"/>
        <w:ind w:left="0" w:firstLine="640"/>
        <w:rPr>
          <w:rStyle w:val="25"/>
          <w:rFonts w:ascii="仿宋" w:eastAsia="仿宋"/>
          <w:b w:val="0"/>
          <w:bCs/>
          <w:sz w:val="32"/>
          <w:szCs w:val="32"/>
        </w:rPr>
      </w:pPr>
      <w:r>
        <w:rPr>
          <w:rFonts w:eastAsia="仿宋_GB2312" w:cs="仿宋_GB2312" w:hint="eastAsia"/>
          <w:sz w:val="32"/>
          <w:szCs w:val="32"/>
        </w:rPr>
        <w:t>一般公共服务：支出决算为373.01万元，完成预算162.77%，</w:t>
      </w:r>
      <w:r>
        <w:rPr>
          <w:rStyle w:val="25"/>
          <w:rFonts w:ascii="仿宋" w:eastAsia="仿宋" w:hint="eastAsia"/>
          <w:b w:val="0"/>
          <w:bCs/>
          <w:sz w:val="32"/>
          <w:szCs w:val="32"/>
        </w:rPr>
        <w:t>决算数大于预算数的主要原因是项目资金调整及存量资金。</w:t>
      </w:r>
    </w:p>
    <w:p>
      <w:pPr>
        <w:spacing w:line="560" w:lineRule="exact"/>
        <w:ind w:firstLineChars="200" w:firstLine="640"/>
        <w:rPr>
          <w:rFonts w:eastAsia="仿宋_GB2312" w:cs="仿宋_GB2312"/>
          <w:sz w:val="32"/>
          <w:szCs w:val="32"/>
        </w:rPr>
      </w:pPr>
      <w:r>
        <w:rPr>
          <w:rFonts w:eastAsia="仿宋_GB2312" w:cs="仿宋_GB2312" w:hint="eastAsia"/>
          <w:sz w:val="32"/>
          <w:szCs w:val="32"/>
        </w:rPr>
        <w:t>2.教育: 支出决算为0万元，完成预算0%，</w:t>
      </w:r>
      <w:r>
        <w:rPr>
          <w:rStyle w:val="25"/>
          <w:rFonts w:ascii="仿宋" w:eastAsia="仿宋" w:hint="eastAsia"/>
          <w:b w:val="0"/>
          <w:bCs/>
          <w:sz w:val="32"/>
          <w:szCs w:val="32"/>
        </w:rPr>
        <w:t>决算数等于预算数的主要原因是我单位无教育资金。</w:t>
      </w:r>
    </w:p>
    <w:p>
      <w:pPr>
        <w:spacing w:line="560" w:lineRule="exact"/>
        <w:ind w:firstLine="640"/>
        <w:rPr>
          <w:rStyle w:val="25"/>
          <w:rFonts w:ascii="仿宋" w:eastAsia="仿宋"/>
          <w:b w:val="0"/>
          <w:bCs/>
          <w:sz w:val="32"/>
          <w:szCs w:val="32"/>
        </w:rPr>
      </w:pPr>
      <w:r>
        <w:rPr>
          <w:rFonts w:eastAsia="仿宋_GB2312" w:cs="仿宋_GB2312" w:hint="eastAsia"/>
          <w:sz w:val="32"/>
          <w:szCs w:val="32"/>
        </w:rPr>
        <w:t>3.科学技术：支出决算为0万元，完成预算0%，</w:t>
      </w:r>
      <w:r>
        <w:rPr>
          <w:rStyle w:val="25"/>
          <w:rFonts w:ascii="仿宋" w:eastAsia="仿宋" w:hint="eastAsia"/>
          <w:b w:val="0"/>
          <w:bCs/>
          <w:sz w:val="32"/>
          <w:szCs w:val="32"/>
        </w:rPr>
        <w:t>决算数等于预算数的主要原因是我单位无科学技术资金。</w:t>
      </w:r>
    </w:p>
    <w:p>
      <w:pPr>
        <w:spacing w:line="560" w:lineRule="exact"/>
        <w:ind w:firstLine="640"/>
        <w:rPr>
          <w:rStyle w:val="25"/>
          <w:rFonts w:ascii="仿宋" w:eastAsia="仿宋"/>
          <w:b w:val="0"/>
          <w:bCs/>
          <w:sz w:val="32"/>
          <w:szCs w:val="32"/>
        </w:rPr>
      </w:pPr>
      <w:r>
        <w:rPr>
          <w:rFonts w:eastAsia="仿宋_GB2312" w:cs="仿宋_GB2312" w:hint="eastAsia"/>
          <w:sz w:val="32"/>
          <w:szCs w:val="32"/>
        </w:rPr>
        <w:t>4.文化旅游体育与传媒：支出决算为133.15万元，完成预算122.65%，</w:t>
      </w:r>
      <w:r>
        <w:rPr>
          <w:rStyle w:val="25"/>
          <w:rFonts w:ascii="仿宋" w:eastAsia="仿宋" w:hint="eastAsia"/>
          <w:b w:val="0"/>
          <w:bCs/>
          <w:sz w:val="32"/>
          <w:szCs w:val="32"/>
        </w:rPr>
        <w:t>决算数大于预算数的主要原因是项目资金调整及存量资金。</w:t>
      </w:r>
    </w:p>
    <w:p>
      <w:pPr>
        <w:spacing w:line="560" w:lineRule="exact"/>
        <w:ind w:firstLine="640"/>
        <w:rPr>
          <w:rFonts w:eastAsia="仿宋_GB2312" w:cs="仿宋_GB2312"/>
          <w:sz w:val="32"/>
          <w:szCs w:val="32"/>
        </w:rPr>
      </w:pPr>
      <w:r>
        <w:rPr>
          <w:rFonts w:eastAsia="仿宋_GB2312" w:cs="仿宋_GB2312" w:hint="eastAsia"/>
          <w:sz w:val="32"/>
          <w:szCs w:val="32"/>
        </w:rPr>
        <w:t>5.社会保障和就业：支出决算为30.28万元，完成预算100%，决算数等于预算数的主要原因是</w:t>
      </w:r>
      <w:r>
        <w:rPr>
          <w:rStyle w:val="25"/>
          <w:rFonts w:ascii="仿宋" w:eastAsia="仿宋" w:hint="eastAsia"/>
          <w:b w:val="0"/>
          <w:bCs/>
          <w:sz w:val="32"/>
          <w:szCs w:val="32"/>
        </w:rPr>
        <w:t>人员变动，进行调剂和追加</w:t>
      </w:r>
      <w:r>
        <w:rPr>
          <w:rFonts w:eastAsia="仿宋_GB2312" w:cs="仿宋_GB2312" w:hint="eastAsia"/>
          <w:sz w:val="32"/>
          <w:szCs w:val="32"/>
        </w:rPr>
        <w:t>。</w:t>
      </w:r>
    </w:p>
    <w:p>
      <w:pPr>
        <w:spacing w:line="560" w:lineRule="exact"/>
        <w:ind w:firstLine="640"/>
        <w:rPr>
          <w:rFonts w:eastAsia="仿宋_GB2312" w:cs="仿宋_GB2312"/>
          <w:sz w:val="32"/>
          <w:szCs w:val="32"/>
        </w:rPr>
      </w:pPr>
      <w:r>
        <w:rPr>
          <w:rFonts w:eastAsia="仿宋_GB2312" w:cs="仿宋_GB2312" w:hint="eastAsia"/>
          <w:sz w:val="32"/>
          <w:szCs w:val="32"/>
        </w:rPr>
        <w:t>6.卫生健康：支出决算为13.03万元，完成预算100%，决算数等于预算数的主要原因是</w:t>
      </w:r>
      <w:r>
        <w:rPr>
          <w:rStyle w:val="25"/>
          <w:rFonts w:ascii="仿宋" w:eastAsia="仿宋" w:hint="eastAsia"/>
          <w:b w:val="0"/>
          <w:bCs/>
          <w:sz w:val="32"/>
          <w:szCs w:val="32"/>
        </w:rPr>
        <w:t>人员变动，进行调剂和追加</w:t>
      </w:r>
      <w:r>
        <w:rPr>
          <w:rFonts w:eastAsia="仿宋_GB2312" w:cs="仿宋_GB2312" w:hint="eastAsia"/>
          <w:sz w:val="32"/>
          <w:szCs w:val="32"/>
        </w:rPr>
        <w:t>。</w:t>
      </w:r>
    </w:p>
    <w:p>
      <w:pPr>
        <w:spacing w:line="600" w:lineRule="exact"/>
        <w:ind w:firstLineChars="200" w:firstLine="640"/>
        <w:rPr>
          <w:rFonts w:eastAsia="仿宋_GB2312" w:cs="仿宋_GB2312"/>
          <w:sz w:val="32"/>
          <w:szCs w:val="32"/>
        </w:rPr>
      </w:pPr>
      <w:r>
        <w:rPr>
          <w:rStyle w:val="25"/>
          <w:rFonts w:ascii="仿宋" w:eastAsia="仿宋" w:hint="eastAsia"/>
          <w:bCs/>
          <w:color w:val="000000"/>
          <w:sz w:val="32"/>
          <w:szCs w:val="32"/>
        </w:rPr>
        <w:t>7.住房保障：</w:t>
      </w:r>
      <w:r>
        <w:rPr>
          <w:rStyle w:val="25"/>
          <w:rFonts w:ascii="仿宋" w:eastAsia="仿宋" w:hint="eastAsia"/>
          <w:b w:val="0"/>
          <w:bCs/>
          <w:color w:val="000000"/>
          <w:sz w:val="32"/>
          <w:szCs w:val="32"/>
        </w:rPr>
        <w:t>支出决算为17.38万元，完成预算100%，决算数等于预算数的主要原因是</w:t>
      </w:r>
      <w:r>
        <w:rPr>
          <w:rStyle w:val="25"/>
          <w:rFonts w:ascii="仿宋" w:eastAsia="仿宋" w:hint="eastAsia"/>
          <w:b w:val="0"/>
          <w:bCs/>
          <w:sz w:val="32"/>
          <w:szCs w:val="32"/>
        </w:rPr>
        <w:t>人员变动，进行调剂和追加。</w:t>
      </w:r>
    </w:p>
    <w:p>
      <w:pPr>
        <w:tabs>
          <w:tab w:val="right" w:pos="8306"/>
        </w:tabs>
        <w:spacing w:line="560" w:lineRule="exact"/>
        <w:ind w:firstLine="640"/>
        <w:outlineLvl w:val="1"/>
        <w:rPr>
          <w:rStyle w:val="2Char"/>
          <w:rFonts w:ascii="Times New Roman" w:hAnsi="Times New Roman"/>
        </w:rPr>
      </w:pPr>
      <w:bookmarkStart w:id="58" w:name="_Toc15396608"/>
      <w:bookmarkStart w:id="59" w:name="_Toc15377214"/>
      <w:bookmarkStart w:id="60" w:name="_Toc1471273315"/>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58"/>
      <w:bookmarkEnd w:id="59"/>
      <w:bookmarkEnd w:id="60"/>
      <w:r>
        <w:rPr>
          <w:rStyle w:val="2Char"/>
          <w:rFonts w:ascii="Times New Roman" w:eastAsia="黑体" w:hAnsi="Times New Roman"/>
          <w:b w:val="0"/>
        </w:rPr>
        <w:tab/>
      </w:r>
    </w:p>
    <w:p>
      <w:pPr>
        <w:spacing w:line="560" w:lineRule="exact"/>
        <w:ind w:firstLine="640"/>
        <w:rPr>
          <w:rFonts w:eastAsia="仿宋_GB2312" w:cs="仿宋_GB2312"/>
          <w:sz w:val="32"/>
          <w:szCs w:val="32"/>
        </w:rPr>
      </w:pPr>
      <w:r>
        <w:rPr>
          <w:rFonts w:eastAsia="仿宋_GB2312" w:cs="仿宋_GB2312" w:hint="eastAsia"/>
          <w:sz w:val="32"/>
          <w:szCs w:val="32"/>
        </w:rPr>
        <w:t>2025年度一般公共预算财政拨款基本支出</w:t>
      </w:r>
      <w:r>
        <w:rPr>
          <w:rFonts w:ascii="仿宋_GB2312" w:eastAsia="仿宋_GB2312" w:cs="仿宋_GB2312" w:hint="eastAsia"/>
          <w:sz w:val="32"/>
          <w:szCs w:val="32"/>
        </w:rPr>
        <w:t>286.14万</w:t>
      </w:r>
      <w:r>
        <w:rPr>
          <w:rFonts w:eastAsia="仿宋_GB2312" w:cs="仿宋_GB2312" w:hint="eastAsia"/>
          <w:sz w:val="32"/>
          <w:szCs w:val="32"/>
        </w:rPr>
        <w:t>元，其中：</w:t>
      </w:r>
    </w:p>
    <w:p>
      <w:pPr>
        <w:spacing w:line="56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cs="仿宋_GB2312" w:hint="eastAsia"/>
          <w:sz w:val="32"/>
          <w:szCs w:val="32"/>
        </w:rPr>
        <w:t>221.73万</w:t>
      </w:r>
      <w:r>
        <w:rPr>
          <w:rFonts w:eastAsia="仿宋_GB2312" w:cs="仿宋_GB2312" w:hint="eastAsia"/>
          <w:sz w:val="32"/>
          <w:szCs w:val="32"/>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hint="eastAsia"/>
          <w:sz w:val="32"/>
          <w:szCs w:val="32"/>
        </w:rPr>
        <w:t>41.54万</w:t>
      </w:r>
      <w:r>
        <w:rPr>
          <w:rFonts w:eastAsia="仿宋_GB2312" w:cs="仿宋_GB2312" w:hint="eastAsia"/>
          <w:sz w:val="32"/>
          <w:szCs w:val="32"/>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560" w:lineRule="exact"/>
        <w:ind w:firstLine="640"/>
        <w:outlineLvl w:val="1"/>
        <w:rPr>
          <w:rStyle w:val="2Char"/>
          <w:rFonts w:ascii="Times New Roman" w:eastAsia="黑体" w:hAnsi="Times New Roman"/>
          <w:b w:val="0"/>
        </w:rPr>
      </w:pPr>
      <w:bookmarkStart w:id="61" w:name="_Toc15377215"/>
      <w:bookmarkStart w:id="62" w:name="_Toc15396609"/>
      <w:bookmarkStart w:id="63" w:name="_Toc1091833097"/>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61"/>
      <w:bookmarkEnd w:id="62"/>
      <w:bookmarkEnd w:id="63"/>
    </w:p>
    <w:p>
      <w:pPr>
        <w:spacing w:line="560" w:lineRule="exact"/>
        <w:ind w:firstLineChars="200" w:firstLine="640"/>
        <w:outlineLvl w:val="2"/>
        <w:rPr>
          <w:rFonts w:eastAsia="楷体_GB2312" w:cs="楷体_GB2312"/>
          <w:b/>
          <w:sz w:val="32"/>
          <w:szCs w:val="32"/>
        </w:rPr>
      </w:pPr>
      <w:bookmarkStart w:id="64" w:name="_Toc15377216"/>
      <w:r>
        <w:rPr>
          <w:rFonts w:eastAsia="楷体_GB2312" w:cs="楷体_GB2312" w:hint="eastAsia"/>
          <w:b/>
          <w:sz w:val="32"/>
          <w:szCs w:val="32"/>
        </w:rPr>
        <w:t>（一）“三公”经费财政拨款支出决算总体情况说明</w:t>
      </w:r>
      <w:bookmarkEnd w:id="64"/>
    </w:p>
    <w:p>
      <w:pPr>
        <w:spacing w:line="560" w:lineRule="exact"/>
        <w:ind w:firstLine="640"/>
        <w:rPr>
          <w:rFonts w:eastAsia="仿宋_GB2312" w:cs="仿宋_GB2312"/>
          <w:sz w:val="32"/>
          <w:szCs w:val="32"/>
        </w:rPr>
      </w:pPr>
      <w:r>
        <w:rPr>
          <w:rFonts w:eastAsia="仿宋_GB2312" w:cs="仿宋_GB2312" w:hint="eastAsia"/>
          <w:sz w:val="32"/>
          <w:szCs w:val="32"/>
        </w:rPr>
        <w:t>2025年度“三公”经费财政拨款支出决算为</w:t>
      </w:r>
      <w:r>
        <w:rPr>
          <w:rFonts w:ascii="仿宋_GB2312" w:eastAsia="仿宋_GB2312" w:cs="仿宋_GB2312" w:hint="eastAsia"/>
          <w:sz w:val="32"/>
          <w:szCs w:val="32"/>
        </w:rPr>
        <w:t>59.78万元，完成预算100%，</w:t>
      </w:r>
      <w:r>
        <w:rPr>
          <w:rFonts w:eastAsia="仿宋_GB2312" w:cs="仿宋_GB2312" w:hint="eastAsia"/>
          <w:sz w:val="32"/>
          <w:szCs w:val="32"/>
        </w:rPr>
        <w:t>较上年度增加39.64万元，增长196.82%。决算数与预算数持平的主要原因是</w:t>
      </w:r>
      <w:r>
        <w:rPr>
          <w:rFonts w:ascii="仿宋" w:eastAsia="仿宋" w:hint="eastAsia"/>
          <w:sz w:val="32"/>
          <w:szCs w:val="32"/>
        </w:rPr>
        <w:t>购买公务用车。</w:t>
      </w:r>
    </w:p>
    <w:p>
      <w:pPr>
        <w:spacing w:line="560" w:lineRule="exact"/>
        <w:ind w:firstLineChars="200" w:firstLine="640"/>
        <w:outlineLvl w:val="2"/>
        <w:rPr>
          <w:rFonts w:eastAsia="楷体_GB2312" w:cs="楷体_GB2312"/>
          <w:b/>
          <w:sz w:val="32"/>
          <w:szCs w:val="32"/>
        </w:rPr>
      </w:pPr>
      <w:bookmarkStart w:id="65" w:name="_Toc15377217"/>
      <w:r>
        <w:rPr>
          <w:rFonts w:eastAsia="楷体_GB2312" w:cs="楷体_GB2312" w:hint="eastAsia"/>
          <w:b/>
          <w:sz w:val="32"/>
          <w:szCs w:val="32"/>
        </w:rPr>
        <w:t>（二）“三公”经费财政拨款支出决算具体情况说明</w:t>
      </w:r>
      <w:bookmarkEnd w:id="65"/>
    </w:p>
    <w:p>
      <w:pPr>
        <w:spacing w:line="560" w:lineRule="exact"/>
        <w:ind w:firstLine="640"/>
        <w:rPr>
          <w:rFonts w:ascii="仿宋_GB2312" w:eastAsia="仿宋_GB2312" w:cs="仿宋_GB2312"/>
          <w:sz w:val="32"/>
          <w:szCs w:val="32"/>
        </w:rPr>
      </w:pPr>
      <w:r>
        <w:rPr>
          <w:rFonts w:ascii="仿宋_GB2312" w:eastAsia="仿宋_GB2312" w:cs="仿宋_GB2312" w:hint="eastAsia"/>
          <w:sz w:val="32"/>
          <w:szCs w:val="32"/>
        </w:rPr>
        <w:t>2025年度“三公”经费财政拨款支出决算中，因公出国（境）费支出决算0万元，占0%；公务用车购置及运行维护费支出决算20万元，占33.46%；公务用车购置费39.6万元，占66.24%公务接待费支出决算0.18万元，占0.3%。</w:t>
      </w:r>
    </w:p>
    <w:p>
      <w:pPr>
        <w:pStyle w:val="17"/>
        <w:ind w:leftChars="0" w:left="0" w:firstLineChars="0" w:firstLine="0"/>
        <w:rPr>
          <w:rFonts w:eastAsia="仿宋_GB2312" w:cs="仿宋_GB2312"/>
          <w:sz w:val="32"/>
        </w:rPr>
      </w:pPr>
      <w:r>
        <w:rPr>
          <w:rFonts w:eastAsia="仿宋_GB2312" w:cs="仿宋_GB2312" w:hint="eastAsia"/>
          <w:sz w:val="32"/>
          <w:lang w:bidi="bo-CN"/>
        </w:rPr>
        <w:drawing>
          <wp:inline distT="0" distB="0" distL="114300" distR="114300">
            <wp:extent cx="5079998" cy="1934845"/>
            <wp:effectExtent l="0" t="0" r="0" b="0"/>
            <wp:docPr id="25" name="图表 7"/>
            <wp:cNvGraphicFramePr>
              <a:graphicFrameLocks noChangeAspect="0"/>
            </wp:cNvGraphicFramePr>
            <a:graphic>
              <a:graphicData uri="http://schemas.openxmlformats.org/drawingml/2006/picture">
                <pic:pic>
                  <pic:nvPicPr>
                    <pic:cNvPr id="27" name="图表 7 27"/>
                    <pic:cNvPicPr/>
                  </pic:nvPicPr>
                  <pic:blipFill>
                    <a:blip r:embed="rId12"/>
                    <a:stretch>
                      <a:fillRect/>
                    </a:stretch>
                  </pic:blipFill>
                  <pic:spPr>
                    <a:xfrm rot="0">
                      <a:off x="0" y="0"/>
                      <a:ext cx="5079998" cy="1934845"/>
                    </a:xfrm>
                    <a:prstGeom prst="rect"/>
                    <a:ln w="9525" cmpd="sng" cap="flat">
                      <a:solidFill>
                        <a:srgbClr val="000000"/>
                      </a:solidFill>
                      <a:prstDash val="solid"/>
                      <a:miter/>
                    </a:ln>
                  </pic:spPr>
                </pic:pic>
              </a:graphicData>
            </a:graphic>
          </wp:inline>
        </w:drawing>
      </w:r>
    </w:p>
    <w:p>
      <w:pPr>
        <w:spacing w:line="560" w:lineRule="exact"/>
        <w:ind w:firstLine="640"/>
        <w:rPr>
          <w:rFonts w:eastAsia="仿宋_GB2312" w:cs="仿宋_GB2312"/>
          <w:sz w:val="32"/>
          <w:szCs w:val="32"/>
        </w:rPr>
      </w:pPr>
      <w:r>
        <w:rPr>
          <w:rFonts w:eastAsia="仿宋_GB2312" w:cs="仿宋_GB2312" w:hint="eastAsia"/>
          <w:sz w:val="32"/>
          <w:szCs w:val="32"/>
        </w:rPr>
        <w:t>（图7：“三公”经费财政拨款支出结构）（饼状图）</w:t>
      </w:r>
    </w:p>
    <w:p>
      <w:pPr>
        <w:spacing w:line="560" w:lineRule="exact"/>
        <w:ind w:firstLine="640"/>
        <w:rPr>
          <w:rFonts w:eastAsia="仿宋_GB2312" w:cs="仿宋_GB2312"/>
          <w:sz w:val="32"/>
          <w:szCs w:val="32"/>
        </w:rPr>
      </w:pPr>
      <w:r>
        <w:rPr>
          <w:rFonts w:eastAsia="仿宋_GB2312" w:cs="仿宋_GB2312" w:hint="eastAsia"/>
          <w:b/>
          <w:bCs/>
          <w:sz w:val="32"/>
          <w:szCs w:val="32"/>
        </w:rPr>
        <w:t>1.因公出国（境）经费支出0万元，完成预算100%。</w:t>
      </w:r>
      <w:r>
        <w:rPr>
          <w:rFonts w:eastAsia="仿宋_GB2312" w:cs="仿宋_GB2312" w:hint="eastAsia"/>
          <w:sz w:val="32"/>
          <w:szCs w:val="32"/>
        </w:rPr>
        <w:t>全年安排因公出国（境）团</w:t>
      </w:r>
      <w:r>
        <w:rPr>
          <w:rFonts w:ascii="仿宋_GB2312" w:eastAsia="仿宋_GB2312" w:cs="仿宋_GB2312" w:hint="eastAsia"/>
          <w:sz w:val="32"/>
          <w:szCs w:val="32"/>
        </w:rPr>
        <w:t>组0</w:t>
      </w:r>
      <w:r>
        <w:rPr>
          <w:rFonts w:eastAsia="仿宋_GB2312" w:cs="仿宋_GB2312" w:hint="eastAsia"/>
          <w:sz w:val="32"/>
          <w:szCs w:val="32"/>
        </w:rPr>
        <w:t>次，出国（境）</w:t>
      </w:r>
      <w:r>
        <w:rPr>
          <w:rFonts w:ascii="仿宋_GB2312" w:eastAsia="仿宋_GB2312" w:cs="仿宋_GB2312" w:hint="eastAsia"/>
          <w:sz w:val="32"/>
          <w:szCs w:val="32"/>
        </w:rPr>
        <w:t>0人</w:t>
      </w:r>
      <w:r>
        <w:rPr>
          <w:rFonts w:eastAsia="仿宋_GB2312" w:cs="仿宋_GB2312" w:hint="eastAsia"/>
          <w:sz w:val="32"/>
          <w:szCs w:val="32"/>
        </w:rPr>
        <w:t>。因公出国（境）支出决算比2024年不变。主要原因是无因公出国人员。</w:t>
      </w:r>
    </w:p>
    <w:p>
      <w:pPr>
        <w:spacing w:line="560" w:lineRule="exact"/>
        <w:ind w:firstLine="640"/>
        <w:rPr>
          <w:rFonts w:eastAsia="仿宋_GB2312" w:cs="仿宋_GB2312"/>
          <w:sz w:val="32"/>
          <w:szCs w:val="32"/>
        </w:rPr>
      </w:pPr>
      <w:r>
        <w:rPr>
          <w:rFonts w:eastAsia="仿宋_GB2312" w:cs="仿宋_GB2312" w:hint="eastAsia"/>
          <w:b/>
          <w:bCs/>
          <w:sz w:val="32"/>
          <w:szCs w:val="32"/>
        </w:rPr>
        <w:t>2.公务用车购置及运行维护费支出</w:t>
      </w:r>
      <w:r>
        <w:rPr>
          <w:rFonts w:ascii="仿宋_GB2312" w:eastAsia="仿宋_GB2312" w:cs="仿宋_GB2312" w:hint="eastAsia"/>
          <w:b/>
          <w:bCs/>
          <w:sz w:val="32"/>
          <w:szCs w:val="32"/>
        </w:rPr>
        <w:t>59.6万</w:t>
      </w:r>
      <w:r>
        <w:rPr>
          <w:rFonts w:eastAsia="仿宋_GB2312" w:cs="仿宋_GB2312" w:hint="eastAsia"/>
          <w:b/>
          <w:bCs/>
          <w:sz w:val="32"/>
          <w:szCs w:val="32"/>
        </w:rPr>
        <w:t>元，完成预算100%。</w:t>
      </w:r>
      <w:r>
        <w:rPr>
          <w:rFonts w:eastAsia="仿宋_GB2312" w:cs="仿宋_GB2312" w:hint="eastAsia"/>
          <w:sz w:val="32"/>
          <w:szCs w:val="32"/>
        </w:rPr>
        <w:t>公务用车购置及运行维护费支出决算比2024年度持平。主要原因是今年购置公务车1台。</w:t>
      </w:r>
    </w:p>
    <w:p>
      <w:pPr>
        <w:spacing w:line="56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cs="仿宋_GB2312" w:hint="eastAsia"/>
          <w:sz w:val="32"/>
          <w:szCs w:val="32"/>
        </w:rPr>
        <w:t>出0</w:t>
      </w:r>
      <w:r>
        <w:rPr>
          <w:rFonts w:eastAsia="仿宋_GB2312" w:cs="仿宋_GB2312" w:hint="eastAsia"/>
          <w:sz w:val="32"/>
          <w:szCs w:val="32"/>
        </w:rPr>
        <w:t>万元。全年按规定更新购置公务用车1辆，其中：轿车0辆、金额0万元，越野车1辆、金额39.6万元，载客汽车0辆、金额0万元，截至2025年12月31日，单位共有公务用车2辆，其中：轿车0辆、越野车2辆、载客汽车0辆。</w:t>
      </w:r>
    </w:p>
    <w:p>
      <w:pPr>
        <w:spacing w:line="56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cs="仿宋_GB2312" w:hint="eastAsia"/>
          <w:sz w:val="32"/>
          <w:szCs w:val="32"/>
        </w:rPr>
        <w:t>出20</w:t>
      </w:r>
      <w:r>
        <w:rPr>
          <w:rFonts w:eastAsia="仿宋_GB2312" w:cs="仿宋_GB2312" w:hint="eastAsia"/>
          <w:sz w:val="32"/>
          <w:szCs w:val="32"/>
        </w:rPr>
        <w:t>万元。主要用于所需的公务用车燃料费、维修费、过路过桥费、保险费、公务车购置等支出。</w:t>
      </w:r>
    </w:p>
    <w:p>
      <w:pPr>
        <w:numPr>
          <w:ilvl w:val="0"/>
          <w:numId w:val="2"/>
        </w:numPr>
        <w:spacing w:line="560" w:lineRule="exact"/>
        <w:ind w:left="0" w:firstLine="640"/>
        <w:rPr>
          <w:rFonts w:eastAsia="仿宋_GB2312" w:cs="仿宋_GB2312"/>
          <w:sz w:val="32"/>
          <w:szCs w:val="32"/>
        </w:rPr>
      </w:pPr>
      <w:r>
        <w:rPr>
          <w:rFonts w:eastAsia="仿宋_GB2312" w:cs="仿宋_GB2312" w:hint="eastAsia"/>
          <w:b/>
          <w:bCs/>
          <w:sz w:val="32"/>
          <w:szCs w:val="32"/>
        </w:rPr>
        <w:t>公务接待费支出</w:t>
      </w:r>
      <w:r>
        <w:rPr>
          <w:rFonts w:ascii="仿宋_GB2312" w:eastAsia="仿宋_GB2312" w:cs="仿宋_GB2312" w:hint="eastAsia"/>
          <w:b/>
          <w:bCs/>
          <w:sz w:val="32"/>
          <w:szCs w:val="32"/>
        </w:rPr>
        <w:t>0.18万</w:t>
      </w:r>
      <w:r>
        <w:rPr>
          <w:rFonts w:eastAsia="仿宋_GB2312" w:cs="仿宋_GB2312" w:hint="eastAsia"/>
          <w:b/>
          <w:bCs/>
          <w:sz w:val="32"/>
          <w:szCs w:val="32"/>
        </w:rPr>
        <w:t>元，完成预算100%。</w:t>
      </w:r>
      <w:r>
        <w:rPr>
          <w:rFonts w:eastAsia="仿宋_GB2312" w:cs="仿宋_GB2312" w:hint="eastAsia"/>
          <w:sz w:val="32"/>
          <w:szCs w:val="32"/>
        </w:rPr>
        <w:t>公务接待费支出决算比2024年度增长0.04万元，增长28.57%。主要原因是</w:t>
      </w:r>
      <w:r>
        <w:rPr>
          <w:rFonts w:ascii="仿宋_GB2312" w:eastAsia="仿宋_GB2312" w:hint="eastAsia"/>
          <w:sz w:val="32"/>
          <w:szCs w:val="32"/>
        </w:rPr>
        <w:t>今年上级媒体来访次数增加</w:t>
      </w:r>
      <w:r>
        <w:rPr>
          <w:rFonts w:eastAsia="仿宋_GB2312" w:cs="仿宋_GB2312" w:hint="eastAsia"/>
          <w:sz w:val="32"/>
          <w:szCs w:val="32"/>
        </w:rPr>
        <w:t>。其中：国内公务接待支</w:t>
      </w:r>
      <w:r>
        <w:rPr>
          <w:rFonts w:ascii="仿宋_GB2312" w:eastAsia="仿宋_GB2312" w:cs="仿宋_GB2312" w:hint="eastAsia"/>
          <w:sz w:val="32"/>
          <w:szCs w:val="32"/>
        </w:rPr>
        <w:t>出0.18万</w:t>
      </w:r>
      <w:r>
        <w:rPr>
          <w:rFonts w:eastAsia="仿宋_GB2312" w:cs="仿宋_GB2312" w:hint="eastAsia"/>
          <w:sz w:val="32"/>
          <w:szCs w:val="32"/>
        </w:rPr>
        <w:t>元，主要用于执行公务、开展业务活动开支的交通费、住宿费、用餐费等。国内公务接</w:t>
      </w:r>
      <w:r>
        <w:rPr>
          <w:rFonts w:ascii="仿宋_GB2312" w:eastAsia="仿宋_GB2312" w:cs="仿宋_GB2312" w:hint="eastAsia"/>
          <w:sz w:val="32"/>
          <w:szCs w:val="32"/>
        </w:rPr>
        <w:t>待3批次，15</w:t>
      </w:r>
      <w:r>
        <w:rPr>
          <w:rFonts w:eastAsia="仿宋_GB2312" w:cs="仿宋_GB2312" w:hint="eastAsia"/>
          <w:sz w:val="32"/>
          <w:szCs w:val="32"/>
        </w:rPr>
        <w:t>人次（不包括陪同人员），共计支出0.18万元。</w:t>
      </w:r>
    </w:p>
    <w:p>
      <w:pPr>
        <w:spacing w:line="56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cs="仿宋_GB2312" w:hint="eastAsia"/>
          <w:sz w:val="32"/>
          <w:szCs w:val="32"/>
        </w:rPr>
        <w:t>出0万元，外事接待0批次，0人次（不包括陪同人员），共计支出0万</w:t>
      </w:r>
      <w:r>
        <w:rPr>
          <w:rFonts w:eastAsia="仿宋_GB2312" w:cs="仿宋_GB2312" w:hint="eastAsia"/>
          <w:sz w:val="32"/>
          <w:szCs w:val="32"/>
        </w:rPr>
        <w:t>元。</w:t>
      </w:r>
      <w:bookmarkStart w:id="66" w:name="_Toc15396610"/>
      <w:bookmarkStart w:id="67" w:name="_Toc15377218"/>
    </w:p>
    <w:p>
      <w:pPr>
        <w:spacing w:line="560" w:lineRule="exact"/>
        <w:ind w:firstLine="640"/>
        <w:outlineLvl w:val="1"/>
        <w:rPr>
          <w:rStyle w:val="2Char"/>
          <w:rFonts w:ascii="Times New Roman" w:eastAsia="黑体" w:hAnsi="Times New Roman"/>
        </w:rPr>
      </w:pPr>
      <w:bookmarkStart w:id="68" w:name="_Toc1136809803"/>
      <w:r>
        <w:rPr>
          <w:rFonts w:eastAsia="黑体" w:hint="eastAsia"/>
          <w:sz w:val="32"/>
          <w:szCs w:val="32"/>
        </w:rPr>
        <w:t>八、</w:t>
      </w:r>
      <w:r>
        <w:rPr>
          <w:rStyle w:val="2Char"/>
          <w:rFonts w:ascii="Times New Roman" w:eastAsia="黑体" w:hAnsi="Times New Roman" w:hint="eastAsia"/>
          <w:b w:val="0"/>
        </w:rPr>
        <w:t>政府性基金预算支出决算情况说明</w:t>
      </w:r>
      <w:bookmarkEnd w:id="66"/>
      <w:bookmarkEnd w:id="67"/>
      <w:bookmarkEnd w:id="68"/>
    </w:p>
    <w:p>
      <w:pPr>
        <w:spacing w:line="560" w:lineRule="exact"/>
        <w:ind w:firstLine="640"/>
        <w:rPr>
          <w:rFonts w:eastAsia="仿宋_GB2312" w:cs="仿宋_GB2312"/>
          <w:sz w:val="32"/>
          <w:szCs w:val="32"/>
        </w:rPr>
      </w:pPr>
      <w:r>
        <w:rPr>
          <w:rFonts w:ascii="仿宋_GB2312" w:eastAsia="仿宋_GB2312" w:cs="仿宋_GB2312" w:hint="eastAsia"/>
          <w:sz w:val="32"/>
          <w:szCs w:val="32"/>
        </w:rPr>
        <w:t>2025年度政府性基金预算财政拨款支出0万元，占本年支出合计的0%</w:t>
      </w:r>
      <w:r>
        <w:rPr>
          <w:rFonts w:eastAsia="仿宋_GB2312" w:cs="仿宋_GB2312" w:hint="eastAsia"/>
          <w:sz w:val="32"/>
          <w:szCs w:val="32"/>
        </w:rPr>
        <w:t>。与2025年度相比，政府性</w:t>
      </w:r>
      <w:bookmarkStart w:id="69" w:name="_GoBack"/>
      <w:bookmarkEnd w:id="69"/>
      <w:r>
        <w:rPr>
          <w:rFonts w:eastAsia="仿宋_GB2312" w:cs="仿宋_GB2312" w:hint="eastAsia"/>
          <w:sz w:val="32"/>
          <w:szCs w:val="32"/>
        </w:rPr>
        <w:t>基金预算财政拨款支出持平。</w:t>
      </w:r>
    </w:p>
    <w:p>
      <w:pPr>
        <w:spacing w:line="560" w:lineRule="exact"/>
        <w:ind w:left="630"/>
        <w:outlineLvl w:val="1"/>
        <w:rPr>
          <w:rStyle w:val="2Char"/>
          <w:rFonts w:ascii="Times New Roman" w:eastAsia="黑体" w:hAnsi="Times New Roman"/>
          <w:b w:val="0"/>
        </w:rPr>
      </w:pPr>
      <w:bookmarkStart w:id="70" w:name="_Toc15396611"/>
      <w:bookmarkStart w:id="71" w:name="_Toc15377219"/>
      <w:bookmarkStart w:id="72" w:name="_Toc962274708"/>
      <w:r>
        <w:rPr>
          <w:rStyle w:val="2Char"/>
          <w:rFonts w:ascii="Times New Roman" w:eastAsia="黑体" w:hAnsi="Times New Roman" w:hint="eastAsia"/>
          <w:b w:val="0"/>
        </w:rPr>
        <w:t>九、国有资本经营预算支出决算情况说明</w:t>
      </w:r>
      <w:bookmarkEnd w:id="70"/>
      <w:bookmarkEnd w:id="71"/>
      <w:bookmarkEnd w:id="72"/>
    </w:p>
    <w:p>
      <w:pPr>
        <w:spacing w:line="560" w:lineRule="exact"/>
        <w:ind w:firstLine="640"/>
        <w:rPr>
          <w:rFonts w:eastAsia="仿宋_GB2312" w:cs="仿宋_GB2312"/>
          <w:sz w:val="32"/>
          <w:szCs w:val="32"/>
        </w:rPr>
      </w:pPr>
      <w:r>
        <w:rPr>
          <w:rFonts w:eastAsia="仿宋_GB2312" w:cs="仿宋_GB2312" w:hint="eastAsia"/>
          <w:sz w:val="32"/>
          <w:szCs w:val="32"/>
        </w:rPr>
        <w:t>2025年度国有资本经营预算财政拨款支出</w:t>
      </w:r>
      <w:r>
        <w:rPr>
          <w:rFonts w:ascii="仿宋_GB2312" w:eastAsia="仿宋_GB2312" w:cs="仿宋_GB2312" w:hint="eastAsia"/>
          <w:sz w:val="32"/>
          <w:szCs w:val="32"/>
        </w:rPr>
        <w:t>0万元，占本年支出合计的0%</w:t>
      </w:r>
      <w:r>
        <w:rPr>
          <w:rFonts w:eastAsia="仿宋_GB2312" w:cs="仿宋_GB2312" w:hint="eastAsia"/>
          <w:sz w:val="32"/>
          <w:szCs w:val="32"/>
        </w:rPr>
        <w:t>。与2024年度相比，国有资本经营预算财政拨款支出持平。</w:t>
      </w:r>
    </w:p>
    <w:p>
      <w:pPr>
        <w:spacing w:line="560" w:lineRule="exact"/>
        <w:ind w:left="630"/>
        <w:outlineLvl w:val="1"/>
        <w:rPr>
          <w:rStyle w:val="2Char"/>
          <w:rFonts w:ascii="Times New Roman" w:eastAsia="黑体" w:hAnsi="Times New Roman"/>
          <w:b w:val="0"/>
        </w:rPr>
      </w:pPr>
      <w:bookmarkStart w:id="73" w:name="_Toc15377221"/>
      <w:bookmarkStart w:id="74" w:name="_Toc15396612"/>
      <w:bookmarkStart w:id="75" w:name="_Toc477910338"/>
      <w:r>
        <w:rPr>
          <w:rStyle w:val="2Char"/>
          <w:rFonts w:ascii="Times New Roman" w:eastAsia="黑体" w:hAnsi="Times New Roman" w:hint="eastAsia"/>
          <w:b w:val="0"/>
        </w:rPr>
        <w:t>十、其他重要事项的情况说明</w:t>
      </w:r>
      <w:bookmarkEnd w:id="73"/>
      <w:bookmarkEnd w:id="74"/>
      <w:bookmarkEnd w:id="75"/>
    </w:p>
    <w:p>
      <w:pPr>
        <w:spacing w:line="560" w:lineRule="exact"/>
        <w:ind w:firstLineChars="200" w:firstLine="640"/>
        <w:outlineLvl w:val="2"/>
        <w:rPr>
          <w:rFonts w:eastAsia="楷体_GB2312" w:cs="楷体_GB2312"/>
          <w:b/>
          <w:sz w:val="32"/>
          <w:szCs w:val="32"/>
        </w:rPr>
      </w:pPr>
      <w:bookmarkStart w:id="76" w:name="_Toc15377222"/>
      <w:r>
        <w:rPr>
          <w:rFonts w:eastAsia="楷体_GB2312" w:cs="楷体_GB2312" w:hint="eastAsia"/>
          <w:b/>
          <w:sz w:val="32"/>
          <w:szCs w:val="32"/>
        </w:rPr>
        <w:t>（一）机关运行经费支出情况</w:t>
      </w:r>
      <w:bookmarkEnd w:id="76"/>
    </w:p>
    <w:p>
      <w:pPr>
        <w:spacing w:line="560" w:lineRule="exact"/>
        <w:ind w:firstLine="640"/>
        <w:rPr>
          <w:rFonts w:eastAsia="仿宋_GB2312" w:cs="仿宋_GB2312"/>
          <w:sz w:val="32"/>
          <w:szCs w:val="32"/>
        </w:rPr>
      </w:pPr>
      <w:r>
        <w:rPr>
          <w:rFonts w:eastAsia="仿宋_GB2312" w:cs="仿宋_GB2312" w:hint="eastAsia"/>
          <w:sz w:val="32"/>
          <w:szCs w:val="32"/>
        </w:rPr>
        <w:t>2025年度</w:t>
      </w:r>
      <w:r>
        <w:rPr>
          <w:rFonts w:ascii="仿宋_GB2312" w:eastAsia="仿宋_GB2312" w:cs="仿宋_GB2312" w:hint="eastAsia"/>
          <w:sz w:val="32"/>
          <w:szCs w:val="32"/>
        </w:rPr>
        <w:t>，中共阿坝州若尔盖县委宣传部（本级）机关运行经费支出41.54万</w:t>
      </w:r>
      <w:r>
        <w:rPr>
          <w:rFonts w:eastAsia="仿宋_GB2312" w:cs="仿宋_GB2312" w:hint="eastAsia"/>
          <w:sz w:val="32"/>
          <w:szCs w:val="32"/>
        </w:rPr>
        <w:t>元，比2024年度增加5.47万元，上升15.16%。主要原因是</w:t>
      </w:r>
      <w:r>
        <w:rPr>
          <w:rFonts w:ascii="仿宋_GB2312" w:eastAsia="仿宋_GB2312" w:hint="eastAsia"/>
          <w:sz w:val="32"/>
          <w:szCs w:val="32"/>
        </w:rPr>
        <w:t>人员增加，机关运行增加。</w:t>
      </w:r>
      <w:bookmarkStart w:id="77" w:name="_Toc15377223"/>
    </w:p>
    <w:p>
      <w:pPr>
        <w:spacing w:line="560" w:lineRule="exact"/>
        <w:ind w:firstLine="640"/>
        <w:rPr>
          <w:rFonts w:eastAsia="楷体_GB2312" w:cs="楷体_GB2312"/>
          <w:b/>
          <w:sz w:val="32"/>
          <w:szCs w:val="32"/>
        </w:rPr>
      </w:pPr>
      <w:r>
        <w:rPr>
          <w:rFonts w:eastAsia="楷体_GB2312" w:cs="楷体_GB2312" w:hint="eastAsia"/>
          <w:b/>
          <w:sz w:val="32"/>
          <w:szCs w:val="32"/>
        </w:rPr>
        <w:t>（二）政府采购支出情况</w:t>
      </w:r>
      <w:bookmarkEnd w:id="77"/>
    </w:p>
    <w:p>
      <w:pPr>
        <w:spacing w:line="560" w:lineRule="exact"/>
        <w:ind w:firstLine="640"/>
        <w:rPr>
          <w:rFonts w:ascii="仿宋_GB2312" w:eastAsia="仿宋_GB2312" w:cs="仿宋_GB2312"/>
          <w:sz w:val="32"/>
          <w:szCs w:val="32"/>
        </w:rPr>
      </w:pPr>
      <w:r>
        <w:rPr>
          <w:rFonts w:ascii="仿宋_GB2312" w:eastAsia="仿宋_GB2312" w:cs="仿宋_GB2312" w:hint="eastAsia"/>
          <w:sz w:val="32"/>
          <w:szCs w:val="32"/>
        </w:rPr>
        <w:t>2025年度，中共阿坝州若尔盖县委宣传部（本级）政府采购支出总额40.44万元，其中：政府采购货物支出39.9万元、政府采购工程支出0万元、政府采购服务支出0.54万元。授予中小企业合同金额0万元，占政府采购支出总额的0%，其中：授予小微企业合同金额0万元，占政府采购支出总额的0%。</w:t>
      </w:r>
    </w:p>
    <w:p>
      <w:pPr>
        <w:spacing w:line="560" w:lineRule="exact"/>
        <w:ind w:firstLineChars="200" w:firstLine="640"/>
        <w:outlineLvl w:val="2"/>
        <w:rPr>
          <w:rFonts w:eastAsia="楷体_GB2312" w:cs="楷体_GB2312"/>
          <w:b/>
          <w:sz w:val="32"/>
          <w:szCs w:val="32"/>
        </w:rPr>
      </w:pPr>
      <w:bookmarkStart w:id="78" w:name="_Toc15377224"/>
      <w:r>
        <w:rPr>
          <w:rFonts w:eastAsia="楷体_GB2312" w:cs="楷体_GB2312" w:hint="eastAsia"/>
          <w:b/>
          <w:sz w:val="32"/>
          <w:szCs w:val="32"/>
        </w:rPr>
        <w:t>（三）国有资产占有使用情况</w:t>
      </w:r>
      <w:bookmarkEnd w:id="78"/>
    </w:p>
    <w:p>
      <w:pPr>
        <w:spacing w:line="560" w:lineRule="exact"/>
        <w:ind w:firstLine="640"/>
        <w:rPr>
          <w:rFonts w:eastAsia="仿宋_GB2312" w:cs="仿宋_GB2312"/>
          <w:sz w:val="32"/>
          <w:szCs w:val="32"/>
        </w:rPr>
      </w:pPr>
      <w:r>
        <w:rPr>
          <w:rFonts w:ascii="仿宋_GB2312" w:eastAsia="仿宋_GB2312" w:cs="仿宋_GB2312" w:hint="eastAsia"/>
          <w:sz w:val="32"/>
          <w:szCs w:val="32"/>
        </w:rPr>
        <w:t>截至2025年12月31日，中共阿坝州若尔盖县委宣传部（本级）共有车辆2辆，其中：主要负责人用车0辆、机要通信用车0辆、应急保障用车0辆、其他用车2辆，单价0万元（含）以上设备（不含车辆）0台（套）</w:t>
      </w:r>
      <w:r>
        <w:rPr>
          <w:rFonts w:eastAsia="仿宋_GB2312" w:cs="仿宋_GB2312" w:hint="eastAsia"/>
          <w:sz w:val="32"/>
          <w:szCs w:val="32"/>
        </w:rPr>
        <w:t>。</w:t>
      </w:r>
    </w:p>
    <w:p>
      <w:pPr>
        <w:spacing w:line="560" w:lineRule="exact"/>
        <w:ind w:firstLineChars="200" w:firstLine="640"/>
        <w:outlineLvl w:val="2"/>
        <w:rPr>
          <w:rFonts w:eastAsia="楷体_GB2312" w:cs="楷体_GB2312"/>
          <w:b/>
          <w:sz w:val="32"/>
          <w:szCs w:val="32"/>
        </w:rPr>
      </w:pPr>
      <w:r>
        <w:rPr>
          <w:rFonts w:eastAsia="楷体_GB2312" w:cs="楷体_GB2312" w:hint="eastAsia"/>
          <w:b/>
          <w:sz w:val="32"/>
          <w:szCs w:val="32"/>
        </w:rPr>
        <w:t>（四）预算绩效管理情况</w:t>
      </w:r>
    </w:p>
    <w:p>
      <w:pPr>
        <w:spacing w:line="560" w:lineRule="exact"/>
        <w:ind w:firstLine="640"/>
        <w:rPr>
          <w:rFonts w:eastAsia="仿宋_GB2312" w:cs="仿宋_GB2312"/>
          <w:sz w:val="32"/>
          <w:szCs w:val="32"/>
        </w:rPr>
      </w:pPr>
      <w:r>
        <w:rPr>
          <w:rFonts w:eastAsia="仿宋_GB2312" w:cs="仿宋_GB2312" w:hint="eastAsia"/>
          <w:sz w:val="32"/>
          <w:szCs w:val="32"/>
        </w:rPr>
        <w:t>根据预算绩效管理要求，本单位在2025年度预算编制阶段，组织对</w:t>
      </w:r>
      <w:r>
        <w:rPr>
          <w:rFonts w:ascii="仿宋_GB2312" w:eastAsia="仿宋_GB2312" w:hint="eastAsia"/>
          <w:sz w:val="32"/>
          <w:szCs w:val="32"/>
        </w:rPr>
        <w:t>宣传工作经费、中央公共文化系列宣传</w:t>
      </w:r>
      <w:r>
        <w:rPr>
          <w:rFonts w:eastAsia="仿宋_GB2312" w:cs="仿宋_GB2312" w:hint="eastAsia"/>
          <w:sz w:val="32"/>
          <w:szCs w:val="32"/>
        </w:rPr>
        <w:t>等7个项目开展了预算事前绩效评估，对0个项目编制了绩效目标，预算执行过程中，选取1个项目开展绩效监控。</w:t>
      </w:r>
    </w:p>
    <w:p>
      <w:pPr>
        <w:spacing w:line="560" w:lineRule="exact"/>
        <w:jc w:val="center"/>
        <w:outlineLvl w:val="0"/>
        <w:rPr>
          <w:rFonts w:eastAsia="黑体" w:hint="eastAsia"/>
          <w:sz w:val="44"/>
          <w:szCs w:val="44"/>
        </w:rPr>
      </w:pPr>
      <w:bookmarkStart w:id="79" w:name="_Toc15377225"/>
      <w:bookmarkStart w:id="80" w:name="_Toc15396613"/>
      <w:bookmarkStart w:id="81" w:name="_Toc2046937050"/>
    </w:p>
    <w:p>
      <w:pPr>
        <w:spacing w:line="560" w:lineRule="exact"/>
        <w:jc w:val="center"/>
        <w:outlineLvl w:val="0"/>
        <w:rPr>
          <w:rFonts w:eastAsia="黑体"/>
          <w:sz w:val="44"/>
          <w:szCs w:val="44"/>
        </w:rPr>
      </w:pPr>
      <w:r>
        <w:rPr>
          <w:rFonts w:eastAsia="黑体" w:hint="eastAsia"/>
          <w:sz w:val="44"/>
          <w:szCs w:val="44"/>
        </w:rPr>
        <w:t>第三部分  名词解释</w:t>
      </w:r>
      <w:bookmarkEnd w:id="79"/>
      <w:bookmarkEnd w:id="80"/>
      <w:bookmarkEnd w:id="81"/>
    </w:p>
    <w:p>
      <w:pPr>
        <w:spacing w:line="560" w:lineRule="exact"/>
        <w:jc w:val="left"/>
        <w:rPr>
          <w:b/>
          <w:sz w:val="44"/>
          <w:szCs w:val="44"/>
        </w:rPr>
      </w:pPr>
    </w:p>
    <w:p>
      <w:pPr>
        <w:spacing w:line="560" w:lineRule="exact"/>
        <w:ind w:firstLine="640"/>
        <w:rPr>
          <w:rFonts w:eastAsia="仿宋_GB2312" w:cs="仿宋_GB2312"/>
          <w:sz w:val="32"/>
          <w:szCs w:val="32"/>
        </w:rPr>
      </w:pPr>
      <w:r>
        <w:rPr>
          <w:rFonts w:eastAsia="仿宋_GB2312" w:cs="仿宋_GB2312" w:hint="eastAsia"/>
          <w:sz w:val="32"/>
          <w:szCs w:val="32"/>
        </w:rPr>
        <w:t>1.财政拨款收入：指单位从同级财政部门取得的财政预算资金。</w:t>
      </w:r>
    </w:p>
    <w:p>
      <w:pPr>
        <w:spacing w:line="560" w:lineRule="exact"/>
        <w:ind w:firstLine="640"/>
        <w:rPr>
          <w:rFonts w:eastAsia="仿宋_GB2312" w:cs="仿宋_GB2312"/>
          <w:sz w:val="32"/>
          <w:szCs w:val="32"/>
        </w:rPr>
      </w:pPr>
      <w:r>
        <w:rPr>
          <w:rFonts w:eastAsia="仿宋_GB2312" w:cs="仿宋_GB2312" w:hint="eastAsia"/>
          <w:sz w:val="32"/>
          <w:szCs w:val="32"/>
        </w:rPr>
        <w:t>2.事业收入：指事业单位开展专业业务活动及辅助活动取得的收入。</w:t>
      </w:r>
    </w:p>
    <w:p>
      <w:pPr>
        <w:spacing w:line="560" w:lineRule="exact"/>
        <w:ind w:firstLine="640"/>
        <w:rPr>
          <w:rFonts w:eastAsia="仿宋_GB2312" w:cs="仿宋_GB2312"/>
          <w:sz w:val="32"/>
          <w:szCs w:val="32"/>
        </w:rPr>
      </w:pPr>
      <w:r>
        <w:rPr>
          <w:rFonts w:eastAsia="仿宋_GB2312" w:cs="仿宋_GB2312" w:hint="eastAsia"/>
          <w:sz w:val="32"/>
          <w:szCs w:val="32"/>
        </w:rPr>
        <w:t>3.经营收入：指事业单位在专业业务活动及其辅助活动之外开展非独立核算经营活动取得的收入。</w:t>
      </w:r>
    </w:p>
    <w:p>
      <w:pPr>
        <w:spacing w:line="560" w:lineRule="exact"/>
        <w:ind w:firstLine="640"/>
        <w:rPr>
          <w:rFonts w:eastAsia="仿宋_GB2312" w:cs="仿宋_GB2312"/>
          <w:sz w:val="32"/>
          <w:szCs w:val="32"/>
        </w:rPr>
      </w:pPr>
      <w:r>
        <w:rPr>
          <w:rFonts w:eastAsia="仿宋_GB2312" w:cs="仿宋_GB2312" w:hint="eastAsia"/>
          <w:sz w:val="32"/>
          <w:szCs w:val="32"/>
        </w:rPr>
        <w:t xml:space="preserve">4.其他收入：指单位取得的除上述收入以外的各项收入。 </w:t>
      </w:r>
    </w:p>
    <w:p>
      <w:pPr>
        <w:spacing w:line="560" w:lineRule="exact"/>
        <w:ind w:firstLine="640"/>
        <w:rPr>
          <w:rFonts w:eastAsia="仿宋_GB2312" w:cs="仿宋_GB2312"/>
          <w:sz w:val="32"/>
          <w:szCs w:val="32"/>
        </w:rPr>
      </w:pPr>
      <w:r>
        <w:rPr>
          <w:rFonts w:eastAsia="仿宋_GB2312" w:cs="仿宋_GB2312" w:hint="eastAsia"/>
          <w:sz w:val="32"/>
          <w:szCs w:val="32"/>
        </w:rPr>
        <w:t xml:space="preserve">5.使用非财政拨款结余（含专用结余）：指事业单位使用以前年度积累的非财政拨款结余弥补当年收支差额的金额。 </w:t>
      </w:r>
    </w:p>
    <w:p>
      <w:pPr>
        <w:spacing w:line="560" w:lineRule="exact"/>
        <w:ind w:firstLine="640"/>
        <w:rPr>
          <w:rFonts w:eastAsia="仿宋_GB2312" w:cs="仿宋_GB2312"/>
          <w:sz w:val="32"/>
          <w:szCs w:val="32"/>
        </w:rPr>
      </w:pPr>
      <w:r>
        <w:rPr>
          <w:rFonts w:eastAsia="仿宋_GB2312" w:cs="仿宋_GB2312" w:hint="eastAsia"/>
          <w:sz w:val="32"/>
          <w:szCs w:val="32"/>
        </w:rPr>
        <w:t xml:space="preserve">6.年初结转和结余：指以前年度尚未完成、结转到本年按有关规定继续使用的资金。 </w:t>
      </w:r>
    </w:p>
    <w:p>
      <w:pPr>
        <w:spacing w:line="560" w:lineRule="exact"/>
        <w:ind w:firstLine="640"/>
        <w:rPr>
          <w:rFonts w:eastAsia="仿宋_GB2312" w:cs="仿宋_GB2312"/>
          <w:sz w:val="32"/>
          <w:szCs w:val="32"/>
        </w:rPr>
      </w:pPr>
      <w:r>
        <w:rPr>
          <w:rFonts w:eastAsia="仿宋_GB2312" w:cs="仿宋_GB2312" w:hint="eastAsia"/>
          <w:sz w:val="32"/>
          <w:szCs w:val="32"/>
        </w:rPr>
        <w:t>7.结余分配：指事业单位按照会计制度规定缴纳的所得税、提取的专用结余以及转入非财政拨款结余的金额等。</w:t>
      </w:r>
    </w:p>
    <w:p>
      <w:pPr>
        <w:spacing w:line="560" w:lineRule="exact"/>
        <w:ind w:firstLine="640"/>
        <w:rPr>
          <w:rFonts w:eastAsia="仿宋_GB2312" w:cs="仿宋_GB2312"/>
          <w:sz w:val="32"/>
          <w:szCs w:val="32"/>
        </w:rPr>
      </w:pPr>
      <w:r>
        <w:rPr>
          <w:rFonts w:eastAsia="仿宋_GB2312" w:cs="仿宋_GB2312" w:hint="eastAsia"/>
          <w:sz w:val="32"/>
          <w:szCs w:val="32"/>
        </w:rPr>
        <w:t>8.年末结转和结余：指单位按有关规定结转到下年或以后年度继续使用的资金。</w:t>
      </w:r>
    </w:p>
    <w:p>
      <w:pPr>
        <w:spacing w:line="560" w:lineRule="exact"/>
        <w:ind w:firstLine="640"/>
        <w:rPr>
          <w:rFonts w:eastAsia="仿宋_GB2312" w:cs="仿宋_GB2312"/>
          <w:sz w:val="32"/>
          <w:szCs w:val="32"/>
        </w:rPr>
      </w:pPr>
      <w:r>
        <w:rPr>
          <w:rFonts w:eastAsia="仿宋_GB2312" w:cs="仿宋_GB2312" w:hint="eastAsia"/>
          <w:sz w:val="32"/>
          <w:szCs w:val="32"/>
        </w:rPr>
        <w:t>9.基本支出：指为保障机构正常运转、完成日常工作任务而发生的人员支出和公用支出。</w:t>
      </w:r>
    </w:p>
    <w:p>
      <w:pPr>
        <w:spacing w:line="560" w:lineRule="exact"/>
        <w:ind w:firstLine="640"/>
        <w:rPr>
          <w:rFonts w:eastAsia="仿宋_GB2312" w:cs="仿宋_GB2312"/>
          <w:sz w:val="32"/>
          <w:szCs w:val="32"/>
        </w:rPr>
      </w:pPr>
      <w:r>
        <w:rPr>
          <w:rFonts w:eastAsia="仿宋_GB2312" w:cs="仿宋_GB2312" w:hint="eastAsia"/>
          <w:sz w:val="32"/>
          <w:szCs w:val="32"/>
        </w:rPr>
        <w:t xml:space="preserve">10.项目支出：指在基本支出之外为完成特定行政任务和事业发展目标所发生的支出。 </w:t>
      </w:r>
    </w:p>
    <w:p>
      <w:pPr>
        <w:spacing w:line="560" w:lineRule="exact"/>
        <w:ind w:firstLine="640"/>
        <w:rPr>
          <w:rFonts w:eastAsia="仿宋_GB2312" w:cs="仿宋_GB2312"/>
          <w:sz w:val="32"/>
          <w:szCs w:val="32"/>
        </w:rPr>
      </w:pPr>
      <w:r>
        <w:rPr>
          <w:rFonts w:eastAsia="仿宋_GB2312" w:cs="仿宋_GB2312" w:hint="eastAsia"/>
          <w:sz w:val="32"/>
          <w:szCs w:val="32"/>
        </w:rPr>
        <w:t>11.经营支出：指事业单位在专业业务活动及其辅助活动之外开展非独立核算经营活动发生的支出。</w:t>
      </w:r>
    </w:p>
    <w:p>
      <w:pPr>
        <w:spacing w:line="560" w:lineRule="exact"/>
        <w:ind w:firstLine="640"/>
        <w:rPr>
          <w:rFonts w:eastAsia="仿宋_GB2312" w:cs="仿宋_GB2312"/>
          <w:sz w:val="32"/>
          <w:szCs w:val="32"/>
        </w:rPr>
      </w:pPr>
      <w:r>
        <w:rPr>
          <w:rFonts w:eastAsia="仿宋_GB2312" w:cs="仿宋_GB2312" w:hint="eastAsia"/>
          <w:sz w:val="32"/>
          <w:szCs w:val="32"/>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560" w:lineRule="exact"/>
        <w:ind w:firstLine="640"/>
        <w:rPr>
          <w:rFonts w:eastAsia="仿宋_GB2312" w:cs="仿宋_GB2312"/>
          <w:sz w:val="32"/>
          <w:szCs w:val="32"/>
        </w:rPr>
      </w:pPr>
      <w:r>
        <w:rPr>
          <w:rFonts w:eastAsia="仿宋_GB2312" w:cs="仿宋_GB2312" w:hint="eastAsia"/>
          <w:sz w:val="32"/>
          <w:szCs w:val="32"/>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jc w:val="center"/>
        <w:rPr>
          <w:rFonts w:eastAsia="黑体"/>
          <w:sz w:val="44"/>
          <w:szCs w:val="44"/>
        </w:rPr>
      </w:pPr>
      <w:bookmarkStart w:id="82" w:name="_Toc15396614"/>
      <w:bookmarkStart w:id="83" w:name="_Toc15377226"/>
    </w:p>
    <w:p>
      <w:pPr>
        <w:spacing w:line="560" w:lineRule="exact"/>
        <w:jc w:val="center"/>
        <w:rPr>
          <w:rFonts w:eastAsia="黑体"/>
          <w:sz w:val="44"/>
          <w:szCs w:val="44"/>
        </w:rPr>
      </w:pPr>
    </w:p>
    <w:p>
      <w:pPr>
        <w:spacing w:line="560" w:lineRule="exact"/>
        <w:jc w:val="center"/>
        <w:rPr>
          <w:rFonts w:eastAsia="黑体"/>
          <w:sz w:val="44"/>
          <w:szCs w:val="44"/>
        </w:rPr>
      </w:pPr>
    </w:p>
    <w:p>
      <w:pPr>
        <w:spacing w:line="560" w:lineRule="exact"/>
        <w:jc w:val="center"/>
        <w:rPr>
          <w:rFonts w:eastAsia="黑体"/>
          <w:sz w:val="44"/>
          <w:szCs w:val="44"/>
        </w:rPr>
      </w:pPr>
    </w:p>
    <w:p>
      <w:pPr>
        <w:spacing w:line="560" w:lineRule="exact"/>
        <w:jc w:val="center"/>
        <w:rPr>
          <w:rFonts w:eastAsia="黑体"/>
          <w:sz w:val="44"/>
          <w:szCs w:val="44"/>
        </w:rPr>
      </w:pPr>
    </w:p>
    <w:p>
      <w:pPr>
        <w:spacing w:line="560" w:lineRule="exact"/>
        <w:jc w:val="center"/>
        <w:rPr>
          <w:rFonts w:eastAsia="黑体"/>
          <w:sz w:val="44"/>
          <w:szCs w:val="44"/>
        </w:rPr>
      </w:pPr>
    </w:p>
    <w:p>
      <w:pPr>
        <w:spacing w:line="560" w:lineRule="exact"/>
        <w:jc w:val="center"/>
        <w:rPr>
          <w:rFonts w:eastAsia="黑体"/>
          <w:sz w:val="44"/>
          <w:szCs w:val="44"/>
        </w:rPr>
      </w:pPr>
    </w:p>
    <w:p>
      <w:pPr>
        <w:spacing w:line="560" w:lineRule="exact"/>
        <w:jc w:val="center"/>
        <w:rPr>
          <w:rFonts w:eastAsia="黑体"/>
          <w:sz w:val="44"/>
          <w:szCs w:val="44"/>
        </w:rPr>
      </w:pPr>
    </w:p>
    <w:p>
      <w:pPr>
        <w:pStyle w:val="15"/>
      </w:pPr>
    </w:p>
    <w:p>
      <w:pPr>
        <w:pStyle w:val="17"/>
      </w:pPr>
    </w:p>
    <w:p>
      <w:pPr>
        <w:pStyle w:val="17"/>
      </w:pPr>
    </w:p>
    <w:p>
      <w:pPr>
        <w:pStyle w:val="17"/>
      </w:pPr>
    </w:p>
    <w:p>
      <w:pPr>
        <w:spacing w:line="560" w:lineRule="exact"/>
        <w:jc w:val="center"/>
        <w:rPr>
          <w:rFonts w:eastAsia="黑体"/>
          <w:sz w:val="44"/>
          <w:szCs w:val="44"/>
        </w:rPr>
      </w:pPr>
    </w:p>
    <w:p>
      <w:pPr>
        <w:spacing w:line="560" w:lineRule="exact"/>
        <w:jc w:val="center"/>
        <w:outlineLvl w:val="0"/>
        <w:rPr>
          <w:rStyle w:val="1Char"/>
          <w:rFonts w:eastAsia="黑体"/>
          <w:b w:val="0"/>
        </w:rPr>
      </w:pPr>
      <w:bookmarkStart w:id="84" w:name="_Toc1762757085"/>
      <w:r>
        <w:rPr>
          <w:rFonts w:eastAsia="黑体" w:hint="eastAsia"/>
          <w:sz w:val="44"/>
          <w:szCs w:val="44"/>
        </w:rPr>
        <w:t>第四部分  附件</w:t>
      </w:r>
      <w:bookmarkEnd w:id="82"/>
      <w:bookmarkEnd w:id="84"/>
    </w:p>
    <w:p>
      <w:pPr>
        <w:spacing w:line="560" w:lineRule="exact"/>
        <w:jc w:val="left"/>
        <w:rPr>
          <w:rFonts w:eastAsia="黑体" w:cs="黑体"/>
          <w:color w:val="FF0000"/>
          <w:sz w:val="32"/>
          <w:szCs w:val="32"/>
        </w:rPr>
      </w:pPr>
    </w:p>
    <w:p>
      <w:pPr>
        <w:spacing w:line="600" w:lineRule="exact"/>
        <w:jc w:val="center"/>
        <w:outlineLvl w:val="1"/>
        <w:rPr>
          <w:rFonts w:ascii="黑体" w:eastAsia="黑体"/>
          <w:color w:val="FF0000"/>
          <w:sz w:val="44"/>
          <w:szCs w:val="44"/>
        </w:rPr>
      </w:pPr>
      <w:bookmarkStart w:id="85" w:name="_Toc30066"/>
      <w:bookmarkStart w:id="86" w:name="_Toc322102400"/>
      <w:r>
        <w:rPr>
          <w:rFonts w:hint="eastAsia"/>
          <w:sz w:val="32"/>
          <w:szCs w:val="32"/>
        </w:rPr>
        <w:t>部门预算项目支出绩效自评表（2025年度）</w:t>
      </w:r>
      <w:bookmarkEnd w:id="85"/>
      <w:bookmarkEnd w:id="86"/>
    </w:p>
    <w:p>
      <w:pPr>
        <w:pStyle w:val="17"/>
        <w:spacing w:line="560" w:lineRule="exact"/>
        <w:ind w:leftChars="0" w:left="0"/>
        <w:rPr>
          <w:sz w:val="32"/>
        </w:rPr>
      </w:pPr>
    </w:p>
    <w:p>
      <w:pPr>
        <w:pStyle w:val="17"/>
        <w:spacing w:line="560" w:lineRule="exact"/>
        <w:ind w:leftChars="0" w:left="0"/>
        <w:rPr>
          <w:rFonts w:eastAsia="仿宋_GB2312" w:cs="仿宋"/>
          <w:sz w:val="32"/>
        </w:rPr>
      </w:pPr>
      <w:r>
        <w:rPr>
          <w:rFonts w:eastAsia="仿宋_GB2312" w:cs="仿宋" w:hint="eastAsia"/>
          <w:sz w:val="32"/>
        </w:rPr>
        <w:t>详见附件“部门预算项目支出绩效自评表”中</w:t>
      </w:r>
    </w:p>
    <w:p>
      <w:pPr>
        <w:pStyle w:val="17"/>
        <w:spacing w:line="560" w:lineRule="exact"/>
        <w:ind w:leftChars="0" w:left="0"/>
        <w:rPr>
          <w:rFonts w:eastAsia="仿宋_GB2312" w:cs="仿宋"/>
          <w:sz w:val="32"/>
          <w:lang w:val="zh-CN"/>
        </w:rPr>
      </w:pPr>
    </w:p>
    <w:p>
      <w:pPr>
        <w:widowControl/>
        <w:spacing w:line="560" w:lineRule="exact"/>
        <w:jc w:val="center"/>
        <w:rPr>
          <w:rFonts w:eastAsia="黑体"/>
          <w:sz w:val="44"/>
          <w:szCs w:val="44"/>
        </w:rPr>
      </w:pPr>
      <w:bookmarkStart w:id="87" w:name="_Toc15396618"/>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rPr>
          <w:rFonts w:eastAsia="黑体"/>
          <w:sz w:val="44"/>
          <w:szCs w:val="44"/>
        </w:rPr>
      </w:pPr>
    </w:p>
    <w:p>
      <w:pPr>
        <w:widowControl/>
        <w:spacing w:line="560" w:lineRule="exact"/>
        <w:jc w:val="center"/>
        <w:outlineLvl w:val="0"/>
        <w:rPr>
          <w:rFonts w:eastAsia="仿宋"/>
        </w:rPr>
      </w:pPr>
      <w:bookmarkStart w:id="88" w:name="_Toc895916063"/>
      <w:r>
        <w:rPr>
          <w:rFonts w:eastAsia="黑体" w:hint="eastAsia"/>
          <w:sz w:val="44"/>
          <w:szCs w:val="44"/>
        </w:rPr>
        <w:t>第</w:t>
      </w:r>
      <w:r>
        <w:rPr>
          <w:rStyle w:val="1Char"/>
          <w:rFonts w:eastAsia="黑体" w:hint="eastAsia"/>
          <w:b w:val="0"/>
        </w:rPr>
        <w:t>五部分 附表</w:t>
      </w:r>
      <w:bookmarkStart w:id="89" w:name="_Toc15396619"/>
      <w:bookmarkEnd w:id="83"/>
      <w:bookmarkEnd w:id="87"/>
      <w:bookmarkEnd w:id="88"/>
    </w:p>
    <w:p>
      <w:pPr>
        <w:pStyle w:val="24"/>
        <w:tabs>
          <w:tab w:val="right" w:leader="dot" w:pos="8296"/>
        </w:tabs>
        <w:adjustRightInd w:val="0"/>
        <w:snapToGrid w:val="0"/>
        <w:spacing w:line="560" w:lineRule="exact"/>
        <w:jc w:val="left"/>
        <w:rPr>
          <w:rFonts w:eastAsia="仿宋_GB2312" w:cs="仿宋_GB2312"/>
          <w:sz w:val="32"/>
          <w:szCs w:val="32"/>
        </w:rPr>
      </w:pPr>
    </w:p>
    <w:p>
      <w:pPr>
        <w:pStyle w:val="24"/>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89"/>
    </w:p>
    <w:p>
      <w:pPr>
        <w:pStyle w:val="24"/>
        <w:tabs>
          <w:tab w:val="right" w:leader="dot" w:pos="8296"/>
        </w:tabs>
        <w:adjustRightInd w:val="0"/>
        <w:snapToGrid w:val="0"/>
        <w:spacing w:line="560" w:lineRule="exact"/>
        <w:jc w:val="left"/>
        <w:rPr>
          <w:rFonts w:eastAsia="仿宋_GB2312" w:cs="仿宋_GB2312"/>
          <w:sz w:val="32"/>
          <w:szCs w:val="32"/>
        </w:rPr>
      </w:pPr>
      <w:bookmarkStart w:id="90" w:name="_Toc15396620"/>
      <w:r>
        <w:rPr>
          <w:rFonts w:eastAsia="仿宋_GB2312" w:cs="仿宋_GB2312" w:hint="eastAsia"/>
          <w:sz w:val="32"/>
          <w:szCs w:val="32"/>
        </w:rPr>
        <w:t>二、收入决算表</w:t>
      </w:r>
      <w:bookmarkEnd w:id="90"/>
    </w:p>
    <w:p>
      <w:pPr>
        <w:pStyle w:val="24"/>
        <w:tabs>
          <w:tab w:val="right" w:leader="dot" w:pos="8296"/>
        </w:tabs>
        <w:adjustRightInd w:val="0"/>
        <w:snapToGrid w:val="0"/>
        <w:spacing w:line="560" w:lineRule="exact"/>
        <w:jc w:val="left"/>
        <w:rPr>
          <w:rFonts w:eastAsia="仿宋_GB2312" w:cs="仿宋_GB2312"/>
          <w:sz w:val="32"/>
          <w:szCs w:val="32"/>
        </w:rPr>
      </w:pPr>
      <w:bookmarkStart w:id="91" w:name="_Toc15396621"/>
      <w:r>
        <w:rPr>
          <w:rFonts w:eastAsia="仿宋_GB2312" w:cs="仿宋_GB2312" w:hint="eastAsia"/>
          <w:sz w:val="32"/>
          <w:szCs w:val="32"/>
        </w:rPr>
        <w:t>三、支出决算表</w:t>
      </w:r>
      <w:bookmarkEnd w:id="91"/>
    </w:p>
    <w:p>
      <w:pPr>
        <w:pStyle w:val="24"/>
        <w:tabs>
          <w:tab w:val="right" w:leader="dot" w:pos="8296"/>
        </w:tabs>
        <w:adjustRightInd w:val="0"/>
        <w:snapToGrid w:val="0"/>
        <w:spacing w:line="560" w:lineRule="exact"/>
        <w:jc w:val="left"/>
        <w:rPr>
          <w:rFonts w:eastAsia="仿宋_GB2312" w:cs="仿宋_GB2312"/>
          <w:sz w:val="32"/>
          <w:szCs w:val="32"/>
        </w:rPr>
      </w:pPr>
      <w:bookmarkStart w:id="92" w:name="_Toc15396622"/>
      <w:r>
        <w:rPr>
          <w:rFonts w:eastAsia="仿宋_GB2312" w:cs="仿宋_GB2312" w:hint="eastAsia"/>
          <w:sz w:val="32"/>
          <w:szCs w:val="32"/>
        </w:rPr>
        <w:t>四、财政拨款收入支出决算总表</w:t>
      </w:r>
      <w:bookmarkEnd w:id="92"/>
    </w:p>
    <w:p>
      <w:pPr>
        <w:pStyle w:val="24"/>
        <w:tabs>
          <w:tab w:val="right" w:leader="dot" w:pos="8296"/>
        </w:tabs>
        <w:adjustRightInd w:val="0"/>
        <w:snapToGrid w:val="0"/>
        <w:spacing w:line="560" w:lineRule="exact"/>
        <w:jc w:val="left"/>
        <w:rPr>
          <w:rFonts w:eastAsia="仿宋_GB2312" w:cs="仿宋_GB2312"/>
          <w:sz w:val="32"/>
          <w:szCs w:val="32"/>
        </w:rPr>
      </w:pPr>
      <w:bookmarkStart w:id="93" w:name="_Toc15396623"/>
      <w:r>
        <w:rPr>
          <w:rFonts w:eastAsia="仿宋_GB2312" w:cs="仿宋_GB2312" w:hint="eastAsia"/>
          <w:sz w:val="32"/>
          <w:szCs w:val="32"/>
        </w:rPr>
        <w:t>五、财政拨款支出决算明细表</w:t>
      </w:r>
      <w:bookmarkStart w:id="94" w:name="_Toc15396624"/>
      <w:bookmarkEnd w:id="93"/>
    </w:p>
    <w:p>
      <w:pPr>
        <w:pStyle w:val="24"/>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94"/>
    </w:p>
    <w:p>
      <w:pPr>
        <w:pStyle w:val="24"/>
        <w:tabs>
          <w:tab w:val="right" w:leader="dot" w:pos="8296"/>
        </w:tabs>
        <w:adjustRightInd w:val="0"/>
        <w:snapToGrid w:val="0"/>
        <w:spacing w:line="560" w:lineRule="exact"/>
        <w:jc w:val="left"/>
        <w:rPr>
          <w:rFonts w:eastAsia="仿宋_GB2312" w:cs="仿宋_GB2312"/>
          <w:sz w:val="32"/>
          <w:szCs w:val="32"/>
        </w:rPr>
      </w:pPr>
      <w:bookmarkStart w:id="95" w:name="_Toc15396625"/>
      <w:r>
        <w:rPr>
          <w:rFonts w:eastAsia="仿宋_GB2312" w:cs="仿宋_GB2312" w:hint="eastAsia"/>
          <w:sz w:val="32"/>
          <w:szCs w:val="32"/>
        </w:rPr>
        <w:t>七、一般公共预算财政拨款支出决算明细表</w:t>
      </w:r>
      <w:bookmarkEnd w:id="95"/>
    </w:p>
    <w:p>
      <w:pPr>
        <w:pStyle w:val="24"/>
        <w:tabs>
          <w:tab w:val="right" w:leader="dot" w:pos="8296"/>
        </w:tabs>
        <w:adjustRightInd w:val="0"/>
        <w:snapToGrid w:val="0"/>
        <w:spacing w:line="560" w:lineRule="exact"/>
        <w:jc w:val="left"/>
        <w:rPr>
          <w:rFonts w:eastAsia="仿宋_GB2312" w:cs="仿宋_GB2312"/>
          <w:sz w:val="32"/>
          <w:szCs w:val="32"/>
        </w:rPr>
      </w:pPr>
      <w:bookmarkStart w:id="96" w:name="_Toc15396626"/>
      <w:r>
        <w:rPr>
          <w:rFonts w:eastAsia="仿宋_GB2312" w:cs="仿宋_GB2312" w:hint="eastAsia"/>
          <w:sz w:val="32"/>
          <w:szCs w:val="32"/>
        </w:rPr>
        <w:t>八、一般公共预算财政拨款基本支出决算表</w:t>
      </w:r>
      <w:bookmarkEnd w:id="96"/>
    </w:p>
    <w:p>
      <w:pPr>
        <w:pStyle w:val="24"/>
        <w:tabs>
          <w:tab w:val="right" w:leader="dot" w:pos="8296"/>
        </w:tabs>
        <w:adjustRightInd w:val="0"/>
        <w:snapToGrid w:val="0"/>
        <w:spacing w:line="560" w:lineRule="exact"/>
        <w:jc w:val="left"/>
        <w:rPr>
          <w:rFonts w:eastAsia="仿宋_GB2312" w:cs="仿宋_GB2312"/>
          <w:sz w:val="32"/>
          <w:szCs w:val="32"/>
        </w:rPr>
      </w:pPr>
      <w:bookmarkStart w:id="97" w:name="_Toc15396627"/>
      <w:r>
        <w:rPr>
          <w:rFonts w:eastAsia="仿宋_GB2312" w:cs="仿宋_GB2312" w:hint="eastAsia"/>
          <w:sz w:val="32"/>
          <w:szCs w:val="32"/>
        </w:rPr>
        <w:t>九、一般公共预算财政拨款项目支出决算表</w:t>
      </w:r>
      <w:bookmarkEnd w:id="97"/>
    </w:p>
    <w:p>
      <w:pPr>
        <w:pStyle w:val="24"/>
        <w:tabs>
          <w:tab w:val="right" w:leader="dot" w:pos="8296"/>
        </w:tabs>
        <w:adjustRightInd w:val="0"/>
        <w:snapToGrid w:val="0"/>
        <w:spacing w:line="560" w:lineRule="exact"/>
        <w:jc w:val="left"/>
        <w:rPr>
          <w:rFonts w:eastAsia="仿宋_GB2312" w:cs="仿宋_GB2312"/>
          <w:sz w:val="32"/>
          <w:szCs w:val="32"/>
        </w:rPr>
      </w:pPr>
      <w:bookmarkStart w:id="98" w:name="_Toc15396628"/>
      <w:r>
        <w:rPr>
          <w:rFonts w:eastAsia="仿宋_GB2312" w:cs="仿宋_GB2312" w:hint="eastAsia"/>
          <w:sz w:val="32"/>
          <w:szCs w:val="32"/>
        </w:rPr>
        <w:t>十、</w:t>
      </w:r>
      <w:bookmarkEnd w:id="98"/>
      <w:r>
        <w:rPr>
          <w:rFonts w:eastAsia="仿宋_GB2312" w:cs="仿宋_GB2312" w:hint="eastAsia"/>
          <w:sz w:val="32"/>
          <w:szCs w:val="32"/>
        </w:rPr>
        <w:t>政府性基金预算财政拨款收入支出决算表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99" w:name="_Toc15396629"/>
      <w:r>
        <w:rPr>
          <w:rFonts w:eastAsia="仿宋_GB2312" w:cs="仿宋_GB2312" w:hint="eastAsia"/>
          <w:sz w:val="32"/>
          <w:szCs w:val="32"/>
        </w:rPr>
        <w:t>十一、</w:t>
      </w:r>
      <w:bookmarkEnd w:id="99"/>
      <w:r>
        <w:rPr>
          <w:rFonts w:eastAsia="仿宋_GB2312" w:cs="仿宋_GB2312" w:hint="eastAsia"/>
          <w:sz w:val="32"/>
          <w:szCs w:val="32"/>
        </w:rPr>
        <w:t>国有资本经营预算财政拨款收入支出决算表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100" w:name="_Toc15396630"/>
      <w:r>
        <w:rPr>
          <w:rFonts w:eastAsia="仿宋_GB2312" w:cs="仿宋_GB2312" w:hint="eastAsia"/>
          <w:sz w:val="32"/>
          <w:szCs w:val="32"/>
        </w:rPr>
        <w:t>十二、</w:t>
      </w:r>
      <w:bookmarkEnd w:id="100"/>
      <w:r>
        <w:rPr>
          <w:rFonts w:eastAsia="仿宋_GB2312" w:cs="仿宋_GB2312" w:hint="eastAsia"/>
          <w:sz w:val="32"/>
          <w:szCs w:val="32"/>
        </w:rPr>
        <w:t>国有资本经营预算财政拨款支出决算表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101" w:name="_Toc15396631"/>
      <w:r>
        <w:rPr>
          <w:rFonts w:eastAsia="仿宋_GB2312" w:cs="仿宋_GB2312" w:hint="eastAsia"/>
          <w:sz w:val="32"/>
          <w:szCs w:val="32"/>
        </w:rPr>
        <w:t>十三、</w:t>
      </w:r>
      <w:bookmarkEnd w:id="101"/>
      <w:r>
        <w:rPr>
          <w:rFonts w:eastAsia="仿宋_GB2312" w:cs="仿宋_GB2312" w:hint="eastAsia"/>
          <w:sz w:val="32"/>
          <w:szCs w:val="32"/>
        </w:rPr>
        <w:t>财政拨款“三公”经费支出决算表</w:t>
      </w:r>
    </w:p>
    <w:p>
      <w:pPr>
        <w:spacing w:line="560" w:lineRule="exact"/>
      </w:pPr>
    </w:p>
    <w:sectPr>
      <w:footerReference w:type="default" r:id="rId4"/>
      <w:footerReference w:type="first" r:id="rId5"/>
      <w:pgSz w:w="11906" w:h="16838"/>
      <w:pgMar w:top="1440" w:right="1800" w:bottom="1440" w:left="1800" w:header="851" w:footer="992" w:gutter="0"/>
      <w:pgNumType w:fmt="numberInDash" w:start="1"/>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2010601030101010101"/>
    <w:charset w:val="86"/>
    <w:family w:val="auto"/>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variable"/>
    <w:sig w:usb0="00000001" w:usb1="080E0000" w:usb2="00000010" w:usb3="00000000" w:csb0="00040000" w:csb1="00000000"/>
  </w:font>
  <w:font w:name="方正仿宋_GBK">
    <w:altName w:val="微软雅黑"/>
    <w:panose1 w:val="00000000000000000000"/>
    <w:charset w:val="86"/>
    <w:family w:val="auto"/>
    <w:pitch w:val="variable"/>
    <w:sig w:usb0="00000000" w:usb1="0800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modern"/>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
    <w:altName w:val="Segoe Print"/>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r>
      <mc:AlternateContent>
        <mc:Choice Requires="wps">
          <w:drawing>
            <wp:anchor distT="0" distB="0" distL="114297" distR="114297" simplePos="0" relativeHeight="25" behindDoc="0" locked="0" layoutInCell="1" hidden="0" allowOverlap="1">
              <wp:simplePos x="0" y="0"/>
              <wp:positionH relativeFrom="margin">
                <wp:align>center</wp:align>
              </wp:positionH>
              <wp:positionV relativeFrom="paragraph">
                <wp:posOffset>0</wp:posOffset>
              </wp:positionV>
              <wp:extent cx="237515" cy="271365"/>
              <wp:effectExtent l="0" t="0" r="0" b="0"/>
              <wp:wrapNone/>
              <wp:docPr id="1" name="文本框"/>
              <wp:cNvGraphicFramePr>
                <a:graphicFrameLocks noChangeAspect="0"/>
              </wp:cNvGraphicFramePr>
              <a:graphic>
                <a:graphicData uri="http://schemas.microsoft.com/office/word/2010/wordprocessingShape">
                  <wps:wsp>
                    <wps:cNvSpPr/>
                    <wps:spPr>
                      <a:xfrm rot="0">
                        <a:off x="0" y="0"/>
                        <a:ext cx="237515" cy="271365"/>
                      </a:xfrm>
                      <a:prstGeom prst="rect"/>
                      <a:noFill/>
                      <a:ln w="9525" cmpd="sng" cap="flat">
                        <a:noFill/>
                        <a:prstDash val="solid"/>
                        <a:miter/>
                      </a:ln>
                    </wps:spPr>
                    <wps:txbx id="2">
                      <w:txbxContent>
                        <w:p>
                          <w:pPr>
                            <w:pStyle w:val="21"/>
                            <w:tabs>
                              <w:tab w:val="center" w:pos="4153"/>
                              <w:tab w:val="right" w:pos="8306"/>
                            </w:tabs>
                          </w:pPr>
                          <w:r>
                            <w:fldChar w:fldCharType="begin"/>
                          </w:r>
                          <w:r>
                            <w:instrText xml:space="preserve"> PAGE   \* MERGEFORMAT </w:instrText>
                          </w:r>
                          <w:r>
                            <w:fldChar w:fldCharType="separate"/>
                          </w:r>
                          <w:r>
                            <w:rPr>
                              <w:lang w:val="zh-CN"/>
                            </w:rPr>
                            <w:t>-</w:t>
                          </w:r>
                          <w:r>
                            <w:t xml:space="preserve"> 9 -</w:t>
                          </w:r>
                          <w:r>
                            <w:fldChar w:fldCharType="end"/>
                          </w:r>
                        </w:p>
                        <w:p>
                          <w:pPr>
                            <w:pStyle w:val="15"/>
                          </w:pPr>
                        </w:p>
                      </w:txbxContent>
                    </wps:txbx>
                    <wps:bodyPr vert="horz" wrap="none" lIns="0" tIns="0" rIns="0" bIns="0" anchor="t" anchorCtr="0" upright="1">
                      <a:spAutoFit/>
                    </wps:bodyPr>
                  </wps:wsp>
                </a:graphicData>
              </a:graphic>
            </wp:anchor>
          </w:drawing>
        </mc:Choice>
        <mc:Fallback>
          <w:pict>
            <v:shape type="#_x0000_t202" id="文本框 3" o:spid="_x0000_s3" filled="f" stroked="f" style="position:absolute;margin-left:0.0pt;margin-top:0.0pt;width:18.701994pt;height:21.36735pt;z-index:25;mso-position-horizontal:center;mso-position-horizontal-relative:margin;mso-position-vertical:absolute;mso-wrap-distance-left:8.99983pt;mso-wrap-distance-right:8.99983pt;mso-wrap-style:none;">
              <v:stroke color="#000000"/>
              <v:textbox id="855"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rPr>
                        <w:lang w:val="zh-CN"/>
                      </w:rPr>
                      <w:t>-</w:t>
                    </w:r>
                    <w:r>
                      <w:t xml:space="preserve"> 9 -</w:t>
                    </w:r>
                    <w:r>
                      <w:fldChar w:fldCharType="end"/>
                    </w:r>
                  </w:p>
                  <w:p>
                    <w:pPr>
                      <w:pStyle w:val="15"/>
                    </w:pPr>
                  </w:p>
                </w:txbxContent>
              </v:textbox>
            </v:shape>
          </w:pict>
        </mc:Fallback>
      </mc:AlternateContent>
    </w:r>
  </w:p>
  <w:p>
    <w:pPr>
      <w:pStyle w:val="21"/>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r>
      <mc:AlternateContent>
        <mc:Choice Requires="wps">
          <w:drawing>
            <wp:anchor distT="0" distB="0" distL="114297" distR="114297" simplePos="0" relativeHeight="26" behindDoc="0" locked="0" layoutInCell="1" hidden="0" allowOverlap="1">
              <wp:simplePos x="0" y="0"/>
              <wp:positionH relativeFrom="margin">
                <wp:align>center</wp:align>
              </wp:positionH>
              <wp:positionV relativeFrom="paragraph">
                <wp:posOffset>0</wp:posOffset>
              </wp:positionV>
              <wp:extent cx="179565" cy="139674"/>
              <wp:effectExtent l="0" t="0" r="0" b="0"/>
              <wp:wrapNone/>
              <wp:docPr id="4" name="文本框"/>
              <wp:cNvGraphicFramePr>
                <a:graphicFrameLocks noChangeAspect="0"/>
              </wp:cNvGraphicFramePr>
              <a:graphic>
                <a:graphicData uri="http://schemas.microsoft.com/office/word/2010/wordprocessingShape">
                  <wps:wsp>
                    <wps:cNvSpPr/>
                    <wps:spPr>
                      <a:xfrm rot="0">
                        <a:off x="0" y="0"/>
                        <a:ext cx="179565" cy="139674"/>
                      </a:xfrm>
                      <a:prstGeom prst="rect"/>
                      <a:noFill/>
                      <a:ln w="9525" cmpd="sng" cap="flat">
                        <a:noFill/>
                        <a:prstDash val="solid"/>
                        <a:miter/>
                      </a:ln>
                    </wps:spPr>
                    <wps:txbx id="5">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1">
                      <a:spAutoFit/>
                    </wps:bodyPr>
                  </wps:wsp>
                </a:graphicData>
              </a:graphic>
            </wp:anchor>
          </w:drawing>
        </mc:Choice>
        <mc:Fallback>
          <w:pict>
            <v:shape type="#_x0000_t202" id="文本框 6" o:spid="_x0000_s6" filled="f" stroked="f" style="position:absolute;margin-left:0.0pt;margin-top:0.0pt;width:14.139002pt;height:10.997999pt;z-index:26;mso-position-horizontal:center;mso-position-horizontal-relative:margin;mso-position-vertical:absolute;mso-wrap-distance-left:8.99983pt;mso-wrap-distance-right:8.99983pt;mso-wrap-style:none;">
              <v:stroke color="#000000"/>
              <v:textbox id="856"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62AB7DCB"/>
    <w:multiLevelType w:val="multilevel"/>
    <w:tmpl w:val="62AB7DCB"/>
    <w:lvl w:ilvl="0">
      <w:start w:val="1"/>
      <w:numFmt w:val="japaneseCounting"/>
      <w:lvlRestart w:val="0"/>
      <w:lvlText w:val="%1、"/>
      <w:lvlJc w:val="left"/>
      <w:pPr>
        <w:tabs>
          <w:tab w:val="num" w:pos="0"/>
        </w:tabs>
        <w:ind w:left="660" w:hanging="660"/>
      </w:pPr>
      <w:rPr>
        <w:rFonts w:hint="default"/>
      </w:r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nsid w:val="F4DC2D9A"/>
    <w:multiLevelType w:val="singleLevel"/>
    <w:tmpl w:val="F4DC2D9A"/>
    <w:lvl w:ilvl="0">
      <w:start w:val="1"/>
      <w:numFmt w:val="decimal"/>
      <w:lvlRestart w:val="0"/>
      <w:lvlText w:val="%1."/>
      <w:lvlJc w:val="left"/>
      <w:pPr>
        <w:tabs>
          <w:tab w:val="num" w:pos="0"/>
        </w:tabs>
        <w:ind w:left="0" w:hanging="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cs="宋体" w:hAnsi="Cambria"/>
      <w:b/>
      <w:bCs/>
      <w:sz w:val="32"/>
      <w:szCs w:val="32"/>
    </w:rPr>
  </w:style>
  <w:style w:type="character" w:customStyle="1" w:styleId="2Char">
    <w:name w:val="heading 2 Char"/>
    <w:basedOn w:val="10"/>
    <w:link w:val="2"/>
    <w:rPr>
      <w:rFonts w:ascii="Cambria" w:eastAsia="宋体" w:cs="宋体"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cs="宋体" w:hAnsi="Cambria"/>
      <w:color w:val="376092"/>
      <w:kern w:val="0"/>
      <w:sz w:val="28"/>
      <w:szCs w:val="28"/>
    </w:rPr>
  </w:style>
  <w:style w:type="paragraph" w:customStyle="1" w:styleId="34">
    <w:name w:val="TOC 标题2"/>
    <w:basedOn w:val="1"/>
    <w:next w:val="0"/>
    <w:pPr>
      <w:keepNext/>
      <w:keepLines/>
      <w:widowControl/>
      <w:spacing w:before="480" w:after="0" w:line="276" w:lineRule="auto"/>
      <w:jc w:val="left"/>
      <w:outlineLvl w:val="9"/>
    </w:pPr>
    <w:rPr>
      <w:rFonts w:ascii="Cambria" w:cs="宋体" w:hAnsi="Cambria"/>
      <w:color w:val="376092"/>
      <w:kern w:val="0"/>
      <w:sz w:val="28"/>
      <w:szCs w:val="28"/>
    </w:rPr>
  </w:style>
  <w:style w:type="paragraph" w:customStyle="1" w:styleId="35">
    <w:name w:val="四号正文"/>
    <w:basedOn w:val="0"/>
    <w:pPr>
      <w:spacing w:line="360" w:lineRule="auto"/>
    </w:pPr>
    <w:rPr>
      <w:rFonts w:ascii="??" w:hAnsi="??"/>
      <w:color w:val="000000"/>
      <w:kern w:val="0"/>
      <w:sz w:val="28"/>
      <w:szCs w:val="21"/>
      <w:lang w:val="zh-CN"/>
    </w:rPr>
  </w:style>
  <w:style w:type="paragraph" w:customStyle="1" w:styleId="36">
    <w:name w:val="WPSOffice手动目录 1"/>
    <w:rPr>
      <w:rFonts w:ascii="Calibri" w:eastAsia="宋体" w:cs="宋体" w:hAnsi="Calibri"/>
      <w:lang w:val="en-US" w:eastAsia="zh-CN" w:bidi="ar-SA"/>
    </w:rPr>
  </w:style>
  <w:style w:type="paragraph" w:customStyle="1" w:styleId="37">
    <w:name w:val="WPSOffice手动目录 2"/>
    <w:pPr>
      <w:ind w:leftChars="200" w:left="200"/>
    </w:pPr>
    <w:rPr>
      <w:rFonts w:ascii="Calibri" w:eastAsia="宋体" w:cs="宋体" w:hAnsi="Calibri"/>
      <w:lang w:val="en-US" w:eastAsia="zh-CN" w:bidi="ar-SA"/>
    </w:rPr>
  </w:style>
  <w:style w:type="character" w:styleId="38">
    <w:name w:val="FollowedHyperlink"/>
    <w:basedOn w:val="10"/>
    <w:rPr>
      <w:color w:val="800080"/>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image" Target="media/8.png"/><Relationship Id="rId7" Type="http://schemas.openxmlformats.org/officeDocument/2006/relationships/image" Target="media/11.png"/><Relationship Id="rId8" Type="http://schemas.openxmlformats.org/officeDocument/2006/relationships/image" Target="media/14.png"/><Relationship Id="rId9" Type="http://schemas.openxmlformats.org/officeDocument/2006/relationships/image" Target="media/17.png"/><Relationship Id="rId10" Type="http://schemas.openxmlformats.org/officeDocument/2006/relationships/image" Target="media/20.png"/><Relationship Id="rId11" Type="http://schemas.openxmlformats.org/officeDocument/2006/relationships/image" Target="media/23.png"/><Relationship Id="rId12" Type="http://schemas.openxmlformats.org/officeDocument/2006/relationships/image" Target="media/26.png"/><Relationship Id="rId13" Type="http://schemas.openxmlformats.org/officeDocument/2006/relationships/styles" Target="styles.xml"/><Relationship Id="rId14" Type="http://schemas.openxmlformats.org/officeDocument/2006/relationships/numbering" Target="numbering.xml"/><Relationship Id="rId15" Type="http://schemas.openxmlformats.org/officeDocument/2006/relationships/fontTable" Target="fontTable.xml"/></Relationships>
</file>

<file path=docProps/app.xml><?xml version="1.0" encoding="utf-8"?>
<Properties xmlns="http://schemas.openxmlformats.org/officeDocument/2006/extended-properties">
  <Template>Normal.eit</Template>
  <TotalTime>12</TotalTime>
  <Application>Yozo_Office</Application>
  <Pages>16</Pages>
  <Words>4773</Words>
  <Characters>5247</Characters>
  <Lines>318</Lines>
  <Paragraphs>131</Paragraphs>
  <CharactersWithSpaces>5356</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5</cp:revision>
  <cp:lastPrinted>2025-08-08T17:34:00Z</cp:lastPrinted>
  <dcterms:created xsi:type="dcterms:W3CDTF">2026-10-13T07:01:00Z</dcterms:created>
  <dcterms:modified xsi:type="dcterms:W3CDTF">2026-10-14T09:09:48Z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2052-11.8.2.12128</vt:lpwstr>
  </property>
  <property fmtid="{D5CDD505-2E9C-101B-9397-08002B2CF9AE}" pid="3" name="ICV">
    <vt:lpwstr>1ED775D48B2AC70F7C18EE68B2CECE2F</vt:lpwstr>
  </property>
  <property fmtid="{D5CDD505-2E9C-101B-9397-08002B2CF9AE}" pid="4" name="KSOTemplateDocerSaveRecord">
    <vt:lpwstr>eyJoZGlkIjoiZTY2N2RmOTJiZGIxZmM1OWVkYTUxZmVlZDYwMzhiNjgiLCJ1c2VySWQiOiIyNjIxNDcwNzEifQ==</vt:lpwstr>
  </property>
</Properties>
</file>