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spacing w:beforeLines="0" w:before="93"/>
        <w:rPr>
          <w:rFonts w:ascii="Times New Roman" w:eastAsia="方正小标宋简体" w:hAnsi="Times New Roman"/>
          <w:kern w:val="2"/>
          <w:sz w:val="72"/>
          <w:szCs w:val="72"/>
        </w:rPr>
      </w:pPr>
      <w:bookmarkStart w:id="0" w:name="_Toc15396597"/>
      <w:bookmarkStart w:id="1" w:name="_Toc15377193"/>
      <w:bookmarkStart w:id="2" w:name="_Toc15396475"/>
      <w:bookmarkStart w:id="3" w:name="_Toc15377425"/>
      <w:bookmarkStart w:id="4" w:name="_Toc15378441"/>
      <w:bookmarkStart w:id="5" w:name="_Toc15306267"/>
    </w:p>
    <w:p>
      <w:pPr>
        <w:pStyle w:val="15"/>
        <w:spacing w:beforeLines="0" w:before="93"/>
        <w:rPr>
          <w:rFonts w:ascii="Times New Roman" w:eastAsia="方正小标宋简体" w:hAnsi="Times New Roman"/>
          <w:kern w:val="2"/>
          <w:sz w:val="72"/>
          <w:szCs w:val="72"/>
        </w:rPr>
      </w:pPr>
    </w:p>
    <w:p/>
    <w:p>
      <w:pPr>
        <w:pStyle w:val="15"/>
        <w:spacing w:beforeLines="0" w:before="93"/>
        <w:jc w:val="center"/>
        <w:rPr>
          <w:rFonts w:ascii="Times New Roman" w:eastAsia="方正小标宋简体" w:hAnsi="Times New Roman"/>
          <w:kern w:val="2"/>
          <w:sz w:val="44"/>
          <w:szCs w:val="44"/>
        </w:rPr>
      </w:pPr>
    </w:p>
    <w:p>
      <w:pPr>
        <w:pStyle w:val="15"/>
        <w:spacing w:beforeLines="0" w:before="93"/>
        <w:jc w:val="center"/>
        <w:rPr>
          <w:rFonts w:ascii="Times New Roman" w:eastAsia="方正小标宋简体" w:hAnsi="Times New Roman"/>
          <w:kern w:val="2"/>
          <w:sz w:val="44"/>
          <w:szCs w:val="44"/>
        </w:rPr>
      </w:pPr>
    </w:p>
    <w:p>
      <w:pPr>
        <w:pStyle w:val="15"/>
        <w:spacing w:beforeLines="0" w:before="93"/>
        <w:jc w:val="center"/>
        <w:rPr>
          <w:rFonts w:ascii="Times New Roman" w:eastAsia="方正小标宋简体" w:hAnsi="Times New Roman"/>
          <w:kern w:val="2"/>
          <w:sz w:val="44"/>
          <w:szCs w:val="44"/>
        </w:rPr>
      </w:pPr>
    </w:p>
    <w:p>
      <w:pPr>
        <w:pStyle w:val="15"/>
        <w:spacing w:beforeLines="0" w:before="93"/>
        <w:jc w:val="center"/>
        <w:rPr>
          <w:rFonts w:ascii="Times New Roman" w:eastAsia="方正小标宋简体" w:hAnsi="Times New Roman"/>
          <w:kern w:val="2"/>
          <w:sz w:val="44"/>
          <w:szCs w:val="44"/>
        </w:rPr>
      </w:pPr>
    </w:p>
    <w:p>
      <w:pPr>
        <w:spacing w:line="600" w:lineRule="exact"/>
        <w:jc w:val="center"/>
        <w:rPr>
          <w:rFonts w:ascii="方正小标宋简体" w:eastAsia="方正小标宋简体"/>
          <w:sz w:val="72"/>
          <w:szCs w:val="72"/>
        </w:rPr>
      </w:pPr>
      <w:bookmarkEnd w:id="0"/>
      <w:bookmarkEnd w:id="1"/>
      <w:bookmarkEnd w:id="2"/>
      <w:bookmarkEnd w:id="3"/>
      <w:bookmarkEnd w:id="4"/>
      <w:bookmarkEnd w:id="5"/>
    </w:p>
    <w:p>
      <w:pPr>
        <w:adjustRightInd w:val="0"/>
        <w:snapToGrid w:val="0"/>
        <w:spacing w:line="360" w:lineRule="auto"/>
        <w:jc w:val="center"/>
        <w:outlineLvl w:val="0"/>
        <w:rPr>
          <w:rFonts w:ascii="方正小标宋简体" w:eastAsia="方正小标宋简体" w:cs="方正小标宋简体"/>
          <w:sz w:val="52"/>
          <w:szCs w:val="52"/>
        </w:rPr>
      </w:pPr>
      <w:bookmarkStart w:id="6" w:name="_Toc26459"/>
      <w:bookmarkStart w:id="7" w:name="_Toc1313083999"/>
      <w:r>
        <w:rPr>
          <w:rFonts w:ascii="方正小标宋简体" w:eastAsia="方正小标宋简体" w:cs="方正小标宋简体" w:hint="eastAsia"/>
          <w:sz w:val="52"/>
          <w:szCs w:val="52"/>
        </w:rPr>
        <w:t>2025年度</w:t>
      </w:r>
      <w:bookmarkStart w:id="8" w:name="_Toc15378442"/>
      <w:bookmarkStart w:id="9" w:name="_Toc15396476"/>
      <w:bookmarkStart w:id="10" w:name="_Toc15396598"/>
      <w:bookmarkStart w:id="11" w:name="_Toc15377194"/>
      <w:bookmarkStart w:id="12" w:name="_Toc15377426"/>
      <w:bookmarkEnd w:id="6"/>
      <w:bookmarkEnd w:id="7"/>
    </w:p>
    <w:p>
      <w:pPr>
        <w:adjustRightInd w:val="0"/>
        <w:snapToGrid w:val="0"/>
        <w:spacing w:line="360" w:lineRule="auto"/>
        <w:jc w:val="center"/>
        <w:outlineLvl w:val="0"/>
        <w:rPr>
          <w:rFonts w:ascii="方正小标宋简体" w:eastAsia="方正小标宋简体" w:cs="方正小标宋简体"/>
          <w:sz w:val="52"/>
          <w:szCs w:val="52"/>
        </w:rPr>
      </w:pPr>
      <w:bookmarkStart w:id="13" w:name="_Toc23238"/>
      <w:bookmarkStart w:id="14" w:name="_Toc10752"/>
      <w:bookmarkStart w:id="15" w:name="_Toc680846325"/>
      <w:bookmarkStart w:id="16" w:name="_Toc15306268"/>
      <w:r>
        <w:rPr>
          <w:rFonts w:ascii="方正小标宋简体" w:eastAsia="方正小标宋简体" w:cs="方正小标宋简体" w:hint="eastAsia"/>
          <w:sz w:val="52"/>
          <w:szCs w:val="52"/>
        </w:rPr>
        <w:t>中共若尔盖县委宣传部</w:t>
      </w:r>
      <w:bookmarkEnd w:id="13"/>
      <w:bookmarkEnd w:id="14"/>
      <w:bookmarkEnd w:id="15"/>
    </w:p>
    <w:p>
      <w:pPr>
        <w:adjustRightInd w:val="0"/>
        <w:snapToGrid w:val="0"/>
        <w:spacing w:line="360" w:lineRule="auto"/>
        <w:jc w:val="center"/>
        <w:outlineLvl w:val="0"/>
        <w:rPr>
          <w:rFonts w:ascii="方正小标宋简体" w:eastAsia="方正小标宋简体" w:cs="方正小标宋简体"/>
          <w:sz w:val="52"/>
          <w:szCs w:val="52"/>
        </w:rPr>
      </w:pPr>
      <w:bookmarkStart w:id="17" w:name="_Toc3248"/>
      <w:bookmarkStart w:id="18" w:name="_Toc607425004"/>
      <w:r>
        <w:rPr>
          <w:rFonts w:ascii="方正小标宋简体" w:eastAsia="方正小标宋简体" w:cs="方正小标宋简体" w:hint="eastAsia"/>
          <w:sz w:val="52"/>
          <w:szCs w:val="52"/>
        </w:rPr>
        <w:t>县互联网不良与违法信息举报中心决算</w:t>
      </w:r>
      <w:bookmarkEnd w:id="8"/>
      <w:bookmarkEnd w:id="9"/>
      <w:bookmarkEnd w:id="10"/>
      <w:bookmarkEnd w:id="11"/>
      <w:bookmarkEnd w:id="12"/>
      <w:bookmarkEnd w:id="16"/>
      <w:bookmarkEnd w:id="17"/>
      <w:bookmarkEnd w:id="18"/>
    </w:p>
    <w:p>
      <w:pPr>
        <w:pStyle w:val="24"/>
        <w:tabs>
          <w:tab w:val="right" w:leader="dot" w:pos="8296"/>
        </w:tabs>
        <w:adjustRightInd w:val="0"/>
        <w:snapToGrid w:val="0"/>
        <w:spacing w:line="560" w:lineRule="exact"/>
        <w:jc w:val="left"/>
        <w:rPr>
          <w:rFonts w:eastAsia="仿宋_GB2312" w:cs="仿宋_GB2312"/>
          <w:sz w:val="32"/>
          <w:szCs w:val="32"/>
        </w:rPr>
      </w:pPr>
    </w:p>
    <w:p>
      <w:pPr>
        <w:widowControl/>
        <w:jc w:val="center"/>
        <w:rPr>
          <w:rFonts w:eastAsia="黑体"/>
          <w:sz w:val="48"/>
          <w:szCs w:val="48"/>
        </w:rPr>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pPr>
    </w:p>
    <w:p>
      <w:pPr>
        <w:widowControl/>
        <w:jc w:val="center"/>
        <w:rPr>
          <w:rFonts w:eastAsia="黑体"/>
          <w:sz w:val="48"/>
          <w:szCs w:val="48"/>
        </w:rPr>
      </w:pPr>
      <w:r>
        <w:rPr>
          <w:rFonts w:eastAsia="黑体" w:hint="eastAsia"/>
          <w:sz w:val="48"/>
          <w:szCs w:val="48"/>
        </w:rPr>
        <w:t>目录</w:t>
      </w:r>
    </w:p>
    <w:p>
      <w:pPr>
        <w:widowControl/>
        <w:jc w:val="center"/>
        <w:rPr>
          <w:rFonts w:eastAsia="黑体" w:cs="Arial"/>
          <w:sz w:val="28"/>
          <w:szCs w:val="28"/>
        </w:rPr>
      </w:pPr>
    </w:p>
    <w:p>
      <w:pPr>
        <w:pStyle w:val="21"/>
        <w:tabs>
          <w:tab w:val="right" w:leader="dot" w:pos="8296"/>
        </w:tabs>
        <w:rPr>
          <w:rFonts w:ascii="Times New Roman" w:eastAsia="仿宋_GB2312" w:cs="仿宋_GB2312" w:hAnsi="Times New Roman"/>
          <w:sz w:val="32"/>
          <w:szCs w:val="32"/>
        </w:rPr>
      </w:pPr>
      <w:r>
        <w:rPr>
          <w:rFonts w:ascii="Times New Roman" w:eastAsia="仿宋_GB2312" w:cs="仿宋_GB2312" w:hAnsi="Times New Roman" w:hint="eastAsia"/>
          <w:sz w:val="32"/>
          <w:szCs w:val="32"/>
        </w:rPr>
        <w:t>公开时间：2026年 10月10日</w:t>
      </w:r>
    </w:p>
    <w:p>
      <w:pPr>
        <w:pStyle w:val="36"/>
        <w:tabs>
          <w:tab w:val="right" w:leader="hyphen" w:pos="8306"/>
        </w:tabs>
        <w:rPr>
          <w:b/>
        </w:rPr>
      </w:pP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"_Toc293103019"</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第一部分 单位概况</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_Toc293103019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- 3-</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"_Toc423788668"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一、 单位职责</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_Toc423788668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"_Toc860697966"</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二、机构设置</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_Toc860697966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- 3 -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"_Toc1245543918"</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第二部分  2024年度单位决算情况说明</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_Toc1245543918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- 4-</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"_Toc1826487918"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一、收入支出决算总体情况说明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_Toc1826487918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"_Toc1172327252"</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二、收入决算情况说明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_Toc1172327252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- 4-</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"_Toc1193288579"</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三、支出决算情况说明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_Toc1193288579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"_Toc592087390"</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四、财政拨款收入支出决算总体情况说明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_Toc592087390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- 5-</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"_Toc859273098"</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五、一般公共预算财政拨款支出决算情况说明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_Toc859273098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- 6 -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"_Toc645881381"</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六、一般公共预算财政拨款基本支出决算情况说明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_Toc645881381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- 8-</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"_Toc194655344"</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七、财政拨款“三公”经费支出决算情况说明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_Toc194655344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-9-</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"_Toc1933586384"</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八、政府性基金预算支出决算情况说明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_Toc1933586384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"_Toc1415691634"</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九、国有资本经营预算支出决算情况说明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_Toc1415691634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7"/>
        <w:tabs>
          <w:tab w:val="right" w:leader="hyphen" w:pos="8306"/>
        </w:tabs>
        <w:rPr>
          <w:rFonts w:ascii="方正仿宋_GBK" w:eastAsia="方正仿宋_GBK" w:cs="方正仿宋_GBK"/>
          <w:sz w:val="32"/>
          <w:szCs w:val="32"/>
        </w:rPr>
      </w:pPr>
      <w:r>
        <w:rPr>
          <w:rFonts w:ascii="方正仿宋_GBK" w:eastAsia="方正仿宋_GBK" w:cs="方正仿宋_GBK" w:hint="eastAsia"/>
          <w:sz w:val="32"/>
          <w:szCs w:val="32"/>
        </w:rPr>
        <w:fldChar w:fldCharType="begin"/>
      </w:r>
      <w:r>
        <w:instrText>HYPERLINK  \l "_Toc1624507801"</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十、其他重要事项的情况说明</w:t>
        <w:tab/>
      </w:r>
      <w:r>
        <w:rPr>
          <w:rFonts w:ascii="方正仿宋_GBK" w:eastAsia="方正仿宋_GBK" w:cs="方正仿宋_GBK" w:hint="eastAsia"/>
          <w:sz w:val="32"/>
          <w:szCs w:val="32"/>
        </w:rPr>
        <w:fldChar w:fldCharType="begin"/>
      </w:r>
      <w:r>
        <w:rPr>
          <w:rFonts w:ascii="方正仿宋_GBK" w:eastAsia="方正仿宋_GBK" w:cs="方正仿宋_GBK" w:hint="eastAsia"/>
          <w:sz w:val="32"/>
          <w:szCs w:val="32"/>
        </w:rPr>
        <w:instrText xml:space="preserve"> PAGEREF _Toc1624507801 \h </w:instrText>
      </w:r>
      <w:r>
        <w:rPr>
          <w:rFonts w:ascii="方正仿宋_GBK" w:eastAsia="方正仿宋_GBK" w:cs="方正仿宋_GBK" w:hint="eastAsia"/>
          <w:sz w:val="32"/>
          <w:szCs w:val="32"/>
        </w:rPr>
        <w:fldChar w:fldCharType="separate"/>
      </w:r>
      <w:r>
        <w:rPr>
          <w:rFonts w:ascii="方正仿宋_GBK" w:eastAsia="方正仿宋_GBK" w:cs="方正仿宋_GBK" w:hint="eastAsia"/>
          <w:sz w:val="32"/>
          <w:szCs w:val="32"/>
        </w:rPr>
        <w:t>- 10 -</w:t>
      </w:r>
      <w:r>
        <w:rPr>
          <w:rFonts w:ascii="方正仿宋_GBK" w:eastAsia="方正仿宋_GBK" w:cs="方正仿宋_GBK" w:hint="eastAsia"/>
          <w:sz w:val="32"/>
          <w:szCs w:val="32"/>
        </w:rPr>
        <w:fldChar w:fldCharType="end"/>
      </w:r>
      <w:r>
        <w:rPr>
          <w:rFonts w:ascii="方正仿宋_GBK" w:eastAsia="方正仿宋_GBK" w:cs="方正仿宋_GBK" w:hint="eastAsia"/>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"_Toc182479496"</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第三部分  名词解释</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_Toc182479496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- 12-</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36"/>
        <w:tabs>
          <w:tab w:val="right" w:leader="hyphen" w:pos="8306"/>
        </w:tabs>
        <w:rPr>
          <w:rFonts w:ascii="方正仿宋_GBK" w:eastAsia="方正仿宋_GBK" w:cs="方正仿宋_GBK"/>
          <w:b/>
          <w:sz w:val="32"/>
          <w:szCs w:val="32"/>
        </w:rPr>
      </w:pPr>
      <w:r>
        <w:rPr>
          <w:rFonts w:ascii="方正仿宋_GBK" w:eastAsia="方正仿宋_GBK" w:cs="方正仿宋_GBK" w:hint="eastAsia"/>
          <w:b/>
          <w:sz w:val="32"/>
          <w:szCs w:val="32"/>
        </w:rPr>
        <w:fldChar w:fldCharType="begin"/>
      </w:r>
      <w:r>
        <w:instrText>HYPERLINK  \l "_Toc606248651"</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第四部分  附件</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_Toc606248651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- 14 -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jc w:val="left"/>
        <w:rPr>
          <w:b/>
        </w:rPr>
      </w:pPr>
      <w:r>
        <w:rPr>
          <w:rFonts w:ascii="方正仿宋_GBK" w:eastAsia="方正仿宋_GBK" w:cs="方正仿宋_GBK" w:hint="eastAsia"/>
          <w:b/>
          <w:sz w:val="32"/>
          <w:szCs w:val="32"/>
        </w:rPr>
        <w:fldChar w:fldCharType="begin"/>
      </w:r>
      <w:r>
        <w:instrText>HYPERLINK  \l "_Toc1765431715"</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第五部分 附表</w:t>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jc w:val="left"/>
        <w:rPr>
          <w:rFonts w:eastAsia="仿宋_GB2312" w:cs="仿宋_GB2312"/>
          <w:sz w:val="32"/>
          <w:szCs w:val="32"/>
        </w:rPr>
      </w:pPr>
      <w:r>
        <w:rPr>
          <w:rFonts w:eastAsia="仿宋_GB2312" w:cs="仿宋_GB2312" w:hint="eastAsia"/>
          <w:sz w:val="32"/>
          <w:szCs w:val="32"/>
        </w:rPr>
        <w:t>一、收入支出决算总表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15 -</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w:t>
      </w:r>
      <w:r>
        <w:rPr>
          <w:rFonts w:ascii="方正仿宋_GBK" w:eastAsia="方正仿宋_GBK" w:cs="方正仿宋_GBK" w:hint="eastAsia"/>
          <w:b/>
          <w:sz w:val="32"/>
          <w:szCs w:val="32"/>
        </w:rPr>
        <w:fldChar w:fldCharType="end"/>
      </w:r>
    </w:p>
    <w:p>
      <w:pPr>
        <w:pStyle w:val="24"/>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ascii="方正仿宋_GBK" w:eastAsia="方正仿宋_GBK" w:cs="方正仿宋_GBK" w:hint="eastAsia"/>
          <w:b/>
          <w:sz w:val="32"/>
          <w:szCs w:val="32"/>
        </w:rPr>
        <w:tab/>
      </w:r>
      <w:r>
        <w:rPr>
          <w:rFonts w:ascii="方正仿宋_GBK" w:eastAsia="方正仿宋_GBK" w:cs="方正仿宋_GBK" w:hint="eastAsia"/>
          <w:b/>
          <w:sz w:val="32"/>
          <w:szCs w:val="32"/>
        </w:rPr>
        <w:fldChar w:fldCharType="begin"/>
      </w:r>
      <w:r>
        <w:rPr>
          <w:rFonts w:ascii="方正仿宋_GBK" w:eastAsia="方正仿宋_GBK" w:cs="方正仿宋_GBK" w:hint="eastAsia"/>
          <w:b/>
          <w:sz w:val="32"/>
          <w:szCs w:val="32"/>
        </w:rPr>
        <w:instrText xml:space="preserve"> PAGEREF _Toc1765431715 \h </w:instrText>
      </w:r>
      <w:r>
        <w:rPr>
          <w:rFonts w:ascii="方正仿宋_GBK" w:eastAsia="方正仿宋_GBK" w:cs="方正仿宋_GBK" w:hint="eastAsia"/>
          <w:b/>
          <w:sz w:val="32"/>
          <w:szCs w:val="32"/>
        </w:rPr>
        <w:fldChar w:fldCharType="separate"/>
      </w:r>
      <w:r>
        <w:rPr>
          <w:rFonts w:ascii="方正仿宋_GBK" w:eastAsia="方正仿宋_GBK" w:cs="方正仿宋_GBK" w:hint="eastAsia"/>
          <w:b/>
          <w:sz w:val="32"/>
          <w:szCs w:val="32"/>
        </w:rPr>
        <w:t>- 15 -</w:t>
      </w:r>
      <w:r>
        <w:rPr>
          <w:rFonts w:ascii="方正仿宋_GBK" w:eastAsia="方正仿宋_GBK" w:cs="方正仿宋_GBK" w:hint="eastAsia"/>
          <w:b/>
          <w:sz w:val="32"/>
          <w:szCs w:val="32"/>
        </w:rPr>
        <w:fldChar w:fldCharType="end"/>
      </w:r>
    </w:p>
    <w:p>
      <w:pPr>
        <w:widowControl/>
        <w:spacing w:line="560" w:lineRule="exact"/>
        <w:jc w:val="left"/>
      </w:pPr>
      <w:bookmarkStart w:id="19" w:name="_Toc15396599"/>
      <w:bookmarkStart w:id="20" w:name="_Toc15377196"/>
      <w:r>
        <w:rPr>
          <w:rFonts w:eastAsia="仿宋_GB2312" w:cs="仿宋_GB2312" w:hint="eastAsia"/>
          <w:b/>
          <w:sz w:val="32"/>
          <w:szCs w:val="32"/>
        </w:rPr>
        <w:br w:type="page"/>
      </w:r>
    </w:p>
    <w:p>
      <w:pPr>
        <w:pStyle w:val="1"/>
        <w:jc w:val="center"/>
        <w:rPr>
          <w:rFonts w:eastAsia="黑体"/>
          <w:sz w:val="32"/>
          <w:szCs w:val="32"/>
        </w:rPr>
      </w:pPr>
      <w:bookmarkStart w:id="21" w:name="_Toc293103019"/>
      <w:r>
        <w:rPr>
          <w:rFonts w:eastAsia="方正小标宋简体" w:cs="方正小标宋简体" w:hint="eastAsia"/>
          <w:b w:val="0"/>
        </w:rPr>
        <w:t xml:space="preserve">第一部分  </w:t>
      </w:r>
      <w:r>
        <w:rPr>
          <w:rStyle w:val="1Char"/>
          <w:rFonts w:eastAsia="方正小标宋简体" w:cs="方正小标宋简体" w:hint="eastAsia"/>
        </w:rPr>
        <w:t>单位概况</w:t>
      </w:r>
      <w:bookmarkEnd w:id="19"/>
      <w:bookmarkEnd w:id="20"/>
      <w:bookmarkEnd w:id="21"/>
    </w:p>
    <w:p>
      <w:pPr>
        <w:pStyle w:val="2"/>
        <w:numPr>
          <w:ilvl w:val="0"/>
          <w:numId w:val="1"/>
        </w:numPr>
        <w:rPr>
          <w:rFonts w:ascii="Times New Roman" w:eastAsia="黑体" w:hAnsi="Times New Roman"/>
          <w:b w:val="0"/>
        </w:rPr>
      </w:pPr>
      <w:bookmarkStart w:id="22" w:name="_Toc423788668"/>
      <w:r>
        <w:rPr>
          <w:rFonts w:ascii="Times New Roman" w:eastAsia="黑体" w:hAnsi="Times New Roman" w:hint="eastAsia"/>
          <w:b w:val="0"/>
        </w:rPr>
        <w:t>单位职责</w:t>
      </w:r>
      <w:bookmarkEnd w:id="22"/>
    </w:p>
    <w:p>
      <w:r>
        <w:rPr>
          <w:rFonts w:hint="eastAsia"/>
        </w:rPr>
        <w:t xml:space="preserve">     </w:t>
      </w:r>
      <w:r>
        <w:rPr>
          <w:rFonts w:ascii="仿宋_GB2312" w:eastAsia="仿宋_GB2312" w:hint="eastAsia"/>
          <w:kern w:val="0"/>
          <w:sz w:val="32"/>
          <w:szCs w:val="32"/>
        </w:rPr>
        <w:t>县互联网不良与违法信息举报中心（正股级），挂靠无编制机构有县委网信办。主要工作职责是：负责指导网络舆情监督管理工作，负责新闻舆论宏观管理；负责突发事件应急宣传和舆论引导；负责协调开展重大新闻宣传报道活动。</w:t>
      </w:r>
    </w:p>
    <w:p>
      <w:pPr>
        <w:pStyle w:val="2"/>
        <w:rPr>
          <w:rStyle w:val="2Char"/>
          <w:rFonts w:ascii="Times New Roman" w:hAnsi="Times New Roman"/>
        </w:rPr>
      </w:pPr>
      <w:bookmarkStart w:id="23" w:name="_Toc15396601"/>
      <w:bookmarkStart w:id="24" w:name="_Toc15377200"/>
      <w:bookmarkStart w:id="25" w:name="_Toc860697966"/>
      <w:r>
        <w:rPr>
          <w:rFonts w:ascii="Times New Roman" w:eastAsia="黑体" w:hAnsi="Times New Roman" w:hint="eastAsia"/>
          <w:b w:val="0"/>
        </w:rPr>
        <w:t>二、机</w:t>
      </w:r>
      <w:r>
        <w:rPr>
          <w:rStyle w:val="2Char"/>
          <w:rFonts w:ascii="Times New Roman" w:eastAsia="黑体" w:hAnsi="Times New Roman" w:hint="eastAsia"/>
        </w:rPr>
        <w:t>构设置</w:t>
      </w:r>
      <w:bookmarkEnd w:id="23"/>
      <w:bookmarkEnd w:id="24"/>
      <w:bookmarkEnd w:id="25"/>
    </w:p>
    <w:p>
      <w:pPr>
        <w:ind w:firstLineChars="200" w:firstLine="640"/>
        <w:rPr>
          <w:rFonts w:ascii="仿宋_GB2312" w:eastAsia="仿宋_GB2312"/>
          <w:kern w:val="0"/>
          <w:sz w:val="32"/>
          <w:szCs w:val="32"/>
        </w:rPr>
      </w:pPr>
      <w:r>
        <w:rPr>
          <w:rFonts w:ascii="仿宋_GB2312" w:eastAsia="仿宋_GB2312" w:hint="eastAsia"/>
          <w:kern w:val="0"/>
          <w:sz w:val="32"/>
          <w:szCs w:val="32"/>
        </w:rPr>
        <w:t>宣传部下属二级单位2个，其中行政单位1个，参照公务员法管理的事业单位0个，其他事业单位2个。部门独立核算机构为1个，其中：行政机构编制数为1个,事业管理机构编制数为2个,事业和行政共用一个机构代码，归行政机构统一管理。机构情况，当年机构无变动。</w:t>
      </w:r>
    </w:p>
    <w:p>
      <w:pPr>
        <w:ind w:firstLineChars="200" w:firstLine="640"/>
        <w:rPr>
          <w:rFonts w:ascii="仿宋_GB2312" w:eastAsia="仿宋_GB2312"/>
          <w:kern w:val="0"/>
          <w:sz w:val="32"/>
          <w:szCs w:val="32"/>
        </w:rPr>
      </w:pPr>
      <w:r>
        <w:rPr>
          <w:rFonts w:ascii="仿宋_GB2312" w:eastAsia="仿宋_GB2312" w:hint="eastAsia"/>
          <w:kern w:val="0"/>
          <w:sz w:val="32"/>
          <w:szCs w:val="32"/>
        </w:rPr>
        <w:t>纳入宣传部2025年度部门决算编制范围的二级预算单位包括：</w:t>
      </w:r>
      <w:bookmarkStart w:id="26" w:name="_Toc15377203"/>
      <w:bookmarkStart w:id="27" w:name="_Toc15378450"/>
      <w:bookmarkStart w:id="28" w:name="_Toc15306277"/>
      <w:bookmarkStart w:id="29" w:name="_Toc15377434"/>
      <w:bookmarkStart w:id="30" w:name="_Toc79163608"/>
      <w:bookmarkStart w:id="31" w:name="_Toc79163858"/>
    </w:p>
    <w:p>
      <w:pPr>
        <w:ind w:firstLineChars="200" w:firstLine="640"/>
        <w:rPr>
          <w:rFonts w:ascii="仿宋_GB2312" w:eastAsia="仿宋_GB2312"/>
          <w:kern w:val="0"/>
          <w:sz w:val="32"/>
          <w:szCs w:val="32"/>
        </w:rPr>
      </w:pPr>
      <w:bookmarkEnd w:id="26"/>
      <w:bookmarkEnd w:id="27"/>
      <w:bookmarkEnd w:id="28"/>
      <w:bookmarkEnd w:id="29"/>
      <w:bookmarkEnd w:id="30"/>
      <w:bookmarkEnd w:id="31"/>
      <w:r>
        <w:rPr>
          <w:rFonts w:ascii="仿宋_GB2312" w:eastAsia="仿宋_GB2312" w:hint="eastAsia"/>
          <w:kern w:val="0"/>
          <w:sz w:val="32"/>
          <w:szCs w:val="32"/>
        </w:rPr>
        <w:t>县互联网不良信息举报中心事业编制6名，其在职人员5人。</w:t>
      </w:r>
    </w:p>
    <w:p>
      <w:pPr>
        <w:widowControl/>
        <w:jc w:val="left"/>
        <w:rPr>
          <w:rFonts w:eastAsia="仿宋"/>
          <w:kern w:val="0"/>
          <w:sz w:val="32"/>
          <w:szCs w:val="32"/>
        </w:rPr>
      </w:pPr>
      <w:r>
        <w:rPr>
          <w:rFonts w:eastAsia="仿宋"/>
          <w:sz w:val="32"/>
          <w:szCs w:val="32"/>
        </w:rPr>
        <w:br w:type="page"/>
      </w:r>
    </w:p>
    <w:p>
      <w:pPr>
        <w:pStyle w:val="1"/>
        <w:jc w:val="center"/>
        <w:rPr>
          <w:rFonts w:eastAsia="方正小标宋简体" w:cs="方正小标宋简体"/>
          <w:b w:val="0"/>
        </w:rPr>
      </w:pPr>
      <w:bookmarkStart w:id="32" w:name="_Toc15377204"/>
      <w:bookmarkStart w:id="33" w:name="_Toc15396602"/>
      <w:bookmarkStart w:id="34" w:name="_Toc1245543918"/>
      <w:r>
        <w:rPr>
          <w:rFonts w:eastAsia="方正小标宋简体" w:cs="方正小标宋简体" w:hint="eastAsia"/>
          <w:b w:val="0"/>
        </w:rPr>
        <w:t>第二部分  2025年度单位决算情况说明</w:t>
      </w:r>
      <w:bookmarkEnd w:id="32"/>
      <w:bookmarkEnd w:id="33"/>
      <w:bookmarkEnd w:id="34"/>
    </w:p>
    <w:p>
      <w:pPr>
        <w:pStyle w:val="32"/>
        <w:spacing w:line="600" w:lineRule="exact"/>
        <w:outlineLvl w:val="1"/>
        <w:rPr>
          <w:rStyle w:val="2Char"/>
          <w:rFonts w:ascii="Times New Roman" w:eastAsia="黑体" w:hAnsi="Times New Roman"/>
          <w:b w:val="0"/>
        </w:rPr>
      </w:pPr>
      <w:bookmarkStart w:id="35" w:name="_Toc15377205"/>
      <w:bookmarkStart w:id="36" w:name="_Toc15396603"/>
      <w:bookmarkStart w:id="37" w:name="_Toc1826487918"/>
      <w:r>
        <w:rPr>
          <w:rFonts w:eastAsia="黑体" w:hint="eastAsia"/>
          <w:sz w:val="32"/>
          <w:szCs w:val="32"/>
        </w:rPr>
        <w:t>一、收</w:t>
      </w:r>
      <w:r>
        <w:rPr>
          <w:rStyle w:val="2Char"/>
          <w:rFonts w:ascii="Times New Roman" w:eastAsia="黑体" w:hAnsi="Times New Roman" w:hint="eastAsia"/>
          <w:b w:val="0"/>
        </w:rPr>
        <w:t>入支出决算总体情况说明</w:t>
      </w:r>
      <w:bookmarkEnd w:id="35"/>
      <w:bookmarkEnd w:id="36"/>
      <w:bookmarkEnd w:id="37"/>
    </w:p>
    <w:p>
      <w:pPr>
        <w:pStyle w:val="32"/>
        <w:spacing w:line="600" w:lineRule="exact"/>
        <w:outlineLvl w:val="1"/>
        <w:rPr>
          <w:rFonts w:eastAsia="仿宋_GB2312" w:cs="仿宋_GB2312"/>
          <w:sz w:val="32"/>
          <w:szCs w:val="32"/>
        </w:rPr>
      </w:pPr>
      <w:bookmarkStart w:id="38" w:name="_Toc1104846955"/>
      <w:r>
        <w:rPr>
          <w:rFonts w:eastAsia="仿宋_GB2312" w:cs="仿宋_GB2312" w:hint="eastAsia"/>
          <w:sz w:val="32"/>
          <w:szCs w:val="32"/>
        </w:rPr>
        <w:t>2025年度收入112.03万元、支出</w:t>
      </w:r>
      <w:r>
        <w:rPr>
          <w:rFonts w:ascii="仿宋_GB2312" w:eastAsia="仿宋_GB2312" w:cs="仿宋_GB2312" w:hint="eastAsia"/>
          <w:sz w:val="32"/>
          <w:szCs w:val="32"/>
        </w:rPr>
        <w:t>121.53</w:t>
      </w:r>
      <w:r>
        <w:rPr>
          <w:rFonts w:eastAsia="仿宋_GB2312" w:cs="仿宋_GB2312" w:hint="eastAsia"/>
          <w:sz w:val="32"/>
          <w:szCs w:val="32"/>
        </w:rPr>
        <w:t>万元。与2024年度相比，收入、支出总计各增加6.54万元、7.3万元，增长6.19%、6.39%。主要变动原因是项目资金和人员变动。</w:t>
      </w:r>
      <w:bookmarkEnd w:id="38"/>
    </w:p>
    <w:p>
      <w:pPr>
        <w:rPr>
          <w:rFonts w:eastAsia="仿宋_GB2312" w:cs="仿宋_GB2312"/>
          <w:sz w:val="32"/>
          <w:szCs w:val="32"/>
        </w:rPr>
      </w:pPr>
      <w:r>
        <w:rPr>
          <w:rFonts w:eastAsia="仿宋_GB2312" w:cs="仿宋_GB2312" w:hint="eastAsia"/>
          <w:sz w:val="32"/>
          <w:szCs w:val="32"/>
          <w:lang w:bidi="bo-CN"/>
        </w:rPr>
        <w:drawing>
          <wp:inline distT="0" distB="0" distL="114300" distR="114300">
            <wp:extent cx="4709160" cy="2333625"/>
            <wp:effectExtent l="0" t="0" r="0" b="0"/>
            <wp:docPr id="7" name="图表 1"/>
            <wp:cNvGraphicFramePr>
              <a:graphicFrameLocks noChangeAspect="0"/>
            </wp:cNvGraphicFramePr>
            <a:graphic>
              <a:graphicData uri="http://schemas.openxmlformats.org/drawingml/2006/picture">
                <pic:pic>
                  <pic:nvPicPr>
                    <pic:cNvPr id="9" name="图表 1 9"/>
                    <pic:cNvPicPr/>
                  </pic:nvPicPr>
                  <pic:blipFill>
                    <a:blip r:embed="rId6"/>
                    <a:stretch>
                      <a:fillRect/>
                    </a:stretch>
                  </pic:blipFill>
                  <pic:spPr>
                    <a:xfrm rot="0">
                      <a:off x="0" y="0"/>
                      <a:ext cx="4709160" cy="2333625"/>
                    </a:xfrm>
                    <a:prstGeom prst="rect"/>
                    <a:ln w="9525" cmpd="sng" cap="flat">
                      <a:solidFill>
                        <a:srgbClr val="000000"/>
                      </a:solidFill>
                      <a:prstDash val="solid"/>
                      <a:miter/>
                    </a:ln>
                  </pic:spPr>
                </pic:pic>
              </a:graphicData>
            </a:graphic>
          </wp:inline>
        </w:drawing>
      </w:r>
    </w:p>
    <w:p>
      <w:pPr>
        <w:ind w:firstLineChars="200" w:firstLine="640"/>
        <w:rPr>
          <w:rFonts w:eastAsia="仿宋_GB2312" w:cs="仿宋_GB2312"/>
          <w:sz w:val="32"/>
          <w:szCs w:val="32"/>
        </w:rPr>
      </w:pPr>
      <w:r>
        <w:rPr>
          <w:rFonts w:eastAsia="仿宋_GB2312" w:cs="仿宋_GB2312" w:hint="eastAsia"/>
          <w:sz w:val="32"/>
          <w:szCs w:val="32"/>
        </w:rPr>
        <w:t>（图1：收入、支出决算总计变动情况图）（柱状图）</w:t>
      </w:r>
    </w:p>
    <w:p>
      <w:pPr>
        <w:pStyle w:val="32"/>
        <w:spacing w:line="600" w:lineRule="exact"/>
        <w:outlineLvl w:val="1"/>
        <w:rPr>
          <w:rFonts w:eastAsia="黑体"/>
          <w:sz w:val="32"/>
          <w:szCs w:val="32"/>
        </w:rPr>
      </w:pPr>
      <w:bookmarkStart w:id="39" w:name="_Toc15377206"/>
      <w:bookmarkStart w:id="40" w:name="_Toc15396604"/>
      <w:bookmarkStart w:id="41" w:name="_Toc1172327252"/>
      <w:r>
        <w:rPr>
          <w:rFonts w:eastAsia="黑体" w:hint="eastAsia"/>
          <w:sz w:val="32"/>
          <w:szCs w:val="32"/>
        </w:rPr>
        <w:t>二、收入决算情况说明</w:t>
      </w:r>
      <w:bookmarkEnd w:id="39"/>
      <w:bookmarkEnd w:id="40"/>
      <w:bookmarkEnd w:id="41"/>
    </w:p>
    <w:p>
      <w:pPr>
        <w:pStyle w:val="32"/>
        <w:spacing w:line="600" w:lineRule="exact"/>
        <w:jc w:val="left"/>
        <w:outlineLvl w:val="1"/>
        <w:rPr>
          <w:rFonts w:eastAsia="仿宋_GB2312" w:cs="仿宋_GB2312"/>
          <w:b/>
          <w:bCs/>
          <w:sz w:val="32"/>
          <w:szCs w:val="32"/>
        </w:rPr>
      </w:pPr>
      <w:bookmarkStart w:id="42" w:name="_Toc2111863591"/>
      <w:r>
        <w:rPr>
          <w:rFonts w:ascii="仿宋_GB2312" w:eastAsia="仿宋_GB2312" w:cs="仿宋_GB2312" w:hint="eastAsia"/>
          <w:sz w:val="32"/>
          <w:szCs w:val="32"/>
        </w:rPr>
        <w:t>2025年度本年收入合计112.03万元，其中：一般公共预算财政拨款收入112.03万元，占100%；政府性基金预算财政拨款收入0万元，占0%%；国有资本经营预算财政拨款收入0万元，占0%；上级补助收入0万元，占0%；事业收入0万元，占0%；经营收入0万元，占0%；附属单位上缴收入0万元，占0%；其他收入0万元，占0%。</w:t>
      </w:r>
      <w:bookmarkEnd w:id="42"/>
    </w:p>
    <w:p>
      <w:pPr>
        <w:rPr>
          <w:rFonts w:eastAsia="仿宋_GB2312" w:cs="仿宋_GB2312"/>
          <w:sz w:val="32"/>
          <w:szCs w:val="32"/>
        </w:rPr>
      </w:pPr>
      <w:r>
        <w:rPr>
          <w:rFonts w:eastAsia="仿宋_GB2312" w:cs="仿宋_GB2312" w:hint="eastAsia"/>
          <w:sz w:val="32"/>
          <w:szCs w:val="32"/>
        </w:rPr>
        <w:t xml:space="preserve">   </w:t>
      </w:r>
      <w:r>
        <w:rPr>
          <w:rFonts w:eastAsia="仿宋_GB2312" w:cs="仿宋_GB2312" w:hint="eastAsia"/>
          <w:sz w:val="32"/>
          <w:szCs w:val="32"/>
          <w:lang w:bidi="bo-CN"/>
        </w:rPr>
        <w:drawing>
          <wp:inline distT="0" distB="0" distL="114300" distR="114300">
            <wp:extent cx="4262120" cy="2200275"/>
            <wp:effectExtent l="0" t="0" r="0" b="0"/>
            <wp:docPr id="10" name="图表 2"/>
            <wp:cNvGraphicFramePr>
              <a:graphicFrameLocks noChangeAspect="0"/>
            </wp:cNvGraphicFramePr>
            <a:graphic>
              <a:graphicData uri="http://schemas.openxmlformats.org/drawingml/2006/picture">
                <pic:pic>
                  <pic:nvPicPr>
                    <pic:cNvPr id="12" name="图表 2 12"/>
                    <pic:cNvPicPr/>
                  </pic:nvPicPr>
                  <pic:blipFill>
                    <a:blip r:embed="rId7"/>
                    <a:stretch>
                      <a:fillRect/>
                    </a:stretch>
                  </pic:blipFill>
                  <pic:spPr>
                    <a:xfrm rot="0">
                      <a:off x="0" y="0"/>
                      <a:ext cx="4262120" cy="2200275"/>
                    </a:xfrm>
                    <a:prstGeom prst="rect"/>
                    <a:ln w="9525" cmpd="sng" cap="flat">
                      <a:solidFill>
                        <a:srgbClr val="000000"/>
                      </a:solidFill>
                      <a:prstDash val="solid"/>
                      <a:miter/>
                    </a:ln>
                  </pic:spPr>
                </pic:pic>
              </a:graphicData>
            </a:graphic>
          </wp:inline>
        </w:drawing>
      </w:r>
    </w:p>
    <w:p>
      <w:pPr>
        <w:ind w:firstLineChars="250" w:firstLine="800"/>
        <w:rPr>
          <w:rFonts w:eastAsia="仿宋_GB2312" w:cs="仿宋_GB2312"/>
          <w:sz w:val="32"/>
          <w:szCs w:val="32"/>
        </w:rPr>
      </w:pPr>
      <w:r>
        <w:rPr>
          <w:rFonts w:eastAsia="仿宋_GB2312" w:cs="仿宋_GB2312" w:hint="eastAsia"/>
          <w:sz w:val="32"/>
          <w:szCs w:val="32"/>
        </w:rPr>
        <w:t>（图2：收入决算结构图）（饼状图）</w:t>
      </w:r>
    </w:p>
    <w:p>
      <w:pPr>
        <w:pStyle w:val="32"/>
        <w:spacing w:line="600" w:lineRule="exact"/>
        <w:outlineLvl w:val="1"/>
        <w:rPr>
          <w:rStyle w:val="2Char"/>
          <w:rFonts w:ascii="Times New Roman" w:eastAsia="黑体" w:hAnsi="Times New Roman"/>
          <w:b w:val="0"/>
        </w:rPr>
      </w:pPr>
      <w:bookmarkStart w:id="43" w:name="_Toc15377207"/>
      <w:bookmarkStart w:id="44" w:name="_Toc15396605"/>
      <w:bookmarkStart w:id="45" w:name="_Toc1193288579"/>
      <w:r>
        <w:rPr>
          <w:rFonts w:eastAsia="黑体" w:hint="eastAsia"/>
          <w:sz w:val="32"/>
          <w:szCs w:val="32"/>
        </w:rPr>
        <w:t>三、支</w:t>
      </w:r>
      <w:r>
        <w:rPr>
          <w:rStyle w:val="2Char"/>
          <w:rFonts w:ascii="Times New Roman" w:eastAsia="黑体" w:hAnsi="Times New Roman" w:hint="eastAsia"/>
          <w:b w:val="0"/>
        </w:rPr>
        <w:t>出决算情况说明</w:t>
      </w:r>
      <w:bookmarkEnd w:id="43"/>
      <w:bookmarkEnd w:id="44"/>
      <w:bookmarkEnd w:id="45"/>
    </w:p>
    <w:p>
      <w:pPr>
        <w:pStyle w:val="32"/>
        <w:spacing w:line="600" w:lineRule="exact"/>
        <w:jc w:val="left"/>
        <w:outlineLvl w:val="1"/>
        <w:rPr>
          <w:rFonts w:eastAsia="仿宋_GB2312" w:cs="仿宋_GB2312"/>
          <w:b/>
          <w:bCs/>
          <w:sz w:val="32"/>
          <w:szCs w:val="32"/>
        </w:rPr>
      </w:pPr>
      <w:bookmarkStart w:id="46" w:name="_Toc1579712822"/>
      <w:r>
        <w:rPr>
          <w:rFonts w:ascii="仿宋_GB2312" w:eastAsia="仿宋_GB2312" w:cs="仿宋_GB2312" w:hint="eastAsia"/>
          <w:sz w:val="32"/>
          <w:szCs w:val="32"/>
        </w:rPr>
        <w:t>2025年度本年支出合计121.53万元，其中：基本支出112.03万元，占92.18%；项目支出9.5万元，占7.82%；上缴上级支出0万元，占0%；经营支出0万元，占0%；对附属单位补助支出0万元，占0%。</w:t>
      </w:r>
      <w:bookmarkEnd w:id="46"/>
    </w:p>
    <w:p>
      <w:pPr>
        <w:pStyle w:val="32"/>
        <w:spacing w:line="600" w:lineRule="exact"/>
        <w:jc w:val="left"/>
        <w:rPr>
          <w:rFonts w:eastAsia="仿宋_GB2312" w:cs="仿宋_GB2312"/>
          <w:b/>
          <w:bCs/>
          <w:sz w:val="32"/>
          <w:szCs w:val="32"/>
        </w:rPr>
      </w:pPr>
      <w:r>
        <w:rPr>
          <w:rFonts w:eastAsia="仿宋_GB2312" w:cs="仿宋_GB2312" w:hint="eastAsia"/>
          <w:b/>
          <w:bCs/>
          <w:sz w:val="32"/>
          <w:szCs w:val="32"/>
          <w:lang w:bidi="bo-CN"/>
        </w:rPr>
        <w:drawing>
          <wp:anchor distT="0" distB="0" distL="114300" distR="114300" simplePos="0" relativeHeight="21" behindDoc="0" locked="0" layoutInCell="1" hidden="0" allowOverlap="1">
            <wp:simplePos x="0" y="0"/>
            <wp:positionH relativeFrom="column">
              <wp:posOffset>410844</wp:posOffset>
            </wp:positionH>
            <wp:positionV relativeFrom="paragraph">
              <wp:posOffset>42544</wp:posOffset>
            </wp:positionV>
            <wp:extent cx="4375150" cy="2266950"/>
            <wp:effectExtent l="0" t="0" r="0" b="0"/>
            <wp:wrapTight wrapText="bothSides">
              <wp:wrapPolygon>
                <wp:start x="-6" y="-61"/>
                <wp:lineTo x="-6" y="21538"/>
                <wp:lineTo x="21577" y="21538"/>
                <wp:lineTo x="21577" y="-61"/>
                <wp:lineTo x="-6" y="-61"/>
              </wp:wrapPolygon>
            </wp:wrapTight>
            <wp:docPr id="13" name="图表 3"/>
            <wp:cNvGraphicFramePr>
              <a:graphicFrameLocks noChangeAspect="0"/>
            </wp:cNvGraphicFramePr>
            <a:graphic>
              <a:graphicData uri="http://schemas.openxmlformats.org/drawingml/2006/picture">
                <pic:pic>
                  <pic:nvPicPr>
                    <pic:cNvPr id="15" name="图表 3 15"/>
                    <pic:cNvPicPr/>
                  </pic:nvPicPr>
                  <pic:blipFill>
                    <a:blip r:embed="rId8"/>
                    <a:stretch>
                      <a:fillRect/>
                    </a:stretch>
                  </pic:blipFill>
                  <pic:spPr>
                    <a:xfrm rot="0">
                      <a:off x="0" y="0"/>
                      <a:ext cx="4375150" cy="2266950"/>
                    </a:xfrm>
                    <a:prstGeom prst="rect"/>
                    <a:ln w="9525" cmpd="sng" cap="flat">
                      <a:solidFill>
                        <a:srgbClr val="000000"/>
                      </a:solidFill>
                      <a:prstDash val="solid"/>
                      <a:miter/>
                    </a:ln>
                  </pic:spPr>
                </pic:pic>
              </a:graphicData>
            </a:graphic>
          </wp:anchor>
        </w:drawing>
      </w:r>
    </w:p>
    <w:p>
      <w:pPr>
        <w:pStyle w:val="32"/>
        <w:spacing w:line="600" w:lineRule="exact"/>
        <w:jc w:val="left"/>
        <w:rPr>
          <w:rFonts w:eastAsia="仿宋_GB2312" w:cs="仿宋_GB2312"/>
          <w:b/>
          <w:bCs/>
          <w:sz w:val="32"/>
          <w:szCs w:val="32"/>
        </w:rPr>
      </w:pPr>
    </w:p>
    <w:p>
      <w:pPr>
        <w:pStyle w:val="32"/>
        <w:spacing w:line="600" w:lineRule="exact"/>
        <w:jc w:val="left"/>
        <w:rPr>
          <w:rFonts w:eastAsia="仿宋_GB2312" w:cs="仿宋_GB2312"/>
          <w:b/>
          <w:bCs/>
          <w:sz w:val="32"/>
          <w:szCs w:val="32"/>
        </w:rPr>
      </w:pPr>
    </w:p>
    <w:p>
      <w:pPr>
        <w:pStyle w:val="32"/>
        <w:spacing w:line="600" w:lineRule="exact"/>
        <w:jc w:val="left"/>
        <w:rPr>
          <w:rFonts w:eastAsia="仿宋_GB2312" w:cs="仿宋_GB2312"/>
          <w:b/>
          <w:bCs/>
          <w:sz w:val="32"/>
          <w:szCs w:val="32"/>
        </w:rPr>
      </w:pPr>
    </w:p>
    <w:p>
      <w:pPr>
        <w:pStyle w:val="32"/>
        <w:spacing w:line="600" w:lineRule="exact"/>
        <w:jc w:val="left"/>
        <w:rPr>
          <w:rFonts w:eastAsia="仿宋_GB2312" w:cs="仿宋_GB2312"/>
          <w:b/>
          <w:bCs/>
          <w:sz w:val="32"/>
          <w:szCs w:val="32"/>
        </w:rPr>
      </w:pPr>
    </w:p>
    <w:p>
      <w:pPr>
        <w:pStyle w:val="32"/>
        <w:spacing w:line="600" w:lineRule="exact"/>
        <w:jc w:val="left"/>
        <w:rPr>
          <w:rFonts w:eastAsia="仿宋_GB2312" w:cs="仿宋_GB2312"/>
          <w:b/>
          <w:bCs/>
          <w:sz w:val="32"/>
          <w:szCs w:val="32"/>
        </w:rPr>
      </w:pPr>
    </w:p>
    <w:p>
      <w:pPr>
        <w:ind w:firstLineChars="200" w:firstLine="640"/>
        <w:rPr>
          <w:rFonts w:eastAsia="仿宋_GB2312" w:cs="仿宋_GB2312"/>
          <w:sz w:val="32"/>
          <w:szCs w:val="32"/>
        </w:rPr>
      </w:pPr>
      <w:r>
        <w:rPr>
          <w:rFonts w:eastAsia="仿宋_GB2312" w:cs="仿宋_GB2312" w:hint="eastAsia"/>
          <w:sz w:val="32"/>
          <w:szCs w:val="32"/>
        </w:rPr>
        <w:t>（图3：支出决算结构图）（饼状图）</w:t>
      </w:r>
    </w:p>
    <w:p>
      <w:pPr>
        <w:spacing w:line="600" w:lineRule="exact"/>
        <w:ind w:firstLineChars="200" w:firstLine="640"/>
        <w:outlineLvl w:val="1"/>
        <w:rPr>
          <w:rStyle w:val="2Char"/>
          <w:rFonts w:ascii="Times New Roman" w:eastAsia="黑体" w:hAnsi="Times New Roman"/>
          <w:b w:val="0"/>
        </w:rPr>
      </w:pPr>
      <w:bookmarkStart w:id="47" w:name="_Toc15396606"/>
      <w:bookmarkStart w:id="48" w:name="_Toc15377208"/>
      <w:bookmarkStart w:id="49" w:name="_Toc592087390"/>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47"/>
      <w:bookmarkEnd w:id="48"/>
      <w:bookmarkEnd w:id="49"/>
    </w:p>
    <w:p>
      <w:pPr>
        <w:pStyle w:val="32"/>
        <w:spacing w:line="600" w:lineRule="exact"/>
        <w:outlineLvl w:val="1"/>
        <w:rPr>
          <w:rFonts w:eastAsia="仿宋_GB2312" w:cs="仿宋_GB2312"/>
          <w:sz w:val="32"/>
          <w:szCs w:val="32"/>
        </w:rPr>
      </w:pPr>
      <w:bookmarkStart w:id="50" w:name="_Toc148348001"/>
      <w:r>
        <w:rPr>
          <w:rFonts w:eastAsia="仿宋_GB2312" w:cs="仿宋_GB2312" w:hint="eastAsia"/>
          <w:sz w:val="32"/>
          <w:szCs w:val="32"/>
        </w:rPr>
        <w:t>2025年度财政拨款112.03万元、支出</w:t>
      </w:r>
      <w:r>
        <w:rPr>
          <w:rFonts w:ascii="仿宋_GB2312" w:eastAsia="仿宋_GB2312" w:cs="仿宋_GB2312" w:hint="eastAsia"/>
          <w:sz w:val="32"/>
          <w:szCs w:val="32"/>
        </w:rPr>
        <w:t>121.53</w:t>
      </w:r>
      <w:r>
        <w:rPr>
          <w:rFonts w:eastAsia="仿宋_GB2312" w:cs="仿宋_GB2312" w:hint="eastAsia"/>
          <w:sz w:val="32"/>
          <w:szCs w:val="32"/>
        </w:rPr>
        <w:t>万元。与2024年度相比，收入、支出总计各增加6.54万元、7.3万元，增长6.19%、6.39%。</w:t>
      </w:r>
      <w:bookmarkStart w:id="51" w:name="_GoBack"/>
      <w:bookmarkEnd w:id="51"/>
      <w:r>
        <w:rPr>
          <w:rFonts w:eastAsia="仿宋_GB2312" w:cs="仿宋_GB2312" w:hint="eastAsia"/>
          <w:sz w:val="32"/>
          <w:szCs w:val="32"/>
        </w:rPr>
        <w:t>主要变动原因是项目资金和人员变动。</w:t>
      </w:r>
      <w:bookmarkEnd w:id="50"/>
    </w:p>
    <w:p>
      <w:pPr>
        <w:spacing w:line="600" w:lineRule="exact"/>
        <w:ind w:firstLine="640"/>
        <w:rPr>
          <w:rFonts w:eastAsia="仿宋_GB2312" w:cs="仿宋_GB2312"/>
          <w:sz w:val="32"/>
          <w:szCs w:val="32"/>
        </w:rPr>
      </w:pPr>
      <w:r>
        <w:rPr>
          <w:rFonts w:eastAsia="仿宋_GB2312" w:cs="仿宋_GB2312" w:hint="eastAsia"/>
          <w:sz w:val="32"/>
          <w:szCs w:val="32"/>
          <w:lang w:bidi="bo-CN"/>
        </w:rPr>
        <w:drawing>
          <wp:anchor distT="0" distB="0" distL="114300" distR="114300" simplePos="0" relativeHeight="22" behindDoc="0" locked="0" layoutInCell="1" hidden="0" allowOverlap="1">
            <wp:simplePos x="0" y="0"/>
            <wp:positionH relativeFrom="column">
              <wp:posOffset>810894</wp:posOffset>
            </wp:positionH>
            <wp:positionV relativeFrom="paragraph">
              <wp:posOffset>90170</wp:posOffset>
            </wp:positionV>
            <wp:extent cx="3775075" cy="1934845"/>
            <wp:effectExtent l="0" t="0" r="0" b="0"/>
            <wp:wrapTight wrapText="bothSides">
              <wp:wrapPolygon>
                <wp:start x="-7" y="-49"/>
                <wp:lineTo x="-7" y="21535"/>
                <wp:lineTo x="21574" y="21535"/>
                <wp:lineTo x="21574" y="-49"/>
                <wp:lineTo x="-7" y="-49"/>
              </wp:wrapPolygon>
            </wp:wrapTight>
            <wp:docPr id="16" name="图表 4"/>
            <wp:cNvGraphicFramePr>
              <a:graphicFrameLocks noChangeAspect="0"/>
            </wp:cNvGraphicFramePr>
            <a:graphic>
              <a:graphicData uri="http://schemas.openxmlformats.org/drawingml/2006/picture">
                <pic:pic>
                  <pic:nvPicPr>
                    <pic:cNvPr id="18" name="图表 4 18"/>
                    <pic:cNvPicPr/>
                  </pic:nvPicPr>
                  <pic:blipFill>
                    <a:blip r:embed="rId9"/>
                    <a:stretch>
                      <a:fillRect/>
                    </a:stretch>
                  </pic:blipFill>
                  <pic:spPr>
                    <a:xfrm rot="0">
                      <a:off x="0" y="0"/>
                      <a:ext cx="3775075" cy="1934845"/>
                    </a:xfrm>
                    <a:prstGeom prst="rect"/>
                    <a:ln w="9525" cmpd="sng" cap="flat">
                      <a:solidFill>
                        <a:srgbClr val="000000"/>
                      </a:solidFill>
                      <a:prstDash val="solid"/>
                      <a:miter/>
                    </a:ln>
                  </pic:spPr>
                </pic:pic>
              </a:graphicData>
            </a:graphic>
          </wp:anchor>
        </w:drawing>
      </w:r>
      <w:r>
        <w:rPr>
          <w:rFonts w:eastAsia="仿宋_GB2312" w:cs="仿宋_GB2312" w:hint="eastAsia"/>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rPr>
      </w:pPr>
      <w:bookmarkStart w:id="52" w:name="_Toc15396607"/>
      <w:bookmarkStart w:id="53" w:name="_Toc15377209"/>
      <w:bookmarkStart w:id="54" w:name="_Toc859273098"/>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52"/>
      <w:bookmarkEnd w:id="53"/>
      <w:bookmarkEnd w:id="54"/>
    </w:p>
    <w:p>
      <w:pPr>
        <w:spacing w:line="600" w:lineRule="exact"/>
        <w:ind w:firstLineChars="200" w:firstLine="640"/>
        <w:outlineLvl w:val="2"/>
        <w:rPr>
          <w:rFonts w:eastAsia="楷体_GB2312" w:cs="楷体_GB2312"/>
          <w:b/>
          <w:sz w:val="32"/>
          <w:szCs w:val="32"/>
        </w:rPr>
      </w:pPr>
      <w:bookmarkStart w:id="55" w:name="_Toc15377210"/>
      <w:r>
        <w:rPr>
          <w:rFonts w:eastAsia="楷体_GB2312" w:cs="楷体_GB2312" w:hint="eastAsia"/>
          <w:b/>
          <w:sz w:val="32"/>
          <w:szCs w:val="32"/>
        </w:rPr>
        <w:t>（一）一般公共预算财政拨款支出决算总体情况</w:t>
      </w:r>
      <w:bookmarkEnd w:id="55"/>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2025年度一般公共预算财政拨款支出121.53万元，占本年支出合计的100%。与2024年度相比，一般公共预算财政拨款支出增加7.3万元，增长6.39%。主要变动原因是</w:t>
      </w:r>
      <w:r>
        <w:rPr>
          <w:rFonts w:eastAsia="仿宋_GB2312" w:cs="仿宋_GB2312" w:hint="eastAsia"/>
          <w:sz w:val="32"/>
          <w:szCs w:val="32"/>
        </w:rPr>
        <w:t>项目资金和人员变动。</w:t>
      </w:r>
    </w:p>
    <w:p>
      <w:pPr>
        <w:pStyle w:val="15"/>
        <w:spacing w:beforeLines="0" w:before="93"/>
        <w:rPr>
          <w:rFonts w:cs="仿宋_GB2312"/>
          <w:sz w:val="32"/>
          <w:szCs w:val="32"/>
        </w:rPr>
      </w:pPr>
      <w:r>
        <w:rPr>
          <w:rFonts w:cs="仿宋_GB2312" w:hint="eastAsia"/>
          <w:sz w:val="32"/>
          <w:szCs w:val="32"/>
        </w:rPr>
        <w:t xml:space="preserve">    </w:t>
      </w:r>
      <w:r>
        <w:rPr>
          <w:rFonts w:cs="仿宋_GB2312" w:hint="eastAsia"/>
          <w:sz w:val="32"/>
          <w:szCs w:val="32"/>
          <w:lang w:bidi="bo-CN"/>
        </w:rPr>
        <w:drawing>
          <wp:inline distT="0" distB="0" distL="114300" distR="114300">
            <wp:extent cx="4051300" cy="1961514"/>
            <wp:effectExtent l="0" t="0" r="0" b="0"/>
            <wp:docPr id="19" name="图表 5"/>
            <wp:cNvGraphicFramePr>
              <a:graphicFrameLocks noChangeAspect="0"/>
            </wp:cNvGraphicFramePr>
            <a:graphic>
              <a:graphicData uri="http://schemas.openxmlformats.org/drawingml/2006/picture">
                <pic:pic>
                  <pic:nvPicPr>
                    <pic:cNvPr id="21" name="图表 5 21"/>
                    <pic:cNvPicPr/>
                  </pic:nvPicPr>
                  <pic:blipFill>
                    <a:blip r:embed="rId10"/>
                    <a:stretch>
                      <a:fillRect/>
                    </a:stretch>
                  </pic:blipFill>
                  <pic:spPr>
                    <a:xfrm rot="0">
                      <a:off x="0" y="0"/>
                      <a:ext cx="4051300" cy="1961514"/>
                    </a:xfrm>
                    <a:prstGeom prst="rect"/>
                    <a:ln w="9525" cmpd="sng" cap="flat">
                      <a:solidFill>
                        <a:srgbClr val="000000"/>
                      </a:solidFill>
                      <a:prstDash val="solid"/>
                      <a:miter/>
                    </a:ln>
                  </pic:spPr>
                </pic:pic>
              </a:graphicData>
            </a:graphic>
          </wp:inline>
        </w:drawing>
      </w:r>
    </w:p>
    <w:p>
      <w:pPr>
        <w:spacing w:line="600" w:lineRule="exact"/>
        <w:rPr>
          <w:rFonts w:eastAsia="仿宋_GB2312" w:cs="仿宋_GB2312"/>
          <w:sz w:val="32"/>
          <w:szCs w:val="32"/>
        </w:rPr>
      </w:pPr>
      <w:r>
        <w:rPr>
          <w:rFonts w:eastAsia="仿宋_GB2312" w:cs="仿宋_GB2312" w:hint="eastAsia"/>
          <w:sz w:val="32"/>
          <w:szCs w:val="32"/>
        </w:rPr>
        <w:t>（图5：一般公共预算财政拨款支出决算变动情况）（柱状图）</w:t>
      </w:r>
    </w:p>
    <w:p>
      <w:pPr>
        <w:spacing w:line="600" w:lineRule="exact"/>
        <w:ind w:firstLineChars="200" w:firstLine="640"/>
        <w:outlineLvl w:val="2"/>
        <w:rPr>
          <w:rFonts w:eastAsia="楷体_GB2312" w:cs="楷体_GB2312"/>
          <w:b/>
          <w:sz w:val="32"/>
          <w:szCs w:val="32"/>
        </w:rPr>
      </w:pPr>
      <w:bookmarkStart w:id="56" w:name="_Toc15377211"/>
      <w:r>
        <w:rPr>
          <w:rFonts w:eastAsia="楷体_GB2312" w:cs="楷体_GB2312" w:hint="eastAsia"/>
          <w:b/>
          <w:sz w:val="32"/>
          <w:szCs w:val="32"/>
        </w:rPr>
        <w:t>（二）一般公共预算财政拨款支出决算结构情况</w:t>
      </w:r>
      <w:bookmarkEnd w:id="56"/>
    </w:p>
    <w:p>
      <w:pPr>
        <w:spacing w:line="600" w:lineRule="exact"/>
        <w:ind w:firstLine="640"/>
        <w:rPr>
          <w:rFonts w:eastAsia="仿宋_GB2312" w:cs="仿宋_GB2312"/>
          <w:b/>
          <w:bCs/>
          <w:sz w:val="32"/>
          <w:szCs w:val="32"/>
        </w:rPr>
      </w:pPr>
      <w:r>
        <w:rPr>
          <w:rFonts w:eastAsia="仿宋_GB2312" w:cs="仿宋_GB2312" w:hint="eastAsia"/>
          <w:sz w:val="32"/>
          <w:szCs w:val="32"/>
        </w:rPr>
        <w:t>2025年度一般公共预算财政拨款支出</w:t>
      </w:r>
      <w:r>
        <w:rPr>
          <w:rFonts w:ascii="仿宋_GB2312" w:eastAsia="仿宋_GB2312" w:cs="仿宋_GB2312" w:hint="eastAsia"/>
          <w:sz w:val="32"/>
          <w:szCs w:val="32"/>
        </w:rPr>
        <w:t>121.53万元</w:t>
      </w:r>
      <w:r>
        <w:rPr>
          <w:rFonts w:eastAsia="仿宋_GB2312" w:cs="仿宋_GB2312" w:hint="eastAsia"/>
          <w:sz w:val="32"/>
          <w:szCs w:val="32"/>
        </w:rPr>
        <w:t>，主要用于以下方面：一般公共服务支出93.11万元，占76.63%；教育支出0万元，占0%；科学技术支出0万元，占0%；文化旅游体育与传媒支出0万元，占0%；社会保障和就业支出14.94万元，占12.29%；卫生健康支出5.49万元，占4.51%；住房保障支出7.99万元，占6.57%；</w:t>
      </w:r>
    </w:p>
    <w:p>
      <w:pPr>
        <w:pStyle w:val="15"/>
        <w:spacing w:beforeLines="0" w:before="93"/>
        <w:rPr>
          <w:rFonts w:cs="仿宋_GB2312"/>
          <w:b/>
          <w:bCs/>
          <w:sz w:val="32"/>
          <w:szCs w:val="32"/>
        </w:rPr>
      </w:pPr>
      <w:r>
        <w:rPr>
          <w:rFonts w:cs="仿宋_GB2312" w:hint="eastAsia"/>
          <w:b/>
          <w:bCs/>
          <w:sz w:val="32"/>
          <w:szCs w:val="32"/>
          <w:lang w:bidi="bo-CN"/>
        </w:rPr>
        <w:drawing>
          <wp:inline distT="0" distB="0" distL="114300" distR="114300">
            <wp:extent cx="5079999" cy="3258184"/>
            <wp:effectExtent l="0" t="0" r="0" b="0"/>
            <wp:docPr id="22" name="图表 6"/>
            <wp:cNvGraphicFramePr>
              <a:graphicFrameLocks noChangeAspect="0"/>
            </wp:cNvGraphicFramePr>
            <a:graphic>
              <a:graphicData uri="http://schemas.openxmlformats.org/drawingml/2006/picture">
                <pic:pic>
                  <pic:nvPicPr>
                    <pic:cNvPr id="24" name="图表 6 24"/>
                    <pic:cNvPicPr/>
                  </pic:nvPicPr>
                  <pic:blipFill>
                    <a:blip r:embed="rId11"/>
                    <a:stretch>
                      <a:fillRect/>
                    </a:stretch>
                  </pic:blipFill>
                  <pic:spPr>
                    <a:xfrm rot="0">
                      <a:off x="0" y="0"/>
                      <a:ext cx="5079999" cy="3258184"/>
                    </a:xfrm>
                    <a:prstGeom prst="rect"/>
                    <a:ln w="9525" cmpd="sng" cap="flat">
                      <a:solidFill>
                        <a:srgbClr val="000000"/>
                      </a:solidFill>
                      <a:prstDash val="solid"/>
                      <a:miter/>
                    </a:ln>
                  </pic:spPr>
                </pic:pic>
              </a:graphicData>
            </a:graphic>
          </wp:inline>
        </w:drawing>
      </w:r>
    </w:p>
    <w:p>
      <w:pPr>
        <w:spacing w:line="600" w:lineRule="exact"/>
        <w:ind w:firstLine="640"/>
        <w:rPr>
          <w:rFonts w:eastAsia="仿宋_GB2312" w:cs="仿宋_GB2312"/>
          <w:sz w:val="32"/>
          <w:szCs w:val="32"/>
        </w:rPr>
      </w:pPr>
      <w:r>
        <w:rPr>
          <w:rFonts w:eastAsia="仿宋_GB2312" w:cs="仿宋_GB2312" w:hint="eastAsia"/>
          <w:sz w:val="32"/>
          <w:szCs w:val="32"/>
        </w:rPr>
        <w:t>（图6：一般公共预算财政拨款支出决算结构）（饼状图）</w:t>
      </w:r>
    </w:p>
    <w:p>
      <w:pPr>
        <w:spacing w:line="600" w:lineRule="exact"/>
        <w:ind w:firstLineChars="200" w:firstLine="640"/>
        <w:outlineLvl w:val="2"/>
        <w:rPr>
          <w:rFonts w:eastAsia="楷体_GB2312" w:cs="楷体_GB2312"/>
          <w:b/>
          <w:sz w:val="32"/>
          <w:szCs w:val="32"/>
        </w:rPr>
      </w:pPr>
      <w:bookmarkStart w:id="57" w:name="_Toc15377212"/>
      <w:r>
        <w:rPr>
          <w:rFonts w:eastAsia="楷体_GB2312" w:cs="楷体_GB2312" w:hint="eastAsia"/>
          <w:b/>
          <w:sz w:val="32"/>
          <w:szCs w:val="32"/>
        </w:rPr>
        <w:t>（三）一般公共预算财政拨款支出决算具体情况</w:t>
      </w:r>
      <w:bookmarkEnd w:id="57"/>
    </w:p>
    <w:p>
      <w:pPr>
        <w:spacing w:line="600" w:lineRule="exact"/>
        <w:ind w:firstLine="640"/>
        <w:rPr>
          <w:rFonts w:eastAsia="仿宋_GB2312" w:cs="仿宋_GB2312"/>
          <w:sz w:val="32"/>
          <w:szCs w:val="32"/>
        </w:rPr>
      </w:pPr>
      <w:bookmarkStart w:id="58" w:name="_Toc15378460"/>
      <w:bookmarkStart w:id="59" w:name="_Toc15377444"/>
      <w:bookmarkStart w:id="60" w:name="_Toc15377213"/>
      <w:r>
        <w:rPr>
          <w:rFonts w:eastAsia="仿宋_GB2312" w:cs="仿宋_GB2312" w:hint="eastAsia"/>
          <w:sz w:val="32"/>
          <w:szCs w:val="32"/>
        </w:rPr>
        <w:t>2025年度一般公共预算财政拨款支出决算数为</w:t>
      </w:r>
      <w:r>
        <w:rPr>
          <w:rFonts w:ascii="仿宋_GB2312" w:eastAsia="仿宋_GB2312" w:cs="仿宋_GB2312" w:hint="eastAsia"/>
          <w:sz w:val="32"/>
          <w:szCs w:val="32"/>
        </w:rPr>
        <w:t>121.53，</w:t>
      </w:r>
      <w:r>
        <w:rPr>
          <w:rFonts w:eastAsia="仿宋_GB2312" w:cs="仿宋_GB2312" w:hint="eastAsia"/>
          <w:sz w:val="32"/>
          <w:szCs w:val="32"/>
        </w:rPr>
        <w:t>完成预算108.47%。其中：</w:t>
      </w:r>
      <w:bookmarkEnd w:id="58"/>
      <w:bookmarkEnd w:id="59"/>
      <w:bookmarkEnd w:id="60"/>
    </w:p>
    <w:p>
      <w:pPr>
        <w:spacing w:line="600" w:lineRule="exact"/>
        <w:ind w:firstLine="640"/>
        <w:rPr>
          <w:rFonts w:eastAsia="仿宋_GB2312" w:cs="仿宋_GB2312"/>
          <w:sz w:val="32"/>
          <w:szCs w:val="32"/>
        </w:rPr>
      </w:pPr>
      <w:r>
        <w:rPr>
          <w:rFonts w:eastAsia="仿宋_GB2312" w:cs="仿宋_GB2312" w:hint="eastAsia"/>
          <w:sz w:val="32"/>
          <w:szCs w:val="32"/>
        </w:rPr>
        <w:t>1.一般公共服务：支出决算为93.11万元，完成预算111.36%，决算数大于预算数的主要原因是项目资金增加</w:t>
      </w:r>
    </w:p>
    <w:p>
      <w:pPr>
        <w:spacing w:line="600" w:lineRule="exact"/>
        <w:ind w:firstLine="640"/>
        <w:rPr>
          <w:rFonts w:eastAsia="仿宋_GB2312" w:cs="仿宋_GB2312"/>
          <w:sz w:val="32"/>
          <w:szCs w:val="32"/>
        </w:rPr>
      </w:pPr>
      <w:r>
        <w:rPr>
          <w:rFonts w:eastAsia="仿宋_GB2312" w:cs="仿宋_GB2312" w:hint="eastAsia"/>
          <w:sz w:val="32"/>
          <w:szCs w:val="32"/>
        </w:rPr>
        <w:t>2.教育: 支出决算为0万元，完成预算100%，决算数等于预算数的主要原因是无此项资金。</w:t>
      </w:r>
    </w:p>
    <w:p>
      <w:pPr>
        <w:spacing w:line="600" w:lineRule="exact"/>
        <w:ind w:firstLine="640"/>
        <w:rPr>
          <w:rFonts w:eastAsia="仿宋_GB2312" w:cs="仿宋_GB2312"/>
          <w:sz w:val="32"/>
          <w:szCs w:val="32"/>
        </w:rPr>
      </w:pPr>
      <w:r>
        <w:rPr>
          <w:rFonts w:eastAsia="仿宋_GB2312" w:cs="仿宋_GB2312" w:hint="eastAsia"/>
          <w:sz w:val="32"/>
          <w:szCs w:val="32"/>
        </w:rPr>
        <w:t>3.科学技术：支出决算为0万元，完成预算100%，决算数等于预算数的主要原因是无此项资金。</w:t>
      </w:r>
    </w:p>
    <w:p>
      <w:pPr>
        <w:spacing w:line="600" w:lineRule="exact"/>
        <w:ind w:firstLine="640"/>
        <w:rPr>
          <w:rFonts w:eastAsia="仿宋_GB2312" w:cs="仿宋_GB2312"/>
          <w:sz w:val="32"/>
          <w:szCs w:val="32"/>
        </w:rPr>
      </w:pPr>
      <w:r>
        <w:rPr>
          <w:rFonts w:eastAsia="仿宋_GB2312" w:cs="仿宋_GB2312" w:hint="eastAsia"/>
          <w:sz w:val="32"/>
          <w:szCs w:val="32"/>
        </w:rPr>
        <w:t>4.文化旅游体育与传媒：支出决算为0万元，完成预算100%，决算数等于预算数的主要原因是无此项资金。</w:t>
      </w:r>
    </w:p>
    <w:p>
      <w:pPr>
        <w:spacing w:line="600" w:lineRule="exact"/>
        <w:ind w:firstLine="640"/>
        <w:rPr>
          <w:rFonts w:eastAsia="仿宋_GB2312" w:cs="仿宋_GB2312"/>
          <w:sz w:val="32"/>
          <w:szCs w:val="32"/>
        </w:rPr>
      </w:pPr>
      <w:r>
        <w:rPr>
          <w:rFonts w:eastAsia="仿宋_GB2312" w:cs="仿宋_GB2312" w:hint="eastAsia"/>
          <w:sz w:val="32"/>
          <w:szCs w:val="32"/>
        </w:rPr>
        <w:t>5.社会保障和就业：支出决算为14.94万元，完成预算100%，决算数等于预算数的主要原因是无变动。</w:t>
      </w:r>
    </w:p>
    <w:p>
      <w:pPr>
        <w:spacing w:line="600" w:lineRule="exact"/>
        <w:ind w:firstLine="640"/>
        <w:rPr>
          <w:rFonts w:eastAsia="仿宋_GB2312" w:cs="仿宋_GB2312"/>
          <w:sz w:val="32"/>
          <w:szCs w:val="32"/>
        </w:rPr>
      </w:pPr>
      <w:r>
        <w:rPr>
          <w:rFonts w:eastAsia="仿宋_GB2312" w:cs="仿宋_GB2312" w:hint="eastAsia"/>
          <w:sz w:val="32"/>
          <w:szCs w:val="32"/>
        </w:rPr>
        <w:t>6.卫生健康：支出决算为5.49万元，完成预算100%，决算数等于预算数的主要原因是无变动。</w:t>
      </w:r>
    </w:p>
    <w:p>
      <w:pPr>
        <w:spacing w:line="600" w:lineRule="exact"/>
        <w:ind w:firstLineChars="200" w:firstLine="640"/>
      </w:pPr>
      <w:r>
        <w:rPr>
          <w:rStyle w:val="25"/>
          <w:rFonts w:ascii="仿宋" w:eastAsia="仿宋" w:hint="eastAsia"/>
          <w:bCs/>
          <w:color w:val="000000"/>
          <w:sz w:val="32"/>
          <w:szCs w:val="32"/>
        </w:rPr>
        <w:t>7.住房保障</w:t>
      </w:r>
      <w:r>
        <w:rPr>
          <w:rStyle w:val="25"/>
          <w:rFonts w:ascii="仿宋" w:eastAsia="仿宋"/>
          <w:bCs/>
          <w:sz w:val="32"/>
          <w:szCs w:val="32"/>
        </w:rPr>
        <w:t>:</w:t>
      </w:r>
      <w:r>
        <w:rPr>
          <w:rStyle w:val="25"/>
          <w:rFonts w:ascii="仿宋" w:eastAsia="仿宋" w:hint="eastAsia"/>
          <w:b w:val="0"/>
          <w:bCs/>
          <w:color w:val="000000"/>
          <w:sz w:val="32"/>
          <w:szCs w:val="32"/>
        </w:rPr>
        <w:t>支出决算为7.99万元，完成预算100%，</w:t>
      </w:r>
      <w:r>
        <w:rPr>
          <w:rStyle w:val="25"/>
          <w:rFonts w:ascii="仿宋" w:eastAsia="仿宋" w:hint="eastAsia"/>
          <w:b w:val="0"/>
          <w:bCs/>
          <w:sz w:val="32"/>
          <w:szCs w:val="32"/>
        </w:rPr>
        <w:t>决算数等于预算数的主要原因无变动。</w:t>
      </w:r>
    </w:p>
    <w:p>
      <w:pPr>
        <w:tabs>
          <w:tab w:val="right" w:pos="8306"/>
        </w:tabs>
        <w:spacing w:line="600" w:lineRule="exact"/>
        <w:ind w:firstLine="640"/>
        <w:outlineLvl w:val="1"/>
        <w:rPr>
          <w:rStyle w:val="2Char"/>
          <w:rFonts w:ascii="Times New Roman" w:hAnsi="Times New Roman"/>
        </w:rPr>
      </w:pPr>
      <w:bookmarkStart w:id="61" w:name="_Toc15396608"/>
      <w:bookmarkStart w:id="62" w:name="_Toc15377214"/>
      <w:bookmarkStart w:id="63" w:name="_Toc645881381"/>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61"/>
      <w:bookmarkEnd w:id="62"/>
      <w:bookmarkEnd w:id="63"/>
      <w:r>
        <w:rPr>
          <w:rStyle w:val="2Char"/>
          <w:rFonts w:ascii="Times New Roman" w:eastAsia="黑体" w:hAnsi="Times New Roman"/>
          <w:b w:val="0"/>
        </w:rPr>
        <w:tab/>
      </w:r>
    </w:p>
    <w:p>
      <w:pPr>
        <w:spacing w:line="600" w:lineRule="exact"/>
        <w:ind w:firstLine="640"/>
        <w:rPr>
          <w:rFonts w:eastAsia="仿宋_GB2312" w:cs="仿宋_GB2312"/>
          <w:sz w:val="32"/>
          <w:szCs w:val="32"/>
        </w:rPr>
      </w:pPr>
      <w:r>
        <w:rPr>
          <w:rFonts w:eastAsia="仿宋_GB2312" w:cs="仿宋_GB2312" w:hint="eastAsia"/>
          <w:sz w:val="32"/>
          <w:szCs w:val="32"/>
        </w:rPr>
        <w:t>2025年度一般公共预算财政拨款基本支出</w:t>
      </w:r>
      <w:r>
        <w:rPr>
          <w:rFonts w:ascii="仿宋_GB2312" w:eastAsia="仿宋_GB2312" w:cs="仿宋_GB2312" w:hint="eastAsia"/>
          <w:sz w:val="32"/>
          <w:szCs w:val="32"/>
        </w:rPr>
        <w:t>112.03万</w:t>
      </w:r>
      <w:r>
        <w:rPr>
          <w:rFonts w:eastAsia="仿宋_GB2312" w:cs="仿宋_GB2312" w:hint="eastAsia"/>
          <w:sz w:val="32"/>
          <w:szCs w:val="32"/>
        </w:rPr>
        <w:t>元，其中：</w:t>
      </w:r>
    </w:p>
    <w:p>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cs="仿宋_GB2312" w:hint="eastAsia"/>
          <w:sz w:val="32"/>
          <w:szCs w:val="32"/>
        </w:rPr>
        <w:t>103.19万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8.84万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eastAsia="仿宋_GB2312" w:cs="仿宋_GB2312"/>
          <w:sz w:val="32"/>
          <w:szCs w:val="32"/>
        </w:rPr>
      </w:pPr>
      <w:r>
        <w:rPr>
          <w:rFonts w:eastAsia="仿宋_GB2312" w:cs="仿宋_GB2312" w:hint="eastAsia"/>
          <w:b/>
          <w:bCs/>
          <w:sz w:val="32"/>
          <w:szCs w:val="32"/>
        </w:rPr>
        <w:t>（注：仅罗列本部门实际支出涉及的经济分类科目）</w:t>
      </w:r>
    </w:p>
    <w:p>
      <w:pPr>
        <w:spacing w:line="600" w:lineRule="exact"/>
        <w:ind w:firstLine="640"/>
        <w:outlineLvl w:val="1"/>
        <w:rPr>
          <w:rStyle w:val="2Char"/>
          <w:rFonts w:ascii="Times New Roman" w:eastAsia="黑体" w:hAnsi="Times New Roman"/>
          <w:b w:val="0"/>
        </w:rPr>
      </w:pPr>
      <w:bookmarkStart w:id="64" w:name="_Toc15396609"/>
      <w:bookmarkStart w:id="65" w:name="_Toc15377215"/>
      <w:bookmarkStart w:id="66" w:name="_Toc194655344"/>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64"/>
      <w:bookmarkEnd w:id="65"/>
      <w:bookmarkEnd w:id="66"/>
    </w:p>
    <w:p>
      <w:pPr>
        <w:spacing w:line="600" w:lineRule="exact"/>
        <w:ind w:firstLineChars="200" w:firstLine="640"/>
        <w:outlineLvl w:val="2"/>
        <w:rPr>
          <w:rFonts w:eastAsia="楷体_GB2312" w:cs="楷体_GB2312"/>
          <w:b/>
          <w:sz w:val="32"/>
          <w:szCs w:val="32"/>
        </w:rPr>
      </w:pPr>
      <w:bookmarkStart w:id="67" w:name="_Toc15377216"/>
      <w:r>
        <w:rPr>
          <w:rFonts w:eastAsia="楷体_GB2312" w:cs="楷体_GB2312" w:hint="eastAsia"/>
          <w:b/>
          <w:sz w:val="32"/>
          <w:szCs w:val="32"/>
        </w:rPr>
        <w:t>（一）“三公”经费财政拨款支出决算总体情况说明</w:t>
      </w:r>
      <w:bookmarkEnd w:id="67"/>
    </w:p>
    <w:p>
      <w:pPr>
        <w:spacing w:line="600" w:lineRule="exact"/>
        <w:ind w:firstLine="640"/>
        <w:rPr>
          <w:rFonts w:eastAsia="仿宋_GB2312" w:cs="仿宋_GB2312"/>
          <w:b/>
          <w:bCs/>
          <w:sz w:val="32"/>
          <w:szCs w:val="32"/>
        </w:rPr>
      </w:pPr>
      <w:r>
        <w:rPr>
          <w:rFonts w:eastAsia="仿宋_GB2312" w:cs="仿宋_GB2312" w:hint="eastAsia"/>
          <w:sz w:val="32"/>
          <w:szCs w:val="32"/>
        </w:rPr>
        <w:t>2025年度“三公”经费财政拨款支出决算为</w:t>
      </w:r>
      <w:r>
        <w:rPr>
          <w:rFonts w:ascii="仿宋_GB2312" w:eastAsia="仿宋_GB2312" w:cs="仿宋_GB2312" w:hint="eastAsia"/>
          <w:sz w:val="32"/>
          <w:szCs w:val="32"/>
        </w:rPr>
        <w:t>0万元，完成预算0%，</w:t>
      </w:r>
      <w:r>
        <w:rPr>
          <w:rFonts w:eastAsia="仿宋_GB2312" w:cs="仿宋_GB2312" w:hint="eastAsia"/>
          <w:sz w:val="32"/>
          <w:szCs w:val="32"/>
        </w:rPr>
        <w:t>较上年度不变。决算数与预算数持平的主要原因是无此项资金。</w:t>
      </w:r>
    </w:p>
    <w:p>
      <w:pPr>
        <w:spacing w:line="600" w:lineRule="exact"/>
        <w:ind w:firstLineChars="200" w:firstLine="640"/>
        <w:outlineLvl w:val="2"/>
        <w:rPr>
          <w:rFonts w:eastAsia="楷体_GB2312" w:cs="楷体_GB2312"/>
          <w:b/>
          <w:sz w:val="32"/>
          <w:szCs w:val="32"/>
        </w:rPr>
      </w:pPr>
      <w:bookmarkStart w:id="68" w:name="_Toc15377217"/>
      <w:r>
        <w:rPr>
          <w:rFonts w:eastAsia="楷体_GB2312" w:cs="楷体_GB2312" w:hint="eastAsia"/>
          <w:b/>
          <w:sz w:val="32"/>
          <w:szCs w:val="32"/>
        </w:rPr>
        <w:t>（二）“三公”经费财政拨款支出决算具体情况说明</w:t>
      </w:r>
      <w:bookmarkEnd w:id="68"/>
    </w:p>
    <w:p>
      <w:pPr>
        <w:spacing w:line="600" w:lineRule="exact"/>
        <w:ind w:firstLine="640"/>
        <w:rPr>
          <w:rFonts w:ascii="仿宋_GB2312" w:eastAsia="仿宋_GB2312" w:cs="仿宋_GB2312"/>
          <w:sz w:val="32"/>
          <w:szCs w:val="32"/>
        </w:rPr>
      </w:pPr>
      <w:r>
        <w:rPr>
          <w:rFonts w:ascii="仿宋_GB2312" w:eastAsia="仿宋_GB2312" w:cs="仿宋_GB2312" w:hint="eastAsia"/>
          <w:sz w:val="32"/>
          <w:szCs w:val="32"/>
        </w:rPr>
        <w:t>2025年度“三公”经费财政拨款支出决算中，因公出国（境）费支出决算0万元，占100%；公务用车购置及运行维护费支出决算0万元，占100%；公务接待费支出决算0万元，占100%。具体情况如下：</w:t>
      </w:r>
    </w:p>
    <w:p>
      <w:pPr>
        <w:spacing w:line="600" w:lineRule="exact"/>
        <w:ind w:firstLine="640"/>
        <w:rPr>
          <w:rFonts w:eastAsia="仿宋_GB2312" w:cs="仿宋_GB2312"/>
          <w:sz w:val="32"/>
          <w:szCs w:val="32"/>
        </w:rPr>
      </w:pPr>
      <w:r>
        <w:rPr>
          <w:rFonts w:eastAsia="仿宋_GB2312" w:cs="仿宋_GB2312" w:hint="eastAsia"/>
          <w:sz w:val="32"/>
          <w:szCs w:val="32"/>
        </w:rPr>
        <w:t>（图7：“三公”经费财政拨款支出结构）（饼状图）</w:t>
      </w:r>
    </w:p>
    <w:p>
      <w:pPr>
        <w:spacing w:line="600" w:lineRule="exact"/>
        <w:ind w:firstLine="640"/>
        <w:rPr>
          <w:rFonts w:eastAsia="仿宋_GB2312" w:cs="仿宋_GB2312"/>
          <w:sz w:val="32"/>
          <w:szCs w:val="32"/>
        </w:rPr>
      </w:pPr>
      <w:r>
        <w:rPr>
          <w:rFonts w:eastAsia="仿宋_GB2312" w:cs="仿宋_GB2312" w:hint="eastAsia"/>
          <w:b/>
          <w:bCs/>
          <w:sz w:val="32"/>
          <w:szCs w:val="32"/>
        </w:rPr>
        <w:t>1.因公出国（境）经费支出0万元，完成预算100%。</w:t>
      </w:r>
      <w:r>
        <w:rPr>
          <w:rFonts w:eastAsia="仿宋_GB2312" w:cs="仿宋_GB2312" w:hint="eastAsia"/>
          <w:sz w:val="32"/>
          <w:szCs w:val="32"/>
        </w:rPr>
        <w:t>全年安排因公出国（境）团</w:t>
      </w:r>
      <w:r>
        <w:rPr>
          <w:rFonts w:ascii="仿宋_GB2312" w:eastAsia="仿宋_GB2312" w:cs="仿宋_GB2312" w:hint="eastAsia"/>
          <w:sz w:val="32"/>
          <w:szCs w:val="32"/>
        </w:rPr>
        <w:t>组0</w:t>
      </w:r>
      <w:r>
        <w:rPr>
          <w:rFonts w:eastAsia="仿宋_GB2312" w:cs="仿宋_GB2312" w:hint="eastAsia"/>
          <w:sz w:val="32"/>
          <w:szCs w:val="32"/>
        </w:rPr>
        <w:t>次，出国（境）</w:t>
      </w:r>
      <w:r>
        <w:rPr>
          <w:rFonts w:ascii="仿宋_GB2312" w:eastAsia="仿宋_GB2312" w:cs="仿宋_GB2312" w:hint="eastAsia"/>
          <w:sz w:val="32"/>
          <w:szCs w:val="32"/>
        </w:rPr>
        <w:t>0人</w:t>
      </w:r>
      <w:r>
        <w:rPr>
          <w:rFonts w:eastAsia="仿宋_GB2312" w:cs="仿宋_GB2312" w:hint="eastAsia"/>
          <w:sz w:val="32"/>
          <w:szCs w:val="32"/>
        </w:rPr>
        <w:t>。因公出国（境）支出决算比2024年不变。主要原因是无此项资金。</w:t>
      </w:r>
    </w:p>
    <w:p>
      <w:pPr>
        <w:spacing w:line="600" w:lineRule="exact"/>
        <w:ind w:firstLine="640"/>
        <w:rPr>
          <w:rFonts w:eastAsia="仿宋_GB2312" w:cs="仿宋_GB2312"/>
          <w:sz w:val="32"/>
          <w:szCs w:val="32"/>
        </w:rPr>
      </w:pPr>
      <w:r>
        <w:rPr>
          <w:rFonts w:eastAsia="仿宋_GB2312" w:cs="仿宋_GB2312" w:hint="eastAsia"/>
          <w:b/>
          <w:bCs/>
          <w:sz w:val="32"/>
          <w:szCs w:val="32"/>
        </w:rPr>
        <w:t>2.公务用车购置及运行维护费支出</w:t>
      </w:r>
      <w:r>
        <w:rPr>
          <w:rFonts w:ascii="仿宋_GB2312" w:eastAsia="仿宋_GB2312" w:cs="仿宋_GB2312" w:hint="eastAsia"/>
          <w:b/>
          <w:bCs/>
          <w:sz w:val="32"/>
          <w:szCs w:val="32"/>
        </w:rPr>
        <w:t>0万</w:t>
      </w:r>
      <w:r>
        <w:rPr>
          <w:rFonts w:eastAsia="仿宋_GB2312" w:cs="仿宋_GB2312" w:hint="eastAsia"/>
          <w:b/>
          <w:bCs/>
          <w:sz w:val="32"/>
          <w:szCs w:val="32"/>
        </w:rPr>
        <w:t>元，完成预算0%。</w:t>
      </w:r>
      <w:r>
        <w:rPr>
          <w:rFonts w:eastAsia="仿宋_GB2312" w:cs="仿宋_GB2312" w:hint="eastAsia"/>
          <w:sz w:val="32"/>
          <w:szCs w:val="32"/>
        </w:rPr>
        <w:t>公务用车购置及运行维护费支出决算比2024年度不变。主要原因是无变化其中：公务用车购置支</w:t>
      </w:r>
      <w:r>
        <w:rPr>
          <w:rFonts w:ascii="仿宋_GB2312" w:eastAsia="仿宋_GB2312" w:cs="仿宋_GB2312" w:hint="eastAsia"/>
          <w:sz w:val="32"/>
          <w:szCs w:val="32"/>
        </w:rPr>
        <w:t>出0</w:t>
      </w:r>
      <w:r>
        <w:rPr>
          <w:rFonts w:eastAsia="仿宋_GB2312" w:cs="仿宋_GB2312" w:hint="eastAsia"/>
          <w:sz w:val="32"/>
          <w:szCs w:val="32"/>
        </w:rPr>
        <w:t>万元。全年按规定更新购置公务用车0辆，其中：轿车0辆、金额0万元，越野车0辆、金额0万元，载客汽车0辆、金额0万元，主要用于公务。截至2025年12月31日，单位共有公务用车0辆，其中：轿车0辆、越野车0辆、载客汽车0辆。</w:t>
      </w:r>
    </w:p>
    <w:p>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cs="仿宋_GB2312" w:hint="eastAsia"/>
          <w:sz w:val="32"/>
          <w:szCs w:val="32"/>
        </w:rPr>
        <w:t>出0</w:t>
      </w:r>
      <w:r>
        <w:rPr>
          <w:rFonts w:eastAsia="仿宋_GB2312" w:cs="仿宋_GB2312" w:hint="eastAsia"/>
          <w:sz w:val="32"/>
          <w:szCs w:val="32"/>
        </w:rPr>
        <w:t>万元。所需的公务用车燃料费、维修费、过路过桥费、保险费等支出。</w:t>
      </w:r>
    </w:p>
    <w:p>
      <w:pPr>
        <w:spacing w:line="600" w:lineRule="exact"/>
        <w:ind w:firstLine="640"/>
        <w:rPr>
          <w:rFonts w:eastAsia="仿宋_GB2312" w:cs="仿宋_GB2312"/>
          <w:sz w:val="32"/>
          <w:szCs w:val="32"/>
        </w:rPr>
      </w:pPr>
      <w:r>
        <w:rPr>
          <w:rFonts w:eastAsia="仿宋_GB2312" w:cs="仿宋_GB2312" w:hint="eastAsia"/>
          <w:b/>
          <w:bCs/>
          <w:sz w:val="32"/>
          <w:szCs w:val="32"/>
        </w:rPr>
        <w:t>3.公务接待费支出</w:t>
      </w:r>
      <w:r>
        <w:rPr>
          <w:rFonts w:ascii="仿宋_GB2312" w:eastAsia="仿宋_GB2312" w:cs="仿宋_GB2312" w:hint="eastAsia"/>
          <w:b/>
          <w:bCs/>
          <w:sz w:val="32"/>
          <w:szCs w:val="32"/>
        </w:rPr>
        <w:t>0万</w:t>
      </w:r>
      <w:r>
        <w:rPr>
          <w:rFonts w:eastAsia="仿宋_GB2312" w:cs="仿宋_GB2312" w:hint="eastAsia"/>
          <w:b/>
          <w:bCs/>
          <w:sz w:val="32"/>
          <w:szCs w:val="32"/>
        </w:rPr>
        <w:t>元，完成预算100%。</w:t>
      </w:r>
      <w:r>
        <w:rPr>
          <w:rFonts w:eastAsia="仿宋_GB2312" w:cs="仿宋_GB2312" w:hint="eastAsia"/>
          <w:sz w:val="32"/>
          <w:szCs w:val="32"/>
        </w:rPr>
        <w:t>公务接待费支出决算比2024年度不变。主要原因是无此项资金。其中：</w:t>
      </w:r>
    </w:p>
    <w:p>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cs="仿宋_GB2312" w:hint="eastAsia"/>
          <w:sz w:val="32"/>
          <w:szCs w:val="32"/>
        </w:rPr>
        <w:t>出0万</w:t>
      </w:r>
      <w:r>
        <w:rPr>
          <w:rFonts w:eastAsia="仿宋_GB2312" w:cs="仿宋_GB2312" w:hint="eastAsia"/>
          <w:sz w:val="32"/>
          <w:szCs w:val="32"/>
        </w:rPr>
        <w:t>元。国内公务接</w:t>
      </w:r>
      <w:r>
        <w:rPr>
          <w:rFonts w:ascii="仿宋_GB2312" w:eastAsia="仿宋_GB2312" w:cs="仿宋_GB2312" w:hint="eastAsia"/>
          <w:sz w:val="32"/>
          <w:szCs w:val="32"/>
        </w:rPr>
        <w:t>待0批次，0</w:t>
      </w:r>
      <w:r>
        <w:rPr>
          <w:rFonts w:eastAsia="仿宋_GB2312" w:cs="仿宋_GB2312" w:hint="eastAsia"/>
          <w:sz w:val="32"/>
          <w:szCs w:val="32"/>
        </w:rPr>
        <w:t>人次（不包括陪同人员），共计支出0万元，外事接待支</w:t>
      </w:r>
      <w:r>
        <w:rPr>
          <w:rFonts w:ascii="仿宋_GB2312" w:eastAsia="仿宋_GB2312" w:cs="仿宋_GB2312" w:hint="eastAsia"/>
          <w:sz w:val="32"/>
          <w:szCs w:val="32"/>
        </w:rPr>
        <w:t>出0万元，外事接待0批次，0人次（不包括陪同人员），共计支出0万</w:t>
      </w:r>
      <w:r>
        <w:rPr>
          <w:rFonts w:eastAsia="仿宋_GB2312" w:cs="仿宋_GB2312" w:hint="eastAsia"/>
          <w:sz w:val="32"/>
          <w:szCs w:val="32"/>
        </w:rPr>
        <w:t>元。</w:t>
      </w:r>
      <w:bookmarkStart w:id="69" w:name="_Toc15396610"/>
      <w:bookmarkStart w:id="70" w:name="_Toc15377218"/>
    </w:p>
    <w:p>
      <w:pPr>
        <w:spacing w:line="600" w:lineRule="exact"/>
        <w:ind w:firstLine="640"/>
        <w:outlineLvl w:val="1"/>
        <w:rPr>
          <w:rStyle w:val="2Char"/>
          <w:rFonts w:ascii="Times New Roman" w:eastAsia="黑体" w:hAnsi="Times New Roman"/>
        </w:rPr>
      </w:pPr>
      <w:bookmarkStart w:id="71" w:name="_Toc1933586384"/>
      <w:r>
        <w:rPr>
          <w:rFonts w:eastAsia="黑体" w:hint="eastAsia"/>
          <w:sz w:val="32"/>
          <w:szCs w:val="32"/>
        </w:rPr>
        <w:t>八、</w:t>
      </w:r>
      <w:r>
        <w:rPr>
          <w:rStyle w:val="2Char"/>
          <w:rFonts w:ascii="Times New Roman" w:eastAsia="黑体" w:hAnsi="Times New Roman" w:hint="eastAsia"/>
          <w:b w:val="0"/>
        </w:rPr>
        <w:t>政府性基金预算支出决算情况说明</w:t>
      </w:r>
      <w:bookmarkEnd w:id="69"/>
      <w:bookmarkEnd w:id="70"/>
      <w:bookmarkEnd w:id="71"/>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2025年度政府性基金预算财政拨款支出0万元，占本年支出合计的0%</w:t>
      </w:r>
      <w:r>
        <w:rPr>
          <w:rFonts w:eastAsia="仿宋_GB2312" w:cs="仿宋_GB2312" w:hint="eastAsia"/>
          <w:sz w:val="32"/>
          <w:szCs w:val="32"/>
        </w:rPr>
        <w:t>。与2024年度相比，政府性基金预算财政拨款支出不变。</w:t>
      </w:r>
    </w:p>
    <w:p>
      <w:pPr>
        <w:spacing w:line="600" w:lineRule="exact"/>
        <w:ind w:left="630"/>
        <w:outlineLvl w:val="1"/>
        <w:rPr>
          <w:rStyle w:val="2Char"/>
          <w:rFonts w:ascii="Times New Roman" w:eastAsia="黑体" w:hAnsi="Times New Roman"/>
          <w:b w:val="0"/>
        </w:rPr>
      </w:pPr>
      <w:bookmarkStart w:id="72" w:name="_Toc15377219"/>
      <w:bookmarkStart w:id="73" w:name="_Toc15396611"/>
      <w:bookmarkStart w:id="74" w:name="_Toc1415691634"/>
      <w:r>
        <w:rPr>
          <w:rStyle w:val="2Char"/>
          <w:rFonts w:ascii="Times New Roman" w:eastAsia="黑体" w:hAnsi="Times New Roman" w:hint="eastAsia"/>
          <w:b w:val="0"/>
        </w:rPr>
        <w:t>九、国有资本经营预算支出决算情况说明</w:t>
      </w:r>
      <w:bookmarkEnd w:id="72"/>
      <w:bookmarkEnd w:id="73"/>
      <w:bookmarkEnd w:id="74"/>
    </w:p>
    <w:p>
      <w:pPr>
        <w:spacing w:line="60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ascii="仿宋_GB2312" w:eastAsia="仿宋_GB2312" w:cs="仿宋_GB2312" w:hint="eastAsia"/>
          <w:sz w:val="32"/>
          <w:szCs w:val="32"/>
        </w:rPr>
        <w:t>0万元，占本年支出合计的0%</w:t>
      </w:r>
      <w:r>
        <w:rPr>
          <w:rFonts w:eastAsia="仿宋_GB2312" w:cs="仿宋_GB2312" w:hint="eastAsia"/>
          <w:sz w:val="32"/>
          <w:szCs w:val="32"/>
        </w:rPr>
        <w:t>。与2024年度相比，国有资本经营预算财政拨款支出不变。</w:t>
      </w:r>
    </w:p>
    <w:p>
      <w:pPr>
        <w:spacing w:line="600" w:lineRule="exact"/>
        <w:ind w:left="630"/>
        <w:outlineLvl w:val="1"/>
        <w:rPr>
          <w:rStyle w:val="2Char"/>
          <w:rFonts w:ascii="Times New Roman" w:eastAsia="黑体" w:hAnsi="Times New Roman"/>
          <w:b w:val="0"/>
        </w:rPr>
      </w:pPr>
      <w:bookmarkStart w:id="75" w:name="_Toc15377221"/>
      <w:bookmarkStart w:id="76" w:name="_Toc15396612"/>
      <w:bookmarkStart w:id="77" w:name="_Toc1624507801"/>
      <w:r>
        <w:rPr>
          <w:rStyle w:val="2Char"/>
          <w:rFonts w:ascii="Times New Roman" w:eastAsia="黑体" w:hAnsi="Times New Roman" w:hint="eastAsia"/>
          <w:b w:val="0"/>
        </w:rPr>
        <w:t>十、其他重要事项的情况说明</w:t>
      </w:r>
      <w:bookmarkEnd w:id="75"/>
      <w:bookmarkEnd w:id="76"/>
      <w:bookmarkEnd w:id="77"/>
    </w:p>
    <w:p>
      <w:pPr>
        <w:spacing w:line="600" w:lineRule="exact"/>
        <w:ind w:firstLineChars="200" w:firstLine="640"/>
        <w:outlineLvl w:val="2"/>
        <w:rPr>
          <w:rFonts w:eastAsia="楷体_GB2312" w:cs="楷体_GB2312"/>
          <w:b/>
          <w:sz w:val="32"/>
          <w:szCs w:val="32"/>
        </w:rPr>
      </w:pPr>
      <w:bookmarkStart w:id="78" w:name="_Toc15377222"/>
      <w:r>
        <w:rPr>
          <w:rFonts w:eastAsia="楷体_GB2312" w:cs="楷体_GB2312" w:hint="eastAsia"/>
          <w:b/>
          <w:sz w:val="32"/>
          <w:szCs w:val="32"/>
        </w:rPr>
        <w:t>（一）机关运行经费支出情况</w:t>
      </w:r>
      <w:bookmarkEnd w:id="78"/>
    </w:p>
    <w:p>
      <w:pPr>
        <w:spacing w:line="600" w:lineRule="exact"/>
        <w:ind w:firstLine="640"/>
        <w:rPr>
          <w:rFonts w:eastAsia="仿宋_GB2312" w:cs="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，中共阿坝州若尔盖县互联网不良与违法信息举报中心机关运行经费支出0万</w:t>
      </w:r>
      <w:r>
        <w:rPr>
          <w:rFonts w:eastAsia="仿宋_GB2312" w:cs="仿宋_GB2312" w:hint="eastAsia"/>
          <w:sz w:val="32"/>
          <w:szCs w:val="32"/>
        </w:rPr>
        <w:t>元，比2024年度相比不变。主要原因是无变化。</w:t>
      </w:r>
    </w:p>
    <w:p>
      <w:pPr>
        <w:spacing w:line="600" w:lineRule="exact"/>
        <w:ind w:firstLineChars="200" w:firstLine="640"/>
        <w:outlineLvl w:val="2"/>
        <w:rPr>
          <w:rFonts w:eastAsia="楷体_GB2312" w:cs="楷体_GB2312"/>
          <w:b/>
          <w:sz w:val="32"/>
          <w:szCs w:val="32"/>
        </w:rPr>
      </w:pPr>
      <w:bookmarkStart w:id="79" w:name="_Toc15377223"/>
      <w:r>
        <w:rPr>
          <w:rFonts w:eastAsia="楷体_GB2312" w:cs="楷体_GB2312" w:hint="eastAsia"/>
          <w:b/>
          <w:sz w:val="32"/>
          <w:szCs w:val="32"/>
        </w:rPr>
        <w:t>（二）政府采购支出情况</w:t>
      </w:r>
      <w:bookmarkEnd w:id="79"/>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中共阿坝州若尔盖县互联网不良与违法信息举报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spacing w:line="600" w:lineRule="exact"/>
        <w:ind w:firstLineChars="200" w:firstLine="640"/>
        <w:outlineLvl w:val="2"/>
        <w:rPr>
          <w:rFonts w:eastAsia="楷体_GB2312" w:cs="楷体_GB2312"/>
          <w:b/>
          <w:sz w:val="32"/>
          <w:szCs w:val="32"/>
        </w:rPr>
      </w:pPr>
      <w:bookmarkStart w:id="80" w:name="_Toc15377224"/>
      <w:r>
        <w:rPr>
          <w:rFonts w:eastAsia="楷体_GB2312" w:cs="楷体_GB2312" w:hint="eastAsia"/>
          <w:b/>
          <w:sz w:val="32"/>
          <w:szCs w:val="32"/>
        </w:rPr>
        <w:t>（三）国有资产占有使用情况</w:t>
      </w:r>
      <w:bookmarkEnd w:id="80"/>
    </w:p>
    <w:p>
      <w:pPr>
        <w:spacing w:line="600" w:lineRule="exact"/>
        <w:ind w:firstLine="640"/>
        <w:rPr>
          <w:rFonts w:eastAsia="仿宋_GB2312" w:cs="仿宋_GB2312"/>
          <w:sz w:val="32"/>
          <w:szCs w:val="32"/>
        </w:rPr>
      </w:pPr>
      <w:r>
        <w:rPr>
          <w:rFonts w:ascii="仿宋_GB2312" w:eastAsia="仿宋_GB2312" w:cs="仿宋_GB2312" w:hint="eastAsia"/>
          <w:sz w:val="32"/>
          <w:szCs w:val="32"/>
        </w:rPr>
        <w:t>截至2025年12月31日，中共阿坝州若尔盖县互联网不良与违法信息举报中心共有车辆0辆，其中：主要负责人用车0辆、机要通信用车0辆、应急保障用车0辆、其他用车0辆，单价0万元（含）以上设备（不含车辆）0台（套）</w:t>
      </w:r>
      <w:r>
        <w:rPr>
          <w:rFonts w:eastAsia="仿宋_GB2312" w:cs="仿宋_GB2312" w:hint="eastAsia"/>
          <w:sz w:val="32"/>
          <w:szCs w:val="32"/>
        </w:rPr>
        <w:t>。</w:t>
      </w:r>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pPr>
        <w:spacing w:line="600" w:lineRule="exact"/>
        <w:jc w:val="center"/>
        <w:outlineLvl w:val="0"/>
        <w:rPr>
          <w:rFonts w:ascii="仿宋_GB2312" w:eastAsia="仿宋_GB2312"/>
          <w:sz w:val="32"/>
          <w:szCs w:val="32"/>
        </w:rPr>
      </w:pPr>
      <w:bookmarkStart w:id="81" w:name="_Toc1609576648"/>
      <w:bookmarkStart w:id="82" w:name="_Toc15377225"/>
      <w:bookmarkStart w:id="83" w:name="_Toc15396613"/>
      <w:r>
        <w:rPr>
          <w:rFonts w:ascii="仿宋_GB2312" w:eastAsia="仿宋_GB2312" w:hint="eastAsia"/>
          <w:sz w:val="32"/>
          <w:szCs w:val="32"/>
        </w:rPr>
        <w:t>根据预算绩效管理要求，本单位在2024年度预算编制阶段，组织对网络舆情监管费和网络监测软件费等2个项目开展了预算事前绩效评估，对0个项目编制了绩效目标，预算执行过程中，选取0个项目开展绩效监控，组织对0个项目开展。</w:t>
      </w:r>
      <w:bookmarkEnd w:id="81"/>
    </w:p>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p>
    <w:p>
      <w:pPr>
        <w:spacing w:line="600" w:lineRule="exact"/>
        <w:jc w:val="center"/>
        <w:rPr>
          <w:rFonts w:ascii="仿宋_GB2312" w:eastAsia="仿宋_GB2312"/>
          <w:sz w:val="32"/>
          <w:szCs w:val="32"/>
        </w:rPr>
      </w:pPr>
    </w:p>
    <w:p>
      <w:pPr>
        <w:spacing w:line="600" w:lineRule="exact"/>
        <w:rPr>
          <w:rFonts w:ascii="仿宋_GB2312" w:eastAsia="仿宋_GB2312"/>
          <w:sz w:val="32"/>
          <w:szCs w:val="32"/>
        </w:rPr>
      </w:pPr>
    </w:p>
    <w:p>
      <w:pPr>
        <w:spacing w:line="600" w:lineRule="exact"/>
        <w:jc w:val="center"/>
        <w:outlineLvl w:val="0"/>
        <w:rPr>
          <w:rFonts w:eastAsia="黑体"/>
          <w:sz w:val="44"/>
          <w:szCs w:val="44"/>
        </w:rPr>
      </w:pPr>
      <w:bookmarkStart w:id="84" w:name="_Toc182479496"/>
    </w:p>
    <w:p>
      <w:pPr>
        <w:spacing w:line="600" w:lineRule="exact"/>
        <w:jc w:val="center"/>
        <w:outlineLvl w:val="0"/>
        <w:rPr>
          <w:rFonts w:eastAsia="黑体"/>
          <w:sz w:val="44"/>
          <w:szCs w:val="44"/>
        </w:rPr>
      </w:pPr>
    </w:p>
    <w:p>
      <w:pPr>
        <w:spacing w:line="600" w:lineRule="exact"/>
        <w:jc w:val="center"/>
        <w:outlineLvl w:val="0"/>
        <w:rPr>
          <w:rFonts w:eastAsia="黑体"/>
          <w:sz w:val="44"/>
          <w:szCs w:val="44"/>
        </w:rPr>
      </w:pPr>
      <w:r>
        <w:rPr>
          <w:rFonts w:eastAsia="黑体" w:hint="eastAsia"/>
          <w:sz w:val="44"/>
          <w:szCs w:val="44"/>
        </w:rPr>
        <w:t>第三部分  名词解释</w:t>
      </w:r>
      <w:bookmarkEnd w:id="82"/>
      <w:bookmarkEnd w:id="83"/>
      <w:bookmarkEnd w:id="84"/>
    </w:p>
    <w:p>
      <w:pPr>
        <w:spacing w:line="600" w:lineRule="exact"/>
        <w:jc w:val="left"/>
        <w:rPr>
          <w:b/>
          <w:sz w:val="44"/>
          <w:szCs w:val="44"/>
        </w:rPr>
      </w:pPr>
    </w:p>
    <w:p>
      <w:pPr>
        <w:spacing w:line="600" w:lineRule="exact"/>
        <w:ind w:firstLine="640"/>
        <w:rPr>
          <w:rFonts w:eastAsia="仿宋_GB2312" w:cs="仿宋_GB2312"/>
          <w:sz w:val="32"/>
          <w:szCs w:val="32"/>
        </w:rPr>
      </w:pPr>
      <w:r>
        <w:rPr>
          <w:rFonts w:eastAsia="仿宋_GB2312" w:cs="仿宋_GB2312" w:hint="eastAsia"/>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eastAsia="仿宋_GB2312" w:cs="仿宋_GB2312" w:hint="eastAsia"/>
          <w:sz w:val="32"/>
          <w:szCs w:val="32"/>
        </w:rPr>
        <w:t xml:space="preserve">4.其他收入：指单位取得的除上述收入以外的各项收入。 </w:t>
      </w:r>
    </w:p>
    <w:p>
      <w:pPr>
        <w:spacing w:line="600" w:lineRule="exact"/>
        <w:ind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eastAsia="仿宋_GB2312" w:cs="仿宋_GB2312" w:hint="eastAsia"/>
          <w:sz w:val="32"/>
          <w:szCs w:val="32"/>
        </w:rPr>
        <w:t>9.基本支出：指为保障机构正常运转、完成日常工作任务而发生的人员支出和公用支出。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hint="eastAsia"/>
          <w:sz w:val="32"/>
          <w:szCs w:val="32"/>
        </w:rPr>
        <w:t xml:space="preserve">10.项目支出：指在基本支出之外为完成特定行政任务和事业发展目标所发生的支出。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hint="eastAsia"/>
          <w:sz w:val="32"/>
          <w:szCs w:val="32"/>
        </w:rPr>
        <w:t>11.经营支出：指事业单位在专业业务活动及其辅助活动之外开展非独立核算经营活动发生的支出。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eastAsia="仿宋_GB2312" w:cs="仿宋_GB2312" w:hint="eastAsia"/>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hint="eastAsia"/>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Chars="600" w:firstLine="1920"/>
        <w:outlineLvl w:val="0"/>
        <w:rPr>
          <w:rStyle w:val="1Char"/>
          <w:rFonts w:eastAsia="黑体"/>
          <w:b w:val="0"/>
        </w:rPr>
      </w:pPr>
      <w:bookmarkStart w:id="85" w:name="_Toc15377226"/>
      <w:r>
        <w:rPr>
          <w:rFonts w:eastAsia="仿宋_GB2312" w:cs="仿宋_GB2312" w:hint="eastAsia"/>
          <w:sz w:val="32"/>
          <w:szCs w:val="32"/>
        </w:rPr>
        <w:br w:type="page"/>
      </w:r>
      <w:bookmarkStart w:id="86" w:name="_Toc15396614"/>
      <w:bookmarkStart w:id="87" w:name="_Toc606248651"/>
      <w:r>
        <w:rPr>
          <w:rFonts w:eastAsia="黑体" w:hint="eastAsia"/>
          <w:sz w:val="44"/>
          <w:szCs w:val="44"/>
        </w:rPr>
        <w:t>第四部分  附件</w:t>
      </w:r>
      <w:bookmarkEnd w:id="86"/>
      <w:bookmarkEnd w:id="87"/>
    </w:p>
    <w:p>
      <w:pPr>
        <w:spacing w:line="572" w:lineRule="exact"/>
        <w:jc w:val="left"/>
        <w:rPr>
          <w:rFonts w:ascii="仿宋_GB2312" w:eastAsia="仿宋_GB2312" w:cs="仿宋_GB2312"/>
          <w:sz w:val="32"/>
          <w:szCs w:val="32"/>
        </w:rPr>
      </w:pPr>
    </w:p>
    <w:p>
      <w:pPr>
        <w:spacing w:line="600" w:lineRule="exact"/>
        <w:jc w:val="center"/>
        <w:outlineLvl w:val="1"/>
        <w:rPr>
          <w:rFonts w:ascii="黑体" w:eastAsia="黑体"/>
          <w:color w:val="FF0000"/>
          <w:sz w:val="44"/>
          <w:szCs w:val="44"/>
        </w:rPr>
      </w:pPr>
      <w:bookmarkStart w:id="88" w:name="_Toc2888"/>
      <w:bookmarkStart w:id="89" w:name="_Toc690121592"/>
      <w:r>
        <w:rPr>
          <w:rFonts w:hint="eastAsia"/>
          <w:sz w:val="32"/>
          <w:szCs w:val="32"/>
        </w:rPr>
        <w:t>部门预算项目支出绩效自评表（2025年度）</w:t>
      </w:r>
      <w:bookmarkEnd w:id="88"/>
      <w:bookmarkEnd w:id="89"/>
    </w:p>
    <w:p>
      <w:pPr>
        <w:pStyle w:val="23"/>
        <w:spacing w:line="560" w:lineRule="exact"/>
        <w:ind w:leftChars="0" w:left="0"/>
        <w:rPr>
          <w:sz w:val="32"/>
        </w:rPr>
      </w:pPr>
    </w:p>
    <w:p>
      <w:pPr>
        <w:pStyle w:val="23"/>
        <w:spacing w:line="560" w:lineRule="exact"/>
        <w:ind w:leftChars="0" w:left="0"/>
        <w:rPr>
          <w:rFonts w:eastAsia="仿宋_GB2312" w:cs="仿宋"/>
          <w:sz w:val="32"/>
          <w:lang w:val="zh-CN"/>
        </w:rPr>
      </w:pPr>
      <w:r>
        <w:rPr>
          <w:rFonts w:eastAsia="仿宋_GB2312" w:cs="仿宋" w:hint="eastAsia"/>
          <w:sz w:val="32"/>
        </w:rPr>
        <w:t>详见附件“部门预算项目支出绩效自评表”中</w:t>
      </w:r>
    </w:p>
    <w:p>
      <w:pPr>
        <w:widowControl/>
        <w:jc w:val="center"/>
        <w:rPr>
          <w:rFonts w:eastAsia="黑体"/>
          <w:sz w:val="44"/>
          <w:szCs w:val="44"/>
        </w:rPr>
      </w:pPr>
      <w:bookmarkStart w:id="90" w:name="_Toc15396618"/>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outlineLvl w:val="0"/>
        <w:rPr>
          <w:rFonts w:eastAsia="仿宋"/>
        </w:rPr>
      </w:pPr>
      <w:bookmarkStart w:id="91" w:name="_Toc1765431715"/>
      <w:r>
        <w:rPr>
          <w:rFonts w:eastAsia="黑体" w:hint="eastAsia"/>
          <w:sz w:val="44"/>
          <w:szCs w:val="44"/>
        </w:rPr>
        <w:t>第</w:t>
      </w:r>
      <w:r>
        <w:rPr>
          <w:rStyle w:val="1Char"/>
          <w:rFonts w:eastAsia="黑体" w:hint="eastAsia"/>
          <w:b w:val="0"/>
        </w:rPr>
        <w:t>五部分 附表</w:t>
      </w:r>
      <w:bookmarkStart w:id="92" w:name="_Toc15396619"/>
      <w:bookmarkEnd w:id="85"/>
      <w:bookmarkEnd w:id="90"/>
      <w:bookmarkEnd w:id="91"/>
    </w:p>
    <w:p>
      <w:pPr>
        <w:pStyle w:val="24"/>
        <w:tabs>
          <w:tab w:val="right" w:leader="dot" w:pos="8296"/>
        </w:tabs>
        <w:adjustRightInd w:val="0"/>
        <w:snapToGrid w:val="0"/>
        <w:spacing w:line="560" w:lineRule="exact"/>
        <w:jc w:val="left"/>
        <w:rPr>
          <w:rFonts w:eastAsia="仿宋_GB2312" w:cs="仿宋_GB2312"/>
          <w:sz w:val="32"/>
          <w:szCs w:val="32"/>
        </w:rPr>
      </w:pPr>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92"/>
    </w:p>
    <w:p>
      <w:pPr>
        <w:pStyle w:val="24"/>
        <w:tabs>
          <w:tab w:val="right" w:leader="dot" w:pos="8296"/>
        </w:tabs>
        <w:adjustRightInd w:val="0"/>
        <w:snapToGrid w:val="0"/>
        <w:spacing w:line="560" w:lineRule="exact"/>
        <w:jc w:val="left"/>
        <w:rPr>
          <w:rFonts w:eastAsia="仿宋_GB2312" w:cs="仿宋_GB2312"/>
          <w:sz w:val="32"/>
          <w:szCs w:val="32"/>
        </w:rPr>
      </w:pPr>
      <w:bookmarkStart w:id="93" w:name="_Toc15396620"/>
      <w:r>
        <w:rPr>
          <w:rFonts w:eastAsia="仿宋_GB2312" w:cs="仿宋_GB2312" w:hint="eastAsia"/>
          <w:sz w:val="32"/>
          <w:szCs w:val="32"/>
        </w:rPr>
        <w:t>二、收入决算表</w:t>
      </w:r>
      <w:bookmarkEnd w:id="93"/>
    </w:p>
    <w:p>
      <w:pPr>
        <w:pStyle w:val="24"/>
        <w:tabs>
          <w:tab w:val="right" w:leader="dot" w:pos="8296"/>
        </w:tabs>
        <w:adjustRightInd w:val="0"/>
        <w:snapToGrid w:val="0"/>
        <w:spacing w:line="560" w:lineRule="exact"/>
        <w:jc w:val="left"/>
        <w:rPr>
          <w:rFonts w:eastAsia="仿宋_GB2312" w:cs="仿宋_GB2312"/>
          <w:sz w:val="32"/>
          <w:szCs w:val="32"/>
        </w:rPr>
      </w:pPr>
      <w:bookmarkStart w:id="94" w:name="_Toc15396621"/>
      <w:r>
        <w:rPr>
          <w:rFonts w:eastAsia="仿宋_GB2312" w:cs="仿宋_GB2312" w:hint="eastAsia"/>
          <w:sz w:val="32"/>
          <w:szCs w:val="32"/>
        </w:rPr>
        <w:t>三、支出决算表</w:t>
      </w:r>
      <w:bookmarkEnd w:id="94"/>
    </w:p>
    <w:p>
      <w:pPr>
        <w:pStyle w:val="24"/>
        <w:tabs>
          <w:tab w:val="right" w:leader="dot" w:pos="8296"/>
        </w:tabs>
        <w:adjustRightInd w:val="0"/>
        <w:snapToGrid w:val="0"/>
        <w:spacing w:line="560" w:lineRule="exact"/>
        <w:jc w:val="left"/>
        <w:rPr>
          <w:rFonts w:eastAsia="仿宋_GB2312" w:cs="仿宋_GB2312"/>
          <w:sz w:val="32"/>
          <w:szCs w:val="32"/>
        </w:rPr>
      </w:pPr>
      <w:bookmarkStart w:id="95" w:name="_Toc15396622"/>
      <w:r>
        <w:rPr>
          <w:rFonts w:eastAsia="仿宋_GB2312" w:cs="仿宋_GB2312" w:hint="eastAsia"/>
          <w:sz w:val="32"/>
          <w:szCs w:val="32"/>
        </w:rPr>
        <w:t>四、财政拨款收入支出决算总表</w:t>
      </w:r>
      <w:bookmarkEnd w:id="95"/>
    </w:p>
    <w:p>
      <w:pPr>
        <w:pStyle w:val="24"/>
        <w:tabs>
          <w:tab w:val="right" w:leader="dot" w:pos="8296"/>
        </w:tabs>
        <w:adjustRightInd w:val="0"/>
        <w:snapToGrid w:val="0"/>
        <w:spacing w:line="560" w:lineRule="exact"/>
        <w:jc w:val="left"/>
        <w:rPr>
          <w:rFonts w:eastAsia="仿宋_GB2312" w:cs="仿宋_GB2312"/>
          <w:sz w:val="32"/>
          <w:szCs w:val="32"/>
        </w:rPr>
      </w:pPr>
      <w:bookmarkStart w:id="96" w:name="_Toc15396623"/>
      <w:r>
        <w:rPr>
          <w:rFonts w:eastAsia="仿宋_GB2312" w:cs="仿宋_GB2312" w:hint="eastAsia"/>
          <w:sz w:val="32"/>
          <w:szCs w:val="32"/>
        </w:rPr>
        <w:t>五、财政拨款支出决算明细表</w:t>
      </w:r>
      <w:bookmarkStart w:id="97" w:name="_Toc15396624"/>
      <w:bookmarkEnd w:id="96"/>
    </w:p>
    <w:p>
      <w:pPr>
        <w:pStyle w:val="24"/>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7"/>
    </w:p>
    <w:p>
      <w:pPr>
        <w:pStyle w:val="24"/>
        <w:tabs>
          <w:tab w:val="right" w:leader="dot" w:pos="8296"/>
        </w:tabs>
        <w:adjustRightInd w:val="0"/>
        <w:snapToGrid w:val="0"/>
        <w:spacing w:line="560" w:lineRule="exact"/>
        <w:jc w:val="left"/>
        <w:rPr>
          <w:rFonts w:eastAsia="仿宋_GB2312" w:cs="仿宋_GB2312"/>
          <w:sz w:val="32"/>
          <w:szCs w:val="32"/>
        </w:rPr>
      </w:pPr>
      <w:bookmarkStart w:id="98" w:name="_Toc15396625"/>
      <w:r>
        <w:rPr>
          <w:rFonts w:eastAsia="仿宋_GB2312" w:cs="仿宋_GB2312" w:hint="eastAsia"/>
          <w:sz w:val="32"/>
          <w:szCs w:val="32"/>
        </w:rPr>
        <w:t>七、一般公共预算财政拨款支出决算明细表</w:t>
      </w:r>
      <w:bookmarkEnd w:id="98"/>
    </w:p>
    <w:p>
      <w:pPr>
        <w:pStyle w:val="24"/>
        <w:tabs>
          <w:tab w:val="right" w:leader="dot" w:pos="8296"/>
        </w:tabs>
        <w:adjustRightInd w:val="0"/>
        <w:snapToGrid w:val="0"/>
        <w:spacing w:line="560" w:lineRule="exact"/>
        <w:jc w:val="left"/>
        <w:rPr>
          <w:rFonts w:eastAsia="仿宋_GB2312" w:cs="仿宋_GB2312"/>
          <w:sz w:val="32"/>
          <w:szCs w:val="32"/>
        </w:rPr>
      </w:pPr>
      <w:bookmarkStart w:id="99" w:name="_Toc15396626"/>
      <w:r>
        <w:rPr>
          <w:rFonts w:eastAsia="仿宋_GB2312" w:cs="仿宋_GB2312" w:hint="eastAsia"/>
          <w:sz w:val="32"/>
          <w:szCs w:val="32"/>
        </w:rPr>
        <w:t>八、一般公共预算财政拨款基本支出决算表</w:t>
      </w:r>
      <w:bookmarkEnd w:id="99"/>
    </w:p>
    <w:p>
      <w:pPr>
        <w:pStyle w:val="24"/>
        <w:tabs>
          <w:tab w:val="right" w:leader="dot" w:pos="8296"/>
        </w:tabs>
        <w:adjustRightInd w:val="0"/>
        <w:snapToGrid w:val="0"/>
        <w:spacing w:line="560" w:lineRule="exact"/>
        <w:jc w:val="left"/>
        <w:rPr>
          <w:rFonts w:eastAsia="仿宋_GB2312" w:cs="仿宋_GB2312"/>
          <w:sz w:val="32"/>
          <w:szCs w:val="32"/>
        </w:rPr>
      </w:pPr>
      <w:bookmarkStart w:id="100" w:name="_Toc15396627"/>
      <w:r>
        <w:rPr>
          <w:rFonts w:eastAsia="仿宋_GB2312" w:cs="仿宋_GB2312" w:hint="eastAsia"/>
          <w:sz w:val="32"/>
          <w:szCs w:val="32"/>
        </w:rPr>
        <w:t>九、一般公共预算财政拨款项目支出决算表</w:t>
      </w:r>
      <w:bookmarkEnd w:id="100"/>
    </w:p>
    <w:p>
      <w:pPr>
        <w:pStyle w:val="24"/>
        <w:tabs>
          <w:tab w:val="right" w:leader="dot" w:pos="8296"/>
        </w:tabs>
        <w:adjustRightInd w:val="0"/>
        <w:snapToGrid w:val="0"/>
        <w:spacing w:line="560" w:lineRule="exact"/>
        <w:jc w:val="left"/>
        <w:rPr>
          <w:rFonts w:eastAsia="仿宋_GB2312" w:cs="仿宋_GB2312"/>
          <w:sz w:val="32"/>
          <w:szCs w:val="32"/>
        </w:rPr>
      </w:pPr>
      <w:bookmarkStart w:id="101" w:name="_Toc15396628"/>
      <w:r>
        <w:rPr>
          <w:rFonts w:eastAsia="仿宋_GB2312" w:cs="仿宋_GB2312" w:hint="eastAsia"/>
          <w:sz w:val="32"/>
          <w:szCs w:val="32"/>
        </w:rPr>
        <w:t>十、</w:t>
      </w:r>
      <w:bookmarkEnd w:id="101"/>
      <w:r>
        <w:rPr>
          <w:rFonts w:eastAsia="仿宋_GB2312" w:cs="仿宋_GB2312" w:hint="eastAsia"/>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102" w:name="_Toc15396629"/>
      <w:r>
        <w:rPr>
          <w:rFonts w:eastAsia="仿宋_GB2312" w:cs="仿宋_GB2312" w:hint="eastAsia"/>
          <w:sz w:val="32"/>
          <w:szCs w:val="32"/>
        </w:rPr>
        <w:t>十一、</w:t>
      </w:r>
      <w:bookmarkEnd w:id="102"/>
      <w:r>
        <w:rPr>
          <w:rFonts w:eastAsia="仿宋_GB2312" w:cs="仿宋_GB2312" w:hint="eastAsia"/>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103" w:name="_Toc15396630"/>
      <w:r>
        <w:rPr>
          <w:rFonts w:eastAsia="仿宋_GB2312" w:cs="仿宋_GB2312" w:hint="eastAsia"/>
          <w:sz w:val="32"/>
          <w:szCs w:val="32"/>
        </w:rPr>
        <w:t>十二、</w:t>
      </w:r>
      <w:bookmarkEnd w:id="103"/>
      <w:r>
        <w:rPr>
          <w:rFonts w:eastAsia="仿宋_GB2312" w:cs="仿宋_GB2312" w:hint="eastAsia"/>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cs="仿宋_GB2312"/>
          <w:sz w:val="32"/>
          <w:szCs w:val="32"/>
        </w:rPr>
      </w:pPr>
      <w:bookmarkStart w:id="104" w:name="_Toc15396631"/>
      <w:r>
        <w:rPr>
          <w:rFonts w:eastAsia="仿宋_GB2312" w:cs="仿宋_GB2312" w:hint="eastAsia"/>
          <w:sz w:val="32"/>
          <w:szCs w:val="32"/>
        </w:rPr>
        <w:t>十三、</w:t>
      </w:r>
      <w:bookmarkEnd w:id="104"/>
      <w:r>
        <w:rPr>
          <w:rFonts w:eastAsia="仿宋_GB2312" w:cs="仿宋_GB2312" w:hint="eastAsia"/>
          <w:sz w:val="32"/>
          <w:szCs w:val="32"/>
        </w:rPr>
        <w:t>财政拨款“三公”经费支出决算表</w:t>
      </w:r>
    </w:p>
    <w:p/>
    <w:sectPr>
      <w:footerReference w:type="default" r:id="rId4"/>
      <w:footerReference w:type="first" r:id="rId5"/>
      <w:pgSz w:w="11906" w:h="16838"/>
      <w:pgMar w:top="1440" w:right="1800" w:bottom="1440" w:left="1800" w:header="851" w:footer="992" w:gutter="0"/>
      <w:pgNumType w:fmt="numberInDash"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altName w:val="方正仿宋_GBK"/>
    <w:panose1 w:val="02010609030101010101"/>
    <w:charset w:val="86"/>
    <w:family w:val="modern"/>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仿宋_GBK">
    <w:altName w:val="微软雅黑"/>
    <w:panose1 w:val="00000000000000000000"/>
    <w:charset w:val="86"/>
    <w:family w:val="auto"/>
    <w:pitch w:val="variable"/>
    <w:sig w:usb0="00000000" w:usb1="08000000" w:usb2="00000000" w:usb3="00000000" w:csb0="00040000" w:csb1="00000000"/>
  </w:font>
  <w:font w:name="仿宋">
    <w:altName w:val="方正仿宋_GBK"/>
    <w:panose1 w:val="02010609060101010101"/>
    <w:charset w:val="86"/>
    <w:family w:val="modern"/>
    <w:pitch w:val="variable"/>
    <w:sig w:usb0="800002BF" w:usb1="38CF7CFA" w:usb2="00000016" w:usb3="00000000" w:csb0="00040001" w:csb1="00000000"/>
  </w:font>
  <w:font w:name="楷体_GB2312">
    <w:altName w:val="方正楷体_GBK"/>
    <w:panose1 w:val="02010609030101010101"/>
    <w:charset w:val="86"/>
    <w:family w:val="moder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9"/>
      <w:tabs>
        <w:tab w:val="center" w:pos="4153"/>
        <w:tab w:val="right" w:pos="8306"/>
      </w:tabs>
      <w:jc w:val="center"/>
    </w:pPr>
  </w:p>
  <w:p>
    <w:pPr>
      <w:pStyle w:val="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9"/>
      <w:tabs>
        <w:tab w:val="center" w:pos="4153"/>
        <w:tab w:val="right" w:pos="8306"/>
      </w:tabs>
      <w:jc w:val="center"/>
    </w:pPr>
    <w:r>
      <mc:AlternateContent>
        <mc:Choice Requires="wps">
          <w:drawing>
            <wp:anchor distT="0" distB="0" distL="114298" distR="114298" simplePos="0" relativeHeight="23"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1" name="文本框"/>
              <wp:cNvGraphicFramePr>
                <a:graphicFrameLocks noChangeAspect="0"/>
              </wp:cNvGraphicFramePr>
              <a:graphic>
                <a:graphicData uri="http://schemas.microsoft.com/office/word/2010/wordprocessingShape">
                  <wps:wsp>
                    <wps:cNvSpPr/>
                    <wps:spPr>
                      <a:xfrm rot="0">
                        <a:off x="0" y="0"/>
                        <a:ext cx="179565" cy="139674"/>
                      </a:xfrm>
                      <a:prstGeom prst="rect"/>
                      <a:noFill/>
                      <a:ln w="9525" cmpd="sng" cap="flat">
                        <a:noFill/>
                        <a:prstDash val="solid"/>
                        <a:miter/>
                      </a:ln>
                    </wps:spPr>
                    <wps:txbx id="2">
                      <w:txbxContent>
                        <w:p>
                          <w:pPr>
                            <w:pStyle w:val="19"/>
                            <w:tabs>
                              <w:tab w:val="center" w:pos="4153"/>
                              <w:tab w:val="right" w:pos="8306"/>
                            </w:tabs>
                          </w:pPr>
                          <w:r>
                            <w:fldChar w:fldCharType="begin"/>
                          </w:r>
                          <w:r>
                            <w:instrText xml:space="preserve"> PAGE  \* MERGEFORMAT </w:instrText>
                          </w:r>
                          <w:r>
                            <w:fldChar w:fldCharType="separate"/>
                          </w:r>
                          <w:r>
                            <w:t>- 13 -</w:t>
                          </w:r>
                          <w:r>
                            <w:fldChar w:fldCharType="end"/>
                          </w:r>
                        </w:p>
                      </w:txbxContent>
                    </wps:txbx>
                    <wps:bodyPr vert="horz" wrap="none" lIns="0" tIns="0" rIns="0" bIns="0" anchor="t" anchorCtr="0" upright="1">
                      <a:spAutoFit/>
                    </wps:bodyPr>
                  </wps:wsp>
                </a:graphicData>
              </a:graphic>
            </wp:anchor>
          </w:drawing>
        </mc:Choice>
        <mc:Fallback>
          <w:pict>
            <v:shape type="#_x0000_t202" id="文本框 3" o:spid="_x0000_s3" filled="f" stroked="f" style="position:absolute;margin-left:0.0pt;margin-top:0.0pt;width:14.139006pt;height:10.997971pt;z-index:23;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- 13 -</w:t>
                    </w:r>
                    <w:r>
                      <w:fldChar w:fldCharType="end"/>
                    </w:r>
                  </w:p>
                </w:txbxContent>
              </v:textbox>
            </v:shape>
          </w:pict>
        </mc:Fallback>
      </mc:AlternateContent>
    </w:r>
  </w:p>
  <w:p>
    <w:pPr>
      <w:pStyle w:val="19"/>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9"/>
      <w:tabs>
        <w:tab w:val="center" w:pos="4153"/>
        <w:tab w:val="right" w:pos="8306"/>
      </w:tabs>
    </w:pPr>
    <w:r>
      <mc:AlternateContent>
        <mc:Choice Requires="wps">
          <w:drawing>
            <wp:anchor distT="0" distB="0" distL="114298" distR="114298" simplePos="0" relativeHeight="24"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4" name="文本框"/>
              <wp:cNvGraphicFramePr>
                <a:graphicFrameLocks noChangeAspect="0"/>
              </wp:cNvGraphicFramePr>
              <a:graphic>
                <a:graphicData uri="http://schemas.microsoft.com/office/word/2010/wordprocessingShape">
                  <wps:wsp>
                    <wps:cNvSpPr/>
                    <wps:spPr>
                      <a:xfrm rot="0">
                        <a:off x="0" y="0"/>
                        <a:ext cx="179565" cy="139674"/>
                      </a:xfrm>
                      <a:prstGeom prst="rect"/>
                      <a:noFill/>
                      <a:ln w="9525" cmpd="sng" cap="flat">
                        <a:noFill/>
                        <a:prstDash val="solid"/>
                        <a:miter/>
                      </a:ln>
                    </wps:spPr>
                    <wps:txbx id="5">
                      <w:txbxContent>
                        <w:p>
                          <w:pPr>
                            <w:pStyle w:val="19"/>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type="#_x0000_t202" id="文本框 6" o:spid="_x0000_s6" filled="f" stroked="f" style="position:absolute;margin-left:0.0pt;margin-top:0.0pt;width:14.139006pt;height:10.998005pt;z-index:24;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6FEC76A9"/>
    <w:multiLevelType w:val="singleLevel"/>
    <w:tmpl w:val="6FEC76A9"/>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Arial" w:hAnsi="Cambria"/>
      <w:b/>
      <w:bCs/>
      <w:sz w:val="32"/>
      <w:szCs w:val="32"/>
    </w:rPr>
  </w:style>
  <w:style w:type="character" w:customStyle="1" w:styleId="2Char">
    <w:name w:val="heading 2 Char"/>
    <w:basedOn w:val="10"/>
    <w:link w:val="2"/>
    <w:rPr>
      <w:rFonts w:ascii="Cambria" w:eastAsia="宋体" w:cs="Arial"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pPr>
      <w:spacing w:after="120"/>
      <w:ind w:leftChars="200" w:left="200"/>
    </w:pPr>
    <w:rPr>
      <w:rFonts w:ascii="仿宋_GB2312" w:hAnsi="仿宋_GB2312"/>
      <w:szCs w:val="32"/>
    </w:rPr>
  </w:style>
  <w:style w:type="paragraph" w:styleId="17">
    <w:name w:val="toc 3"/>
    <w:basedOn w:val="0"/>
    <w:next w:val="0"/>
    <w:pPr>
      <w:tabs>
        <w:tab w:val="right" w:leader="dot" w:pos="8296"/>
      </w:tabs>
      <w:ind w:leftChars="400" w:left="400"/>
    </w:pPr>
  </w:style>
  <w:style w:type="paragraph" w:styleId="18">
    <w:name w:val="Balloon Text"/>
    <w:basedOn w:val="0"/>
    <w:rPr>
      <w:sz w:val="18"/>
      <w:szCs w:val="18"/>
    </w:rPr>
  </w:style>
  <w:style w:type="paragraph" w:styleId="19">
    <w:name w:val="footer"/>
    <w:basedOn w:val="0"/>
    <w:pPr>
      <w:tabs>
        <w:tab w:val="center" w:pos="4153"/>
        <w:tab w:val="right" w:pos="8306"/>
      </w:tabs>
      <w:snapToGrid w:val="0"/>
      <w:jc w:val="left"/>
    </w:pPr>
    <w:rPr>
      <w:rFonts w:ascii="Calibri" w:hAnsi="Calibri"/>
      <w:kern w:val="0"/>
      <w:sz w:val="18"/>
      <w:szCs w:val="18"/>
    </w:rPr>
  </w:style>
  <w:style w:type="paragraph" w:styleId="20">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1">
    <w:name w:val="toc 1"/>
    <w:basedOn w:val="0"/>
    <w:next w:val="0"/>
    <w:pPr>
      <w:tabs>
        <w:tab w:val="right" w:leader="dot" w:pos="8296"/>
      </w:tabs>
      <w:spacing w:before="93"/>
      <w:jc w:val="center"/>
    </w:pPr>
    <w:rPr>
      <w:rFonts w:ascii="仿宋" w:eastAsia="仿宋"/>
      <w:sz w:val="28"/>
      <w:szCs w:val="28"/>
    </w:rPr>
  </w:style>
  <w:style w:type="paragraph" w:styleId="22">
    <w:name w:val="footnote text"/>
    <w:basedOn w:val="0"/>
    <w:next w:val="23"/>
    <w:pPr>
      <w:snapToGrid w:val="0"/>
      <w:jc w:val="left"/>
    </w:pPr>
    <w:rPr>
      <w:sz w:val="18"/>
      <w:szCs w:val="18"/>
    </w:rPr>
  </w:style>
  <w:style w:type="paragraph" w:styleId="23">
    <w:name w:val="Body Text First Indent 2"/>
    <w:basedOn w:val="16"/>
    <w:pPr>
      <w:ind w:firstLineChars="200" w:firstLine="200"/>
    </w:p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Arial" w:hAnsi="Cambria"/>
      <w:color w:val="365F91"/>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eastAsia="宋体" w:cs="Arial" w:hAnsi="Cambria"/>
      <w:color w:val="365F91"/>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 w:type="paragraph" w:customStyle="1" w:styleId="36">
    <w:name w:val="WPSOffice手动目录 1"/>
    <w:rPr>
      <w:rFonts w:ascii="Calibri" w:eastAsia="宋体" w:cs="Arial" w:hAnsi="Calibri"/>
      <w:lang w:val="en-US" w:eastAsia="zh-CN" w:bidi="bo-CN"/>
    </w:rPr>
  </w:style>
  <w:style w:type="paragraph" w:customStyle="1" w:styleId="37">
    <w:name w:val="WPSOffice手动目录 2"/>
    <w:pPr>
      <w:ind w:leftChars="200" w:left="200"/>
    </w:pPr>
    <w:rPr>
      <w:rFonts w:ascii="Calibri" w:eastAsia="宋体" w:cs="Arial" w:hAnsi="Calibri"/>
      <w:lang w:val="en-US" w:eastAsia="zh-CN" w:bidi="bo-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17.png"/><Relationship Id="rId10" Type="http://schemas.openxmlformats.org/officeDocument/2006/relationships/image" Target="media/20.png"/><Relationship Id="rId11" Type="http://schemas.openxmlformats.org/officeDocument/2006/relationships/image" Target="media/23.png"/><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6</TotalTime>
  <Application>Yozo_Office</Application>
  <Pages>16</Pages>
  <Words>4613</Words>
  <Characters>5003</Characters>
  <Lines>297</Lines>
  <Paragraphs>132</Paragraphs>
  <CharactersWithSpaces>5117</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4</cp:revision>
  <cp:lastPrinted>2025-08-08T01:34:00Z</cp:lastPrinted>
  <dcterms:created xsi:type="dcterms:W3CDTF">2026-10-13T08:40:00Z</dcterms:created>
  <dcterms:modified xsi:type="dcterms:W3CDTF">2026-10-14T09:13:45Z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2052-11.8.2.12128</vt:lpwstr>
  </property>
  <property fmtid="{D5CDD505-2E9C-101B-9397-08002B2CF9AE}" pid="3" name="ICV">
    <vt:lpwstr>D4C188D348998D7A6F69EF68594C1CFE</vt:lpwstr>
  </property>
</Properties>
</file>