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bookmarkStart w:id="0" w:name="_Toc15378441"/>
      <w:bookmarkStart w:id="1" w:name="_Toc15377425"/>
      <w:bookmarkStart w:id="2" w:name="_Toc15377193"/>
      <w:bookmarkStart w:id="3" w:name="_Toc15396475"/>
      <w:bookmarkStart w:id="4" w:name="_Toc15396597"/>
      <w:bookmarkStart w:id="5" w:name="_Toc15306267"/>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bookmarkEnd w:id="0"/>
    <w:bookmarkEnd w:id="1"/>
    <w:bookmarkEnd w:id="2"/>
    <w:bookmarkEnd w:id="3"/>
    <w:bookmarkEnd w:id="4"/>
    <w:p>
      <w:pPr>
        <w:pStyle w:val="8"/>
        <w:spacing w:before="93"/>
        <w:jc w:val="center"/>
        <w:rPr>
          <w:rFonts w:ascii="Times New Roman" w:eastAsia="方正小标宋简体"/>
          <w:kern w:val="2"/>
          <w:sz w:val="44"/>
          <w:szCs w:val="44"/>
        </w:rPr>
      </w:pPr>
      <w:bookmarkStart w:id="6" w:name="_Toc15396476"/>
      <w:bookmarkStart w:id="7" w:name="_Toc15377194"/>
      <w:bookmarkStart w:id="8" w:name="_Toc15396598"/>
      <w:bookmarkStart w:id="9" w:name="_Toc15378442"/>
      <w:bookmarkStart w:id="10" w:name="_Toc15377426"/>
      <w:r>
        <w:rPr>
          <w:rFonts w:hint="eastAsia" w:ascii="Times New Roman" w:eastAsia="方正小标宋简体"/>
          <w:kern w:val="2"/>
          <w:sz w:val="44"/>
          <w:szCs w:val="44"/>
        </w:rPr>
        <w:t>2025年度四川省</w:t>
      </w:r>
      <w:bookmarkEnd w:id="5"/>
      <w:bookmarkStart w:id="11" w:name="_Toc15306268"/>
      <w:r>
        <w:rPr>
          <w:rFonts w:hint="eastAsia" w:ascii="Times New Roman" w:eastAsia="方正小标宋简体"/>
          <w:kern w:val="2"/>
          <w:sz w:val="44"/>
          <w:szCs w:val="44"/>
        </w:rPr>
        <w:t>阿坝州若尔盖县公安局部门决算</w:t>
      </w:r>
      <w:bookmarkEnd w:id="6"/>
      <w:bookmarkEnd w:id="7"/>
      <w:bookmarkEnd w:id="8"/>
      <w:bookmarkEnd w:id="9"/>
      <w:bookmarkEnd w:id="10"/>
      <w:bookmarkEnd w:id="11"/>
    </w:p>
    <w:p>
      <w:pPr>
        <w:widowControl/>
        <w:jc w:val="center"/>
        <w:rPr>
          <w:rFonts w:eastAsia="黑体"/>
          <w:sz w:val="48"/>
          <w:szCs w:val="48"/>
        </w:rPr>
      </w:pPr>
    </w:p>
    <w:p>
      <w:pPr>
        <w:pStyle w:val="2"/>
      </w:pPr>
    </w:p>
    <w:p>
      <w:pPr>
        <w:pStyle w:val="3"/>
        <w:ind w:left="420"/>
      </w:pPr>
    </w:p>
    <w:p/>
    <w:p>
      <w:pPr>
        <w:pStyle w:val="2"/>
      </w:pPr>
    </w:p>
    <w:p>
      <w:pPr>
        <w:pStyle w:val="3"/>
        <w:ind w:left="420"/>
      </w:pPr>
    </w:p>
    <w:p/>
    <w:p>
      <w:pPr>
        <w:pStyle w:val="2"/>
      </w:pPr>
    </w:p>
    <w:p>
      <w:pPr>
        <w:pStyle w:val="3"/>
        <w:ind w:left="420"/>
      </w:pPr>
    </w:p>
    <w:p/>
    <w:p>
      <w:pPr>
        <w:pStyle w:val="2"/>
      </w:pPr>
    </w:p>
    <w:p>
      <w:pPr>
        <w:pStyle w:val="3"/>
        <w:ind w:left="420"/>
      </w:pPr>
    </w:p>
    <w:p/>
    <w:p>
      <w:pPr>
        <w:pStyle w:val="2"/>
      </w:pPr>
    </w:p>
    <w:p>
      <w:pPr>
        <w:pStyle w:val="3"/>
        <w:ind w:left="420"/>
      </w:pPr>
    </w:p>
    <w:p/>
    <w:p>
      <w:pPr>
        <w:pStyle w:val="2"/>
      </w:pPr>
    </w:p>
    <w:p>
      <w:pPr>
        <w:pStyle w:val="3"/>
        <w:ind w:left="420" w:firstLine="1680" w:firstLineChars="800"/>
      </w:pPr>
      <w:r>
        <w:rPr>
          <w:rFonts w:hint="eastAsia"/>
        </w:rPr>
        <w:t>已经保密审查、内容审定，同意对外公开</w:t>
      </w:r>
    </w:p>
    <w:p/>
    <w:p>
      <w:pPr>
        <w:pStyle w:val="2"/>
      </w:pPr>
    </w:p>
    <w:p>
      <w:p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start="1"/>
          <w:cols w:space="425" w:num="1"/>
          <w:titlePg/>
          <w:docGrid w:type="lines" w:linePitch="312" w:charSpace="0"/>
        </w:sectPr>
      </w:pPr>
    </w:p>
    <w:p>
      <w:pPr>
        <w:widowControl/>
        <w:jc w:val="center"/>
        <w:rPr>
          <w:rFonts w:eastAsia="黑体"/>
          <w:sz w:val="48"/>
          <w:szCs w:val="48"/>
        </w:rPr>
      </w:pPr>
      <w:r>
        <w:rPr>
          <w:rFonts w:hint="eastAsia" w:eastAsia="黑体"/>
          <w:sz w:val="48"/>
          <w:szCs w:val="48"/>
        </w:rPr>
        <w:t>目录</w:t>
      </w:r>
    </w:p>
    <w:p>
      <w:pPr>
        <w:widowControl/>
        <w:jc w:val="center"/>
        <w:rPr>
          <w:rFonts w:eastAsia="黑体" w:cstheme="minorBidi"/>
          <w:sz w:val="28"/>
          <w:szCs w:val="28"/>
        </w:rPr>
      </w:pPr>
    </w:p>
    <w:p>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公开时间：2026年10月10日</w:t>
      </w:r>
    </w:p>
    <w:p/>
    <w:p>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一、部门职责                                   3</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                                   3</w:t>
      </w:r>
    </w:p>
    <w:p>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2025年度部门决算情况说明</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                   4</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                           4</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                           5</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 xml:space="preserve">四、财政拨款收入支出决算总体情况说明           6 </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五、一般公共预算财政拨款支出决算情况说明       6</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六、一般公共预算财政拨款基本支出决算情况说明  10</w:t>
      </w:r>
    </w:p>
    <w:p>
      <w:pPr>
        <w:pStyle w:val="14"/>
        <w:adjustRightInd w:val="0"/>
        <w:snapToGrid w:val="0"/>
        <w:spacing w:line="560" w:lineRule="exact"/>
        <w:ind w:left="0" w:leftChars="0" w:firstLine="640" w:firstLineChars="200"/>
        <w:jc w:val="left"/>
        <w:rPr>
          <w:rFonts w:hint="eastAsia" w:eastAsia="仿宋_GB2312" w:cs="仿宋_GB2312"/>
          <w:sz w:val="32"/>
          <w:szCs w:val="32"/>
          <w:lang w:val="en-US" w:eastAsia="zh-CN"/>
        </w:rPr>
      </w:pPr>
      <w:r>
        <w:rPr>
          <w:rFonts w:hint="eastAsia" w:eastAsia="仿宋_GB2312" w:cs="仿宋_GB2312"/>
          <w:sz w:val="32"/>
          <w:szCs w:val="32"/>
        </w:rPr>
        <w:t xml:space="preserve">七、财政拨款“三公”经费支出决算情况说明      </w:t>
      </w:r>
      <w:r>
        <w:rPr>
          <w:rFonts w:hint="eastAsia" w:eastAsia="仿宋_GB2312" w:cs="仿宋_GB2312"/>
          <w:sz w:val="32"/>
          <w:szCs w:val="32"/>
          <w:lang w:val="en-US" w:eastAsia="zh-CN"/>
        </w:rPr>
        <w:t>11</w:t>
      </w:r>
      <w:bookmarkStart w:id="67" w:name="_GoBack"/>
      <w:bookmarkEnd w:id="67"/>
      <w:r>
        <w:rPr>
          <w:rFonts w:hint="eastAsia" w:eastAsia="仿宋_GB2312" w:cs="仿宋_GB2312"/>
          <w:sz w:val="32"/>
          <w:szCs w:val="32"/>
        </w:rPr>
        <w:t xml:space="preserve">   </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            13</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九、国有资本经营预算支出决算情况说明          13</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                    13</w:t>
      </w:r>
    </w:p>
    <w:p>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                                15</w:t>
      </w:r>
    </w:p>
    <w:p>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                                    16</w:t>
      </w:r>
    </w:p>
    <w:p>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                                    17</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                         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                               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                               18</w:t>
      </w:r>
    </w:p>
    <w:p>
      <w:pPr>
        <w:pStyle w:val="14"/>
        <w:adjustRightInd w:val="0"/>
        <w:snapToGrid w:val="0"/>
        <w:spacing w:line="560" w:lineRule="exact"/>
        <w:ind w:left="0" w:leftChars="0" w:firstLine="640" w:firstLineChars="200"/>
        <w:jc w:val="left"/>
        <w:rPr>
          <w:rFonts w:eastAsia="仿宋_GB2312" w:cs="仿宋_GB2312"/>
          <w:sz w:val="32"/>
          <w:szCs w:val="32"/>
        </w:rPr>
      </w:pP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                  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                    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            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        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    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        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      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  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      18</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             18</w:t>
      </w:r>
    </w:p>
    <w:p>
      <w:pPr>
        <w:pStyle w:val="14"/>
        <w:adjustRightInd w:val="0"/>
        <w:snapToGrid w:val="0"/>
        <w:spacing w:line="560" w:lineRule="exact"/>
        <w:ind w:left="0" w:leftChars="0" w:firstLine="643" w:firstLineChars="200"/>
        <w:jc w:val="left"/>
        <w:rPr>
          <w:rFonts w:eastAsia="仿宋_GB2312" w:cs="仿宋_GB2312"/>
          <w:b/>
          <w:bCs/>
          <w:sz w:val="32"/>
          <w:szCs w:val="32"/>
        </w:rPr>
      </w:pPr>
      <w:r>
        <w:rPr>
          <w:rFonts w:hint="eastAsia" w:eastAsia="仿宋_GB2312" w:cs="仿宋_GB2312"/>
          <w:b/>
          <w:bCs/>
          <w:sz w:val="32"/>
          <w:szCs w:val="32"/>
        </w:rPr>
        <w:t>（注：请部门根据实际注明页码）</w:t>
      </w:r>
    </w:p>
    <w:p>
      <w:pPr>
        <w:widowControl/>
        <w:spacing w:line="560" w:lineRule="exact"/>
        <w:jc w:val="left"/>
        <w:rPr>
          <w:rFonts w:eastAsia="仿宋_GB2312" w:cs="仿宋_GB2312"/>
          <w:bCs/>
          <w:kern w:val="44"/>
          <w:sz w:val="32"/>
          <w:szCs w:val="32"/>
        </w:rPr>
      </w:pPr>
      <w:bookmarkStart w:id="12" w:name="_Toc15396599"/>
      <w:bookmarkStart w:id="13" w:name="_Toc15377196"/>
      <w:r>
        <w:rPr>
          <w:rFonts w:hint="eastAsia" w:eastAsia="仿宋_GB2312" w:cs="仿宋_GB2312"/>
          <w:b/>
          <w:sz w:val="32"/>
          <w:szCs w:val="32"/>
        </w:rPr>
        <w:br w:type="page"/>
      </w:r>
    </w:p>
    <w:p>
      <w:pPr>
        <w:pStyle w:val="5"/>
        <w:jc w:val="center"/>
        <w:rPr>
          <w:rStyle w:val="29"/>
          <w:rFonts w:eastAsia="方正小标宋简体" w:cs="方正小标宋简体"/>
          <w:b/>
          <w:bCs w:val="0"/>
        </w:rPr>
      </w:pPr>
      <w:r>
        <w:rPr>
          <w:rFonts w:hint="eastAsia" w:eastAsia="方正小标宋简体" w:cs="方正小标宋简体"/>
          <w:b w:val="0"/>
        </w:rPr>
        <w:t>第一部分</w:t>
      </w:r>
      <w:r>
        <w:rPr>
          <w:rStyle w:val="29"/>
          <w:rFonts w:hint="eastAsia" w:eastAsia="方正小标宋简体" w:cs="方正小标宋简体"/>
          <w:b w:val="0"/>
          <w:bCs w:val="0"/>
        </w:rPr>
        <w:t>部门概况</w:t>
      </w:r>
      <w:bookmarkEnd w:id="12"/>
      <w:bookmarkEnd w:id="13"/>
    </w:p>
    <w:p>
      <w:pPr>
        <w:widowControl/>
        <w:jc w:val="left"/>
        <w:rPr>
          <w:rFonts w:eastAsia="黑体"/>
          <w:sz w:val="32"/>
          <w:szCs w:val="32"/>
        </w:rPr>
      </w:pPr>
    </w:p>
    <w:p>
      <w:pPr>
        <w:pStyle w:val="6"/>
        <w:numPr>
          <w:ilvl w:val="0"/>
          <w:numId w:val="1"/>
        </w:numPr>
        <w:rPr>
          <w:rFonts w:ascii="Times New Roman" w:hAnsi="Times New Roman" w:eastAsia="黑体"/>
          <w:b w:val="0"/>
        </w:rPr>
      </w:pPr>
      <w:r>
        <w:rPr>
          <w:rFonts w:hint="eastAsia" w:ascii="Times New Roman" w:hAnsi="Times New Roman" w:eastAsia="黑体"/>
          <w:b w:val="0"/>
        </w:rPr>
        <w:t>部门职责</w:t>
      </w:r>
    </w:p>
    <w:p>
      <w:pPr>
        <w:pStyle w:val="6"/>
        <w:rPr>
          <w:rFonts w:ascii="Times New Roman" w:hAnsi="Times New Roman" w:eastAsia="黑体"/>
          <w:b w:val="0"/>
        </w:rPr>
      </w:pPr>
      <w:r>
        <w:rPr>
          <w:rFonts w:hint="eastAsia" w:ascii="仿宋_GB2312" w:hAnsi="仿宋_GB2312" w:eastAsia="仿宋_GB2312" w:cs="仿宋_GB2312"/>
        </w:rPr>
        <w:t xml:space="preserve">  预防、制止和侦查违犯罪活动，打击、规范恐怖活动； 维护社会治安秩序，制止危害社会治安秩序的行为，管理交通消防、危险物品；管理户口、居民身份证、国籍、入境事务和外国人在中国境内居住、旅行事务。维护国境地区的治安秩序； 指导和监督国家机关、社会团体、企业事业组织和重点建设工程的治安保卫工作。</w:t>
      </w:r>
    </w:p>
    <w:p>
      <w:pPr>
        <w:pStyle w:val="6"/>
        <w:rPr>
          <w:rStyle w:val="30"/>
          <w:rFonts w:ascii="Times New Roman" w:hAnsi="Times New Roman"/>
          <w:b w:val="0"/>
          <w:bCs w:val="0"/>
        </w:rPr>
      </w:pPr>
      <w:bookmarkStart w:id="14" w:name="_Toc15377200"/>
      <w:bookmarkStart w:id="15" w:name="_Toc15396601"/>
      <w:r>
        <w:rPr>
          <w:rFonts w:hint="eastAsia" w:ascii="Times New Roman" w:hAnsi="Times New Roman" w:eastAsia="黑体"/>
          <w:b w:val="0"/>
        </w:rPr>
        <w:t>二、机</w:t>
      </w:r>
      <w:r>
        <w:rPr>
          <w:rStyle w:val="30"/>
          <w:rFonts w:hint="eastAsia" w:ascii="Times New Roman" w:hAnsi="Times New Roman" w:eastAsia="黑体"/>
          <w:b w:val="0"/>
          <w:bCs w:val="0"/>
        </w:rPr>
        <w:t>构设置</w:t>
      </w:r>
      <w:bookmarkEnd w:id="14"/>
      <w:bookmarkEnd w:id="15"/>
    </w:p>
    <w:p>
      <w:pPr>
        <w:ind w:firstLine="800" w:firstLineChars="250"/>
        <w:rPr>
          <w:rFonts w:eastAsia="仿宋_GB2312" w:cs="仿宋_GB2312"/>
          <w:sz w:val="32"/>
          <w:szCs w:val="32"/>
        </w:rPr>
      </w:pPr>
      <w:r>
        <w:rPr>
          <w:rFonts w:hint="eastAsia" w:ascii="仿宋_GB2312" w:hAnsi="仿宋_GB2312" w:eastAsia="仿宋_GB2312" w:cs="仿宋_GB2312"/>
          <w:sz w:val="32"/>
          <w:szCs w:val="32"/>
        </w:rPr>
        <w:t>阿坝州若尔盖县公安局</w:t>
      </w:r>
      <w:r>
        <w:rPr>
          <w:rFonts w:hint="eastAsia" w:eastAsia="仿宋_GB2312" w:cs="仿宋_GB2312"/>
          <w:sz w:val="32"/>
          <w:szCs w:val="32"/>
        </w:rPr>
        <w:t>下属二级预算单位0个，其中行政单位0个，参照公务员法管理的事业单位</w:t>
      </w:r>
      <w:r>
        <w:rPr>
          <w:rFonts w:hint="eastAsia" w:eastAsia="仿宋_GB2312" w:cs="仿宋_GB2312"/>
          <w:bCs/>
          <w:sz w:val="32"/>
          <w:szCs w:val="32"/>
        </w:rPr>
        <w:t>0</w:t>
      </w:r>
      <w:r>
        <w:rPr>
          <w:rFonts w:hint="eastAsia" w:eastAsia="仿宋_GB2312" w:cs="仿宋_GB2312"/>
          <w:sz w:val="32"/>
          <w:szCs w:val="32"/>
        </w:rPr>
        <w:t>个，其他事业单位0个。</w:t>
      </w:r>
    </w:p>
    <w:p>
      <w:pPr>
        <w:widowControl/>
        <w:jc w:val="left"/>
        <w:rPr>
          <w:rFonts w:eastAsia="仿宋"/>
          <w:kern w:val="0"/>
          <w:sz w:val="32"/>
          <w:szCs w:val="32"/>
        </w:rPr>
      </w:pPr>
      <w:r>
        <w:rPr>
          <w:rFonts w:eastAsia="仿宋"/>
          <w:sz w:val="32"/>
          <w:szCs w:val="32"/>
        </w:rPr>
        <w:br w:type="page"/>
      </w:r>
    </w:p>
    <w:p>
      <w:pPr>
        <w:pStyle w:val="5"/>
        <w:jc w:val="center"/>
        <w:rPr>
          <w:rFonts w:eastAsia="方正小标宋简体" w:cs="方正小标宋简体"/>
          <w:b w:val="0"/>
        </w:rPr>
      </w:pPr>
      <w:bookmarkStart w:id="16" w:name="_Toc15396602"/>
      <w:bookmarkStart w:id="17" w:name="_Toc15377204"/>
      <w:r>
        <w:rPr>
          <w:rFonts w:hint="eastAsia" w:eastAsia="方正小标宋简体" w:cs="方正小标宋简体"/>
          <w:b w:val="0"/>
        </w:rPr>
        <w:t>第二部分2025年度部门决算情况说明</w:t>
      </w:r>
      <w:bookmarkEnd w:id="16"/>
      <w:bookmarkEnd w:id="17"/>
    </w:p>
    <w:p>
      <w:pPr>
        <w:pStyle w:val="28"/>
        <w:spacing w:line="600" w:lineRule="exact"/>
        <w:ind w:firstLine="640"/>
        <w:outlineLvl w:val="1"/>
        <w:rPr>
          <w:rStyle w:val="30"/>
          <w:rFonts w:ascii="Times New Roman" w:hAnsi="Times New Roman" w:eastAsia="黑体"/>
          <w:b w:val="0"/>
        </w:rPr>
      </w:pPr>
      <w:bookmarkStart w:id="18" w:name="_Toc15377205"/>
      <w:bookmarkStart w:id="19" w:name="_Toc15396603"/>
      <w:r>
        <w:rPr>
          <w:rFonts w:hint="eastAsia" w:eastAsia="黑体"/>
          <w:sz w:val="32"/>
          <w:szCs w:val="32"/>
        </w:rPr>
        <w:t>一、收</w:t>
      </w:r>
      <w:r>
        <w:rPr>
          <w:rStyle w:val="30"/>
          <w:rFonts w:hint="eastAsia" w:ascii="Times New Roman" w:hAnsi="Times New Roman" w:eastAsia="黑体"/>
          <w:b w:val="0"/>
        </w:rPr>
        <w:t>入支出决算总体情况说明</w:t>
      </w:r>
      <w:bookmarkEnd w:id="18"/>
      <w:bookmarkEnd w:id="19"/>
    </w:p>
    <w:p>
      <w:pPr>
        <w:widowControl/>
        <w:ind w:firstLine="640" w:firstLineChars="200"/>
        <w:jc w:val="left"/>
        <w:rPr>
          <w:rFonts w:ascii="仿宋_GB2312" w:hAnsi="仿宋_GB2312" w:eastAsia="仿宋_GB2312" w:cs="仿宋_GB2312"/>
          <w:sz w:val="32"/>
          <w:szCs w:val="32"/>
        </w:rPr>
      </w:pPr>
      <w:r>
        <w:rPr>
          <w:rFonts w:hint="eastAsia" w:eastAsia="仿宋_GB2312" w:cs="仿宋_GB2312"/>
          <w:sz w:val="32"/>
          <w:szCs w:val="32"/>
        </w:rPr>
        <w:t>2025年度收入、支出总计均为</w:t>
      </w:r>
      <w:r>
        <w:rPr>
          <w:rFonts w:hint="eastAsia" w:ascii="仿宋_GB2312" w:hAnsi="仿宋_GB2312" w:eastAsia="仿宋_GB2312" w:cs="仿宋_GB2312"/>
          <w:sz w:val="32"/>
          <w:szCs w:val="32"/>
        </w:rPr>
        <w:t>13746.72</w:t>
      </w:r>
      <w:r>
        <w:rPr>
          <w:rFonts w:hint="eastAsia" w:eastAsia="仿宋_GB2312" w:cs="仿宋_GB2312"/>
          <w:sz w:val="32"/>
          <w:szCs w:val="32"/>
        </w:rPr>
        <w:t>万元。与上年度相比，收入、支出总计各增加2174.38万元，增长18.8%。主要变动原因是</w:t>
      </w:r>
      <w:r>
        <w:rPr>
          <w:rFonts w:hint="eastAsia" w:ascii="仿宋_GB2312" w:hAnsi="仿宋_GB2312" w:eastAsia="仿宋_GB2312" w:cs="仿宋_GB2312"/>
          <w:sz w:val="32"/>
          <w:szCs w:val="32"/>
        </w:rPr>
        <w:t>主要变动原因是项目经费增加,维稳工作重，案件数量加大、治安管理力度增强，总体收入支出增加。</w:t>
      </w:r>
    </w:p>
    <w:p>
      <w:pPr>
        <w:pStyle w:val="2"/>
      </w:pPr>
    </w:p>
    <w:p>
      <w:pPr>
        <w:pStyle w:val="3"/>
        <w:ind w:left="420"/>
      </w:pPr>
      <w:r>
        <w:drawing>
          <wp:anchor distT="0" distB="0" distL="114300" distR="114300" simplePos="0" relativeHeight="251659264" behindDoc="1" locked="0" layoutInCell="1" allowOverlap="1">
            <wp:simplePos x="0" y="0"/>
            <wp:positionH relativeFrom="column">
              <wp:posOffset>800735</wp:posOffset>
            </wp:positionH>
            <wp:positionV relativeFrom="paragraph">
              <wp:posOffset>106045</wp:posOffset>
            </wp:positionV>
            <wp:extent cx="2948305" cy="2333625"/>
            <wp:effectExtent l="19050" t="0" r="23495" b="0"/>
            <wp:wrapNone/>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spacing w:line="600" w:lineRule="exact"/>
        <w:ind w:firstLine="419" w:firstLineChars="131"/>
        <w:outlineLvl w:val="1"/>
        <w:rPr>
          <w:rFonts w:eastAsia="仿宋_GB2312" w:cs="仿宋_GB2312"/>
          <w:sz w:val="32"/>
          <w:szCs w:val="32"/>
        </w:rPr>
      </w:pPr>
    </w:p>
    <w:p>
      <w:pPr>
        <w:pStyle w:val="28"/>
        <w:spacing w:line="600" w:lineRule="exact"/>
        <w:ind w:firstLine="640"/>
        <w:outlineLvl w:val="1"/>
        <w:rPr>
          <w:rFonts w:eastAsia="仿宋_GB2312" w:cs="仿宋_GB2312"/>
          <w:sz w:val="32"/>
          <w:szCs w:val="32"/>
        </w:rPr>
      </w:pPr>
    </w:p>
    <w:p>
      <w:pPr>
        <w:pStyle w:val="28"/>
        <w:spacing w:line="600" w:lineRule="exact"/>
        <w:ind w:firstLine="640"/>
        <w:outlineLvl w:val="1"/>
        <w:rPr>
          <w:rFonts w:eastAsia="仿宋_GB2312" w:cs="仿宋_GB2312"/>
          <w:sz w:val="32"/>
          <w:szCs w:val="32"/>
        </w:rPr>
      </w:pPr>
    </w:p>
    <w:p>
      <w:pPr>
        <w:pStyle w:val="28"/>
        <w:spacing w:line="600" w:lineRule="exact"/>
        <w:ind w:firstLine="640"/>
        <w:outlineLvl w:val="1"/>
        <w:rPr>
          <w:rFonts w:eastAsia="仿宋_GB2312" w:cs="仿宋_GB2312"/>
          <w:sz w:val="32"/>
          <w:szCs w:val="32"/>
        </w:rPr>
      </w:pPr>
    </w:p>
    <w:p>
      <w:pPr>
        <w:pStyle w:val="28"/>
        <w:spacing w:line="600" w:lineRule="exact"/>
        <w:ind w:firstLine="640"/>
        <w:outlineLvl w:val="1"/>
        <w:rPr>
          <w:rFonts w:eastAsia="仿宋_GB2312" w:cs="仿宋_GB2312"/>
          <w:sz w:val="32"/>
          <w:szCs w:val="32"/>
        </w:rPr>
      </w:pPr>
    </w:p>
    <w:p>
      <w:pPr>
        <w:pStyle w:val="28"/>
        <w:spacing w:line="600" w:lineRule="exact"/>
        <w:ind w:firstLine="640"/>
        <w:outlineLvl w:val="1"/>
        <w:rPr>
          <w:rFonts w:eastAsia="仿宋_GB2312" w:cs="仿宋_GB2312"/>
          <w:sz w:val="32"/>
          <w:szCs w:val="32"/>
        </w:rPr>
      </w:pPr>
    </w:p>
    <w:p>
      <w:pPr>
        <w:pStyle w:val="28"/>
        <w:spacing w:line="600" w:lineRule="exact"/>
        <w:ind w:firstLine="640"/>
        <w:outlineLvl w:val="1"/>
        <w:rPr>
          <w:rFonts w:eastAsia="仿宋_GB2312" w:cs="仿宋_GB2312"/>
          <w:sz w:val="32"/>
          <w:szCs w:val="32"/>
        </w:rPr>
      </w:pPr>
      <w:r>
        <w:rPr>
          <w:rFonts w:hint="eastAsia" w:eastAsia="仿宋_GB2312" w:cs="仿宋_GB2312"/>
          <w:sz w:val="32"/>
          <w:szCs w:val="32"/>
        </w:rPr>
        <w:t>（图1：收入、支出决算总计变动情况图）（柱状图）</w:t>
      </w:r>
    </w:p>
    <w:p>
      <w:pPr>
        <w:pStyle w:val="28"/>
        <w:ind w:firstLine="640"/>
        <w:outlineLvl w:val="1"/>
        <w:rPr>
          <w:rFonts w:eastAsia="黑体"/>
          <w:sz w:val="32"/>
          <w:szCs w:val="32"/>
        </w:rPr>
      </w:pPr>
      <w:bookmarkStart w:id="20" w:name="_Toc15396604"/>
      <w:bookmarkStart w:id="21" w:name="_Toc15377206"/>
      <w:r>
        <w:rPr>
          <w:rFonts w:hint="eastAsia" w:eastAsia="黑体"/>
          <w:sz w:val="32"/>
          <w:szCs w:val="32"/>
        </w:rPr>
        <w:t>二、收入决算情况说明</w:t>
      </w:r>
      <w:bookmarkEnd w:id="20"/>
      <w:bookmarkEnd w:id="21"/>
    </w:p>
    <w:p>
      <w:pPr>
        <w:pStyle w:val="28"/>
        <w:ind w:firstLine="640"/>
        <w:outlineLvl w:val="1"/>
        <w:rPr>
          <w:rFonts w:eastAsia="仿宋_GB2312" w:cs="仿宋_GB2312"/>
          <w:b/>
          <w:bCs/>
          <w:sz w:val="32"/>
          <w:szCs w:val="32"/>
        </w:rPr>
      </w:pPr>
      <w:r>
        <w:rPr>
          <w:rFonts w:hint="eastAsia" w:eastAsia="仿宋_GB2312" w:cs="仿宋_GB2312"/>
          <w:sz w:val="32"/>
          <w:szCs w:val="32"/>
        </w:rPr>
        <w:t>2025年度本年收入合计</w:t>
      </w:r>
      <w:r>
        <w:rPr>
          <w:rFonts w:hint="eastAsia" w:ascii="仿宋_GB2312" w:hAnsi="仿宋_GB2312" w:eastAsia="仿宋_GB2312" w:cs="仿宋_GB2312"/>
          <w:sz w:val="32"/>
          <w:szCs w:val="32"/>
        </w:rPr>
        <w:t>13148.39</w:t>
      </w:r>
      <w:r>
        <w:rPr>
          <w:rFonts w:hint="eastAsia" w:eastAsia="仿宋_GB2312" w:cs="仿宋_GB2312"/>
          <w:sz w:val="32"/>
          <w:szCs w:val="32"/>
        </w:rPr>
        <w:t>万元，其中：一般公共预算财政拨款收入</w:t>
      </w:r>
      <w:r>
        <w:rPr>
          <w:rFonts w:hint="eastAsia" w:ascii="仿宋_GB2312" w:hAnsi="仿宋_GB2312" w:eastAsia="仿宋_GB2312" w:cs="仿宋_GB2312"/>
          <w:sz w:val="32"/>
          <w:szCs w:val="32"/>
        </w:rPr>
        <w:t>13148.39</w:t>
      </w:r>
      <w:r>
        <w:rPr>
          <w:rFonts w:hint="eastAsia" w:eastAsia="仿宋_GB2312" w:cs="仿宋_GB2312"/>
          <w:sz w:val="32"/>
          <w:szCs w:val="32"/>
        </w:rPr>
        <w:t>万元，占</w:t>
      </w:r>
      <w:r>
        <w:rPr>
          <w:rFonts w:hint="eastAsia" w:ascii="仿宋_GB2312" w:hAnsi="仿宋_GB2312" w:eastAsia="仿宋_GB2312" w:cs="仿宋_GB2312"/>
          <w:sz w:val="32"/>
          <w:szCs w:val="32"/>
        </w:rPr>
        <w:t>100</w:t>
      </w:r>
      <w:r>
        <w:rPr>
          <w:rFonts w:hint="eastAsia" w:eastAsia="仿宋_GB2312" w:cs="仿宋_GB2312"/>
          <w:sz w:val="32"/>
          <w:szCs w:val="32"/>
        </w:rPr>
        <w:t>%；政府性基金预算财政拨款收入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%；国有资本经营预算财政拨款收入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%；上级补助收入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%；事业收入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%；经营收入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%；附属单位上缴收入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%；其他收入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w:t>
      </w:r>
      <w:r>
        <w:rPr>
          <w:rFonts w:hint="eastAsia" w:eastAsia="仿宋_GB2312" w:cs="仿宋_GB2312"/>
          <w:b/>
          <w:bCs/>
          <w:sz w:val="32"/>
          <w:szCs w:val="32"/>
        </w:rPr>
        <w:t>（注：仅罗列本部门涉及的收入）</w:t>
      </w:r>
    </w:p>
    <w:p>
      <w:pPr>
        <w:pStyle w:val="28"/>
        <w:ind w:firstLine="640"/>
        <w:outlineLvl w:val="1"/>
        <w:rPr>
          <w:rFonts w:eastAsia="仿宋_GB2312" w:cs="仿宋_GB2312"/>
          <w:b/>
          <w:bCs/>
          <w:sz w:val="32"/>
          <w:szCs w:val="32"/>
        </w:rPr>
      </w:pPr>
      <w:r>
        <w:rPr>
          <w:rFonts w:eastAsia="仿宋_GB2312" w:cs="仿宋_GB2312"/>
          <w:b/>
          <w:bCs/>
          <w:sz w:val="32"/>
          <w:szCs w:val="32"/>
        </w:rPr>
        <w:drawing>
          <wp:inline distT="0" distB="0" distL="0" distR="0">
            <wp:extent cx="4381500" cy="2409825"/>
            <wp:effectExtent l="19050" t="0" r="19050" b="0"/>
            <wp:docPr id="1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28"/>
        <w:ind w:firstLine="640"/>
        <w:outlineLvl w:val="1"/>
        <w:rPr>
          <w:rFonts w:eastAsia="仿宋_GB2312" w:cs="仿宋_GB2312"/>
          <w:sz w:val="32"/>
          <w:szCs w:val="32"/>
        </w:rPr>
      </w:pPr>
      <w:r>
        <w:rPr>
          <w:rFonts w:hint="eastAsia" w:eastAsia="仿宋_GB2312" w:cs="仿宋_GB2312"/>
          <w:sz w:val="32"/>
          <w:szCs w:val="32"/>
        </w:rPr>
        <w:t>（图2：收入决算结构图）（饼状图）</w:t>
      </w:r>
    </w:p>
    <w:p>
      <w:pPr>
        <w:pStyle w:val="28"/>
        <w:spacing w:line="600" w:lineRule="exact"/>
        <w:ind w:firstLine="640"/>
        <w:outlineLvl w:val="1"/>
        <w:rPr>
          <w:rStyle w:val="30"/>
          <w:rFonts w:ascii="Times New Roman" w:hAnsi="Times New Roman" w:eastAsia="黑体"/>
          <w:b w:val="0"/>
        </w:rPr>
      </w:pPr>
      <w:bookmarkStart w:id="22" w:name="_Toc15396605"/>
      <w:bookmarkStart w:id="23" w:name="_Toc15377207"/>
      <w:r>
        <w:rPr>
          <w:rFonts w:hint="eastAsia" w:eastAsia="黑体"/>
          <w:sz w:val="32"/>
          <w:szCs w:val="32"/>
        </w:rPr>
        <w:t>三、支</w:t>
      </w:r>
      <w:r>
        <w:rPr>
          <w:rStyle w:val="30"/>
          <w:rFonts w:hint="eastAsia" w:ascii="Times New Roman" w:hAnsi="Times New Roman" w:eastAsia="黑体"/>
          <w:b w:val="0"/>
        </w:rPr>
        <w:t>出决算情况说明</w:t>
      </w:r>
      <w:bookmarkEnd w:id="22"/>
      <w:bookmarkEnd w:id="23"/>
    </w:p>
    <w:p>
      <w:pPr>
        <w:pStyle w:val="28"/>
        <w:spacing w:line="600" w:lineRule="exact"/>
        <w:ind w:firstLine="640"/>
        <w:outlineLvl w:val="1"/>
        <w:rPr>
          <w:rFonts w:eastAsia="仿宋_GB2312" w:cs="仿宋_GB2312"/>
          <w:b/>
          <w:bCs/>
          <w:sz w:val="32"/>
          <w:szCs w:val="32"/>
        </w:rPr>
      </w:pPr>
      <w:r>
        <w:rPr>
          <w:rFonts w:hint="eastAsia" w:eastAsia="仿宋_GB2312" w:cs="仿宋_GB2312"/>
          <w:sz w:val="32"/>
          <w:szCs w:val="32"/>
        </w:rPr>
        <w:t>2025年度本年支出合计</w:t>
      </w:r>
      <w:r>
        <w:rPr>
          <w:rFonts w:hint="eastAsia" w:ascii="仿宋_GB2312" w:hAnsi="仿宋_GB2312" w:eastAsia="仿宋_GB2312" w:cs="仿宋_GB2312"/>
          <w:sz w:val="32"/>
          <w:szCs w:val="32"/>
        </w:rPr>
        <w:t>13746.72</w:t>
      </w:r>
      <w:r>
        <w:rPr>
          <w:rFonts w:hint="eastAsia" w:eastAsia="仿宋_GB2312" w:cs="仿宋_GB2312"/>
          <w:sz w:val="32"/>
          <w:szCs w:val="32"/>
        </w:rPr>
        <w:t>万元，其中：基本支出</w:t>
      </w:r>
      <w:r>
        <w:rPr>
          <w:rFonts w:hint="eastAsia" w:ascii="仿宋_GB2312" w:hAnsi="仿宋_GB2312" w:eastAsia="仿宋_GB2312" w:cs="仿宋_GB2312"/>
          <w:sz w:val="32"/>
          <w:szCs w:val="32"/>
        </w:rPr>
        <w:t>8257.25</w:t>
      </w:r>
      <w:r>
        <w:rPr>
          <w:rFonts w:hint="eastAsia" w:eastAsia="仿宋_GB2312" w:cs="仿宋_GB2312"/>
          <w:sz w:val="32"/>
          <w:szCs w:val="32"/>
        </w:rPr>
        <w:t>万元，占</w:t>
      </w:r>
      <w:r>
        <w:rPr>
          <w:rFonts w:hint="eastAsia" w:ascii="仿宋_GB2312" w:hAnsi="仿宋_GB2312" w:eastAsia="仿宋_GB2312" w:cs="仿宋_GB2312"/>
          <w:sz w:val="32"/>
          <w:szCs w:val="32"/>
        </w:rPr>
        <w:t>60.06</w:t>
      </w:r>
      <w:r>
        <w:rPr>
          <w:rFonts w:hint="eastAsia" w:eastAsia="仿宋_GB2312" w:cs="仿宋_GB2312"/>
          <w:sz w:val="32"/>
          <w:szCs w:val="32"/>
        </w:rPr>
        <w:t>%；项目支出</w:t>
      </w:r>
      <w:r>
        <w:rPr>
          <w:rFonts w:hint="eastAsia" w:ascii="仿宋_GB2312" w:hAnsi="仿宋_GB2312" w:eastAsia="仿宋_GB2312" w:cs="仿宋_GB2312"/>
          <w:sz w:val="32"/>
          <w:szCs w:val="32"/>
        </w:rPr>
        <w:t>5489.47</w:t>
      </w:r>
      <w:r>
        <w:rPr>
          <w:rFonts w:hint="eastAsia" w:eastAsia="仿宋_GB2312" w:cs="仿宋_GB2312"/>
          <w:sz w:val="32"/>
          <w:szCs w:val="32"/>
        </w:rPr>
        <w:t>万元，占</w:t>
      </w:r>
      <w:r>
        <w:rPr>
          <w:rFonts w:hint="eastAsia" w:ascii="仿宋_GB2312" w:hAnsi="仿宋_GB2312" w:eastAsia="仿宋_GB2312" w:cs="仿宋_GB2312"/>
          <w:sz w:val="32"/>
          <w:szCs w:val="32"/>
        </w:rPr>
        <w:t>39.93</w:t>
      </w:r>
      <w:r>
        <w:rPr>
          <w:rFonts w:hint="eastAsia" w:eastAsia="仿宋_GB2312" w:cs="仿宋_GB2312"/>
          <w:sz w:val="32"/>
          <w:szCs w:val="32"/>
        </w:rPr>
        <w:t>%；上缴上级支出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%；经营支出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%；对附属单位补助支出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w:t>
      </w:r>
      <w:r>
        <w:rPr>
          <w:rFonts w:hint="eastAsia" w:eastAsia="仿宋_GB2312" w:cs="仿宋_GB2312"/>
          <w:b/>
          <w:bCs/>
          <w:sz w:val="32"/>
          <w:szCs w:val="32"/>
        </w:rPr>
        <w:t>（注：仅罗列本部门涉及的支出）</w:t>
      </w:r>
    </w:p>
    <w:p>
      <w:pPr>
        <w:pStyle w:val="28"/>
        <w:spacing w:line="600" w:lineRule="exact"/>
        <w:ind w:firstLine="640"/>
        <w:outlineLvl w:val="1"/>
        <w:rPr>
          <w:rFonts w:eastAsia="仿宋_GB2312" w:cs="仿宋_GB2312"/>
          <w:b/>
          <w:bCs/>
          <w:sz w:val="32"/>
          <w:szCs w:val="32"/>
        </w:rPr>
      </w:pPr>
      <w:r>
        <w:rPr>
          <w:rFonts w:hint="eastAsia" w:eastAsia="仿宋_GB2312" w:cs="仿宋_GB2312"/>
          <w:b/>
          <w:bCs/>
          <w:sz w:val="32"/>
          <w:szCs w:val="32"/>
        </w:rPr>
        <w:drawing>
          <wp:anchor distT="0" distB="0" distL="114300" distR="114300" simplePos="0" relativeHeight="251661312" behindDoc="1" locked="0" layoutInCell="1" allowOverlap="1">
            <wp:simplePos x="0" y="0"/>
            <wp:positionH relativeFrom="column">
              <wp:posOffset>786765</wp:posOffset>
            </wp:positionH>
            <wp:positionV relativeFrom="paragraph">
              <wp:posOffset>274320</wp:posOffset>
            </wp:positionV>
            <wp:extent cx="3372485" cy="2344420"/>
            <wp:effectExtent l="19050" t="0" r="18272" b="0"/>
            <wp:wrapNone/>
            <wp:docPr id="1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spacing w:line="600" w:lineRule="exact"/>
        <w:outlineLvl w:val="1"/>
        <w:rPr>
          <w:rFonts w:eastAsia="仿宋_GB2312" w:cs="仿宋_GB2312"/>
          <w:b/>
          <w:bCs/>
          <w:sz w:val="32"/>
          <w:szCs w:val="32"/>
        </w:rPr>
      </w:pPr>
    </w:p>
    <w:p>
      <w:pPr>
        <w:pStyle w:val="28"/>
        <w:spacing w:line="600" w:lineRule="exact"/>
        <w:ind w:firstLine="640"/>
        <w:outlineLvl w:val="1"/>
        <w:rPr>
          <w:rFonts w:eastAsia="仿宋_GB2312" w:cs="仿宋_GB2312"/>
          <w:b/>
          <w:bCs/>
          <w:sz w:val="32"/>
          <w:szCs w:val="32"/>
        </w:rPr>
      </w:pPr>
    </w:p>
    <w:p>
      <w:pPr>
        <w:pStyle w:val="28"/>
        <w:spacing w:line="600" w:lineRule="exact"/>
        <w:ind w:firstLine="640"/>
        <w:outlineLvl w:val="1"/>
        <w:rPr>
          <w:rFonts w:eastAsia="仿宋_GB2312" w:cs="仿宋_GB2312"/>
          <w:b/>
          <w:bCs/>
          <w:sz w:val="32"/>
          <w:szCs w:val="32"/>
        </w:rPr>
      </w:pPr>
    </w:p>
    <w:p>
      <w:pPr>
        <w:pStyle w:val="28"/>
        <w:spacing w:line="600" w:lineRule="exact"/>
        <w:ind w:firstLine="640"/>
        <w:outlineLvl w:val="1"/>
        <w:rPr>
          <w:rFonts w:eastAsia="仿宋_GB2312" w:cs="仿宋_GB2312"/>
          <w:b/>
          <w:bCs/>
          <w:sz w:val="32"/>
          <w:szCs w:val="32"/>
        </w:rPr>
      </w:pPr>
    </w:p>
    <w:p>
      <w:pPr>
        <w:pStyle w:val="28"/>
        <w:spacing w:line="600" w:lineRule="exact"/>
        <w:ind w:firstLine="640"/>
        <w:outlineLvl w:val="1"/>
        <w:rPr>
          <w:rFonts w:eastAsia="仿宋_GB2312" w:cs="仿宋_GB2312"/>
          <w:b/>
          <w:bCs/>
          <w:sz w:val="32"/>
          <w:szCs w:val="32"/>
        </w:rPr>
      </w:pPr>
    </w:p>
    <w:p>
      <w:pPr>
        <w:pStyle w:val="28"/>
        <w:spacing w:line="600" w:lineRule="exact"/>
        <w:ind w:firstLine="640"/>
        <w:outlineLvl w:val="1"/>
        <w:rPr>
          <w:rFonts w:eastAsia="仿宋_GB2312" w:cs="仿宋_GB2312"/>
          <w:b/>
          <w:bCs/>
          <w:sz w:val="32"/>
          <w:szCs w:val="32"/>
        </w:rPr>
      </w:pPr>
    </w:p>
    <w:p>
      <w:pPr>
        <w:pStyle w:val="28"/>
        <w:spacing w:line="600" w:lineRule="exact"/>
        <w:ind w:firstLine="640"/>
        <w:outlineLvl w:val="1"/>
        <w:rPr>
          <w:rFonts w:eastAsia="仿宋_GB2312" w:cs="仿宋_GB2312"/>
          <w:sz w:val="32"/>
          <w:szCs w:val="32"/>
        </w:rPr>
      </w:pPr>
      <w:r>
        <w:rPr>
          <w:rFonts w:hint="eastAsia" w:eastAsia="仿宋_GB2312" w:cs="仿宋_GB2312"/>
          <w:sz w:val="32"/>
          <w:szCs w:val="32"/>
        </w:rPr>
        <w:t>（图3：支出决算结构图）（饼状图）</w:t>
      </w:r>
    </w:p>
    <w:p>
      <w:pPr>
        <w:ind w:firstLine="800" w:firstLineChars="250"/>
        <w:rPr>
          <w:rFonts w:eastAsia="仿宋_GB2312" w:cs="仿宋_GB2312"/>
          <w:sz w:val="32"/>
          <w:szCs w:val="32"/>
        </w:rPr>
      </w:pPr>
    </w:p>
    <w:p>
      <w:pPr>
        <w:spacing w:line="600" w:lineRule="exact"/>
        <w:ind w:firstLine="640" w:firstLineChars="200"/>
        <w:outlineLvl w:val="1"/>
        <w:rPr>
          <w:rStyle w:val="30"/>
          <w:rFonts w:ascii="Times New Roman" w:hAnsi="Times New Roman" w:eastAsia="黑体"/>
          <w:b w:val="0"/>
        </w:rPr>
      </w:pPr>
      <w:bookmarkStart w:id="24" w:name="_Toc15377208"/>
      <w:bookmarkStart w:id="25" w:name="_Toc15396606"/>
      <w:r>
        <w:rPr>
          <w:rFonts w:hint="eastAsia" w:eastAsia="黑体"/>
          <w:sz w:val="32"/>
          <w:szCs w:val="32"/>
        </w:rPr>
        <w:t>四、财</w:t>
      </w:r>
      <w:r>
        <w:rPr>
          <w:rStyle w:val="30"/>
          <w:rFonts w:hint="eastAsia" w:ascii="Times New Roman" w:hAnsi="Times New Roman" w:eastAsia="黑体"/>
          <w:b w:val="0"/>
        </w:rPr>
        <w:t>政拨款收入支出决算总体情况说明</w:t>
      </w:r>
      <w:bookmarkEnd w:id="24"/>
      <w:bookmarkEnd w:id="25"/>
    </w:p>
    <w:p>
      <w:pPr>
        <w:spacing w:line="600" w:lineRule="exact"/>
        <w:ind w:firstLine="640"/>
        <w:rPr>
          <w:rFonts w:ascii="仿宋_GB2312" w:hAnsi="仿宋_GB2312" w:eastAsia="仿宋_GB2312" w:cs="仿宋_GB2312"/>
          <w:sz w:val="32"/>
          <w:szCs w:val="32"/>
        </w:rPr>
      </w:pPr>
      <w:r>
        <w:rPr>
          <w:rFonts w:hint="eastAsia" w:eastAsia="仿宋_GB2312" w:cs="仿宋_GB2312"/>
          <w:sz w:val="32"/>
          <w:szCs w:val="32"/>
        </w:rPr>
        <w:t>2025年度财政拨款收入、支出总计均为</w:t>
      </w:r>
      <w:r>
        <w:rPr>
          <w:rFonts w:hint="eastAsia" w:ascii="仿宋_GB2312" w:hAnsi="仿宋_GB2312" w:eastAsia="仿宋_GB2312" w:cs="仿宋_GB2312"/>
          <w:sz w:val="32"/>
          <w:szCs w:val="32"/>
        </w:rPr>
        <w:t>13746.72</w:t>
      </w:r>
      <w:r>
        <w:rPr>
          <w:rFonts w:hint="eastAsia" w:eastAsia="仿宋_GB2312" w:cs="仿宋_GB2312"/>
          <w:sz w:val="32"/>
          <w:szCs w:val="32"/>
        </w:rPr>
        <w:t>万元。与上年度相比，财政拨款收入、支出总计各增加2174.38万元，增长18.8%。主要变动原因是</w:t>
      </w:r>
      <w:r>
        <w:rPr>
          <w:rFonts w:hint="eastAsia" w:ascii="仿宋_GB2312" w:hAnsi="仿宋_GB2312" w:eastAsia="仿宋_GB2312" w:cs="仿宋_GB2312"/>
          <w:sz w:val="32"/>
          <w:szCs w:val="32"/>
        </w:rPr>
        <w:t>项目经费增加,维稳工作重，案件数量加大、治安管理力度增强，总体收入支出增加。</w:t>
      </w:r>
    </w:p>
    <w:p>
      <w:pPr>
        <w:pStyle w:val="2"/>
      </w:pPr>
    </w:p>
    <w:p>
      <w:pPr>
        <w:pStyle w:val="3"/>
        <w:ind w:left="420"/>
      </w:pPr>
      <w:r>
        <w:rPr>
          <w:rFonts w:hint="eastAsia"/>
        </w:rPr>
        <w:drawing>
          <wp:anchor distT="0" distB="0" distL="114300" distR="114300" simplePos="0" relativeHeight="251663360" behindDoc="1" locked="0" layoutInCell="1" allowOverlap="1">
            <wp:simplePos x="0" y="0"/>
            <wp:positionH relativeFrom="column">
              <wp:posOffset>890270</wp:posOffset>
            </wp:positionH>
            <wp:positionV relativeFrom="paragraph">
              <wp:posOffset>149225</wp:posOffset>
            </wp:positionV>
            <wp:extent cx="2941320" cy="2330450"/>
            <wp:effectExtent l="19050" t="0" r="11430" b="0"/>
            <wp:wrapNone/>
            <wp:docPr id="1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pStyle w:val="3"/>
        <w:ind w:left="420"/>
      </w:pPr>
    </w:p>
    <w:p/>
    <w:p>
      <w:pPr>
        <w:pStyle w:val="2"/>
      </w:pPr>
    </w:p>
    <w:p>
      <w:pPr>
        <w:pStyle w:val="3"/>
        <w:ind w:left="420"/>
      </w:pPr>
    </w:p>
    <w:p/>
    <w:p>
      <w:pPr>
        <w:pStyle w:val="2"/>
      </w:pPr>
    </w:p>
    <w:p>
      <w:pPr>
        <w:pStyle w:val="3"/>
        <w:ind w:left="420"/>
      </w:pPr>
    </w:p>
    <w:p>
      <w:pPr>
        <w:spacing w:line="600" w:lineRule="exact"/>
        <w:ind w:firstLine="640"/>
        <w:rPr>
          <w:rFonts w:eastAsia="仿宋_GB2312" w:cs="仿宋_GB2312"/>
          <w:sz w:val="32"/>
          <w:szCs w:val="32"/>
        </w:rPr>
      </w:pPr>
      <w:r>
        <w:rPr>
          <w:rFonts w:hint="eastAsia" w:eastAsia="仿宋_GB2312" w:cs="仿宋_GB2312"/>
          <w:sz w:val="32"/>
          <w:szCs w:val="32"/>
        </w:rPr>
        <w:t>（图4：财政拨款收、支决算总计变动情况）（柱状图）</w:t>
      </w:r>
    </w:p>
    <w:p>
      <w:pPr>
        <w:spacing w:line="600" w:lineRule="exact"/>
        <w:ind w:firstLine="640"/>
        <w:rPr>
          <w:rFonts w:eastAsia="仿宋_GB2312" w:cs="仿宋_GB2312"/>
          <w:sz w:val="32"/>
          <w:szCs w:val="32"/>
        </w:rPr>
      </w:pPr>
    </w:p>
    <w:p>
      <w:pPr>
        <w:spacing w:line="600" w:lineRule="exact"/>
        <w:ind w:firstLine="640" w:firstLineChars="200"/>
        <w:outlineLvl w:val="1"/>
        <w:rPr>
          <w:rStyle w:val="30"/>
          <w:rFonts w:ascii="Times New Roman" w:hAnsi="Times New Roman" w:eastAsia="黑体"/>
          <w:b w:val="0"/>
        </w:rPr>
      </w:pPr>
      <w:bookmarkStart w:id="26" w:name="_Toc15377209"/>
      <w:bookmarkStart w:id="27" w:name="_Toc15396607"/>
      <w:r>
        <w:rPr>
          <w:rFonts w:hint="eastAsia" w:eastAsia="黑体"/>
          <w:sz w:val="32"/>
          <w:szCs w:val="32"/>
        </w:rPr>
        <w:t>五、</w:t>
      </w:r>
      <w:r>
        <w:rPr>
          <w:rFonts w:hint="eastAsia" w:eastAsia="黑体"/>
          <w:b/>
          <w:sz w:val="32"/>
          <w:szCs w:val="32"/>
        </w:rPr>
        <w:t>一</w:t>
      </w:r>
      <w:r>
        <w:rPr>
          <w:rStyle w:val="30"/>
          <w:rFonts w:hint="eastAsia" w:ascii="Times New Roman" w:hAnsi="Times New Roman" w:eastAsia="黑体"/>
          <w:b w:val="0"/>
        </w:rPr>
        <w:t>般公共预算财政拨款支出决算情况说明</w:t>
      </w:r>
      <w:bookmarkEnd w:id="26"/>
      <w:bookmarkEnd w:id="27"/>
    </w:p>
    <w:p>
      <w:pPr>
        <w:spacing w:line="600" w:lineRule="exact"/>
        <w:ind w:firstLine="643" w:firstLineChars="200"/>
        <w:outlineLvl w:val="2"/>
        <w:rPr>
          <w:rFonts w:eastAsia="楷体_GB2312" w:cs="楷体_GB2312"/>
          <w:b/>
          <w:sz w:val="32"/>
          <w:szCs w:val="32"/>
        </w:rPr>
      </w:pPr>
      <w:bookmarkStart w:id="28" w:name="_Toc15377210"/>
      <w:r>
        <w:rPr>
          <w:rFonts w:hint="eastAsia" w:eastAsia="楷体_GB2312" w:cs="楷体_GB2312"/>
          <w:b/>
          <w:sz w:val="32"/>
          <w:szCs w:val="32"/>
        </w:rPr>
        <w:t>（一）一般公共预算财政拨款支出决算总体情况</w:t>
      </w:r>
      <w:bookmarkEnd w:id="28"/>
    </w:p>
    <w:p>
      <w:pPr>
        <w:spacing w:line="600" w:lineRule="exact"/>
        <w:ind w:firstLine="640"/>
        <w:rPr>
          <w:rFonts w:ascii="仿宋_GB2312" w:hAnsi="仿宋_GB2312" w:eastAsia="仿宋_GB2312" w:cs="仿宋_GB2312"/>
          <w:sz w:val="32"/>
          <w:szCs w:val="32"/>
        </w:rPr>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13746.72</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100</w:t>
      </w:r>
      <w:r>
        <w:rPr>
          <w:rFonts w:hint="eastAsia" w:eastAsia="仿宋_GB2312" w:cs="仿宋_GB2312"/>
          <w:sz w:val="32"/>
          <w:szCs w:val="32"/>
        </w:rPr>
        <w:t>%。与上年度相比，一般公共预算财政拨款支出增加2174.38万元，增长18.8%。主要变动原因是</w:t>
      </w:r>
      <w:r>
        <w:rPr>
          <w:rFonts w:hint="eastAsia" w:ascii="仿宋_GB2312" w:hAnsi="仿宋_GB2312" w:eastAsia="仿宋_GB2312" w:cs="仿宋_GB2312"/>
          <w:sz w:val="32"/>
          <w:szCs w:val="32"/>
        </w:rPr>
        <w:t>项目经费增加,维稳工作重，案件数量加大、治安管理力度增强，总体收入支出增加。</w:t>
      </w:r>
    </w:p>
    <w:p>
      <w:pPr>
        <w:pStyle w:val="2"/>
      </w:pPr>
    </w:p>
    <w:p>
      <w:pPr>
        <w:pStyle w:val="3"/>
        <w:ind w:left="420"/>
      </w:pPr>
    </w:p>
    <w:p/>
    <w:p>
      <w:pPr>
        <w:pStyle w:val="2"/>
      </w:pPr>
    </w:p>
    <w:p>
      <w:pPr>
        <w:pStyle w:val="3"/>
        <w:ind w:left="420"/>
      </w:pPr>
    </w:p>
    <w:p/>
    <w:p>
      <w:pPr>
        <w:pStyle w:val="3"/>
        <w:ind w:left="420"/>
      </w:pPr>
    </w:p>
    <w:p/>
    <w:p>
      <w:pPr>
        <w:pStyle w:val="2"/>
      </w:pPr>
      <w:r>
        <w:drawing>
          <wp:anchor distT="0" distB="0" distL="114300" distR="114300" simplePos="0" relativeHeight="251665408" behindDoc="1" locked="0" layoutInCell="1" allowOverlap="1">
            <wp:simplePos x="0" y="0"/>
            <wp:positionH relativeFrom="column">
              <wp:posOffset>802640</wp:posOffset>
            </wp:positionH>
            <wp:positionV relativeFrom="paragraph">
              <wp:posOffset>-2141855</wp:posOffset>
            </wp:positionV>
            <wp:extent cx="3023235" cy="2286000"/>
            <wp:effectExtent l="19050" t="0" r="24765" b="0"/>
            <wp:wrapNone/>
            <wp:docPr id="19"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pPr>
        <w:pStyle w:val="3"/>
        <w:tabs>
          <w:tab w:val="left" w:pos="6724"/>
        </w:tabs>
        <w:ind w:left="420"/>
      </w:pPr>
      <w:r>
        <w:tab/>
      </w:r>
    </w:p>
    <w:p>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（图5：一般公共预算财政拨款支出决算变动情况）（柱状图）</w:t>
      </w:r>
    </w:p>
    <w:p>
      <w:pPr>
        <w:spacing w:line="600" w:lineRule="exact"/>
        <w:ind w:firstLine="640"/>
        <w:rPr>
          <w:rFonts w:eastAsia="仿宋_GB2312" w:cs="仿宋_GB2312"/>
          <w:sz w:val="32"/>
          <w:szCs w:val="32"/>
        </w:rPr>
      </w:pPr>
    </w:p>
    <w:p>
      <w:pPr>
        <w:spacing w:line="600" w:lineRule="exact"/>
        <w:ind w:firstLine="643" w:firstLineChars="200"/>
        <w:outlineLvl w:val="2"/>
        <w:rPr>
          <w:rFonts w:eastAsia="楷体_GB2312" w:cs="楷体_GB2312"/>
          <w:b/>
          <w:sz w:val="32"/>
          <w:szCs w:val="32"/>
        </w:rPr>
      </w:pPr>
      <w:bookmarkStart w:id="29" w:name="_Toc15377211"/>
      <w:r>
        <w:rPr>
          <w:rFonts w:hint="eastAsia" w:eastAsia="楷体_GB2312" w:cs="楷体_GB2312"/>
          <w:b/>
          <w:sz w:val="32"/>
          <w:szCs w:val="32"/>
        </w:rPr>
        <w:t>（二）一般公共预算财政拨款支出决算结构情况</w:t>
      </w:r>
      <w:bookmarkEnd w:id="29"/>
    </w:p>
    <w:p>
      <w:pPr>
        <w:spacing w:line="600" w:lineRule="exact"/>
        <w:ind w:firstLine="640"/>
        <w:rPr>
          <w:rFonts w:eastAsia="仿宋_GB2312" w:cs="仿宋_GB2312"/>
          <w:b/>
          <w:bCs/>
          <w:sz w:val="32"/>
          <w:szCs w:val="32"/>
        </w:rPr>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13746.72</w:t>
      </w:r>
      <w:r>
        <w:rPr>
          <w:rFonts w:hint="eastAsia" w:eastAsia="仿宋_GB2312" w:cs="仿宋_GB2312"/>
          <w:sz w:val="32"/>
          <w:szCs w:val="32"/>
        </w:rPr>
        <w:t>万元，主要用于以下方面：一般公共服务支出</w:t>
      </w:r>
      <w:r>
        <w:rPr>
          <w:rFonts w:hint="eastAsia" w:ascii="仿宋_GB2312" w:hAnsi="仿宋_GB2312" w:eastAsia="仿宋_GB2312" w:cs="仿宋_GB2312"/>
          <w:sz w:val="32"/>
          <w:szCs w:val="32"/>
        </w:rPr>
        <w:t>0</w:t>
      </w:r>
      <w:r>
        <w:rPr>
          <w:rFonts w:hint="eastAsia" w:eastAsia="仿宋_GB2312" w:cs="仿宋_GB2312"/>
          <w:sz w:val="32"/>
          <w:szCs w:val="32"/>
        </w:rPr>
        <w:t>万元，占0%；公共安全支出12146.66，占88.36；教育支出0万元，占0%；科学技术支出0万元，占0%；文化旅游体育与传媒支出0万元，占0%；社会保障和就业支出806.76万元，占5.86%；卫生健康支出334.89万元，占2.44%；住房保障支出458.4万元，占3.33%；</w:t>
      </w:r>
      <w:r>
        <w:rPr>
          <w:rFonts w:hint="eastAsia" w:eastAsia="仿宋_GB2312" w:cs="仿宋_GB2312"/>
          <w:b/>
          <w:bCs/>
          <w:sz w:val="32"/>
          <w:szCs w:val="32"/>
        </w:rPr>
        <w:t>（注：仅罗列本部门涉及的全部功能分类科目，至类级）</w:t>
      </w:r>
    </w:p>
    <w:p>
      <w:pPr>
        <w:pStyle w:val="2"/>
      </w:pPr>
      <w:r>
        <w:drawing>
          <wp:anchor distT="0" distB="0" distL="114300" distR="114300" simplePos="0" relativeHeight="251667456" behindDoc="0" locked="0" layoutInCell="1" allowOverlap="1">
            <wp:simplePos x="0" y="0"/>
            <wp:positionH relativeFrom="column">
              <wp:posOffset>904875</wp:posOffset>
            </wp:positionH>
            <wp:positionV relativeFrom="paragraph">
              <wp:posOffset>27305</wp:posOffset>
            </wp:positionV>
            <wp:extent cx="3761105" cy="1876425"/>
            <wp:effectExtent l="19050" t="0" r="10795" b="0"/>
            <wp:wrapNone/>
            <wp:docPr id="20"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pPr>
        <w:pStyle w:val="3"/>
        <w:ind w:left="420"/>
      </w:pPr>
    </w:p>
    <w:p/>
    <w:p>
      <w:pPr>
        <w:pStyle w:val="2"/>
      </w:pPr>
    </w:p>
    <w:p>
      <w:pPr>
        <w:pStyle w:val="2"/>
      </w:pPr>
    </w:p>
    <w:p>
      <w:pPr>
        <w:pStyle w:val="3"/>
        <w:ind w:left="420"/>
      </w:pPr>
    </w:p>
    <w:p/>
    <w:p>
      <w:pPr>
        <w:spacing w:line="600" w:lineRule="exact"/>
        <w:ind w:firstLine="640"/>
        <w:rPr>
          <w:rFonts w:ascii="仿宋_GB2312"/>
          <w:szCs w:val="32"/>
        </w:rPr>
      </w:pPr>
    </w:p>
    <w:p>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（图6：一般公共预算财政拨款支出决算结构）（饼状图）</w:t>
      </w:r>
    </w:p>
    <w:p>
      <w:pPr>
        <w:spacing w:line="600" w:lineRule="exact"/>
        <w:ind w:firstLine="640"/>
        <w:rPr>
          <w:rFonts w:eastAsia="仿宋_GB2312" w:cs="仿宋_GB2312"/>
          <w:sz w:val="32"/>
          <w:szCs w:val="32"/>
        </w:rPr>
      </w:pPr>
    </w:p>
    <w:p>
      <w:pPr>
        <w:spacing w:line="600" w:lineRule="exact"/>
        <w:ind w:firstLine="643" w:firstLineChars="200"/>
        <w:outlineLvl w:val="2"/>
        <w:rPr>
          <w:rFonts w:eastAsia="楷体_GB2312" w:cs="楷体_GB2312"/>
          <w:b/>
          <w:sz w:val="32"/>
          <w:szCs w:val="32"/>
        </w:rPr>
      </w:pPr>
      <w:bookmarkStart w:id="30" w:name="_Toc15377212"/>
      <w:r>
        <w:rPr>
          <w:rFonts w:hint="eastAsia" w:eastAsia="楷体_GB2312" w:cs="楷体_GB2312"/>
          <w:b/>
          <w:sz w:val="32"/>
          <w:szCs w:val="32"/>
        </w:rPr>
        <w:t>（三）一般公共预算财政拨款支出决算具体情况</w:t>
      </w:r>
      <w:bookmarkEnd w:id="30"/>
    </w:p>
    <w:p>
      <w:pPr>
        <w:spacing w:line="600" w:lineRule="exact"/>
        <w:ind w:firstLine="640"/>
        <w:rPr>
          <w:rFonts w:eastAsia="仿宋_GB2312" w:cs="仿宋_GB2312"/>
          <w:sz w:val="32"/>
          <w:szCs w:val="32"/>
        </w:rPr>
      </w:pPr>
      <w:bookmarkStart w:id="31" w:name="_Toc15378460"/>
      <w:bookmarkStart w:id="32" w:name="_Toc15377213"/>
      <w:bookmarkStart w:id="33" w:name="_Toc15377444"/>
      <w:r>
        <w:rPr>
          <w:rFonts w:hint="eastAsia" w:eastAsia="仿宋_GB2312" w:cs="仿宋_GB2312"/>
          <w:sz w:val="32"/>
          <w:szCs w:val="32"/>
        </w:rPr>
        <w:t>2025年度一般公共预算支出决算数为</w:t>
      </w:r>
      <w:r>
        <w:rPr>
          <w:rFonts w:hint="eastAsia" w:ascii="仿宋_GB2312" w:hAnsi="仿宋_GB2312" w:eastAsia="仿宋_GB2312" w:cs="仿宋_GB2312"/>
          <w:sz w:val="32"/>
          <w:szCs w:val="32"/>
        </w:rPr>
        <w:t>13746.72</w:t>
      </w:r>
      <w:r>
        <w:rPr>
          <w:rFonts w:hint="eastAsia" w:eastAsia="仿宋_GB2312" w:cs="仿宋_GB2312"/>
          <w:sz w:val="32"/>
          <w:szCs w:val="32"/>
        </w:rPr>
        <w:t>，完成预算100%。其中：</w:t>
      </w:r>
      <w:bookmarkEnd w:id="31"/>
      <w:bookmarkEnd w:id="32"/>
      <w:bookmarkEnd w:id="33"/>
    </w:p>
    <w:p>
      <w:pPr>
        <w:spacing w:line="600" w:lineRule="exact"/>
        <w:ind w:firstLine="640"/>
        <w:rPr>
          <w:rFonts w:eastAsia="仿宋_GB2312" w:cs="仿宋_GB2312"/>
          <w:color w:val="000000" w:themeColor="text1"/>
          <w:sz w:val="32"/>
          <w:szCs w:val="32"/>
        </w:rPr>
      </w:pPr>
      <w:r>
        <w:rPr>
          <w:rFonts w:hint="eastAsia" w:eastAsia="仿宋_GB2312" w:cs="仿宋_GB2312"/>
          <w:color w:val="000000" w:themeColor="text1"/>
          <w:sz w:val="32"/>
          <w:szCs w:val="32"/>
        </w:rPr>
        <w:t>1.社会保障和就业</w:t>
      </w:r>
    </w:p>
    <w:p>
      <w:pPr>
        <w:spacing w:line="600" w:lineRule="exact"/>
        <w:ind w:firstLine="640"/>
        <w:rPr>
          <w:rFonts w:eastAsia="仿宋_GB2312" w:cs="仿宋_GB2312"/>
          <w:sz w:val="32"/>
          <w:szCs w:val="32"/>
        </w:rPr>
      </w:pPr>
      <w:r>
        <w:rPr>
          <w:rFonts w:hint="eastAsia" w:eastAsia="仿宋_GB2312" w:cs="仿宋_GB2312"/>
          <w:sz w:val="32"/>
          <w:szCs w:val="32"/>
        </w:rPr>
        <w:t>机关事业单位基本养老保险缴费支出2080505：支出决算为537.84万元，完成预算100%，决算数等于预算数。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机关事业单位职业年金缴费支出2080506：支出决算为268.92万元，完成预算100%，决算数等于预算数。</w:t>
      </w:r>
    </w:p>
    <w:p>
      <w:pPr>
        <w:pStyle w:val="2"/>
      </w:pPr>
    </w:p>
    <w:p>
      <w:pPr>
        <w:spacing w:line="600" w:lineRule="exact"/>
        <w:ind w:firstLine="640"/>
        <w:rPr>
          <w:rFonts w:eastAsia="仿宋_GB2312" w:cs="仿宋_GB2312"/>
          <w:sz w:val="32"/>
          <w:szCs w:val="32"/>
        </w:rPr>
      </w:pPr>
      <w:r>
        <w:rPr>
          <w:rFonts w:hint="eastAsia" w:eastAsia="仿宋_GB2312" w:cs="仿宋_GB2312"/>
          <w:sz w:val="32"/>
          <w:szCs w:val="32"/>
        </w:rPr>
        <w:t>2.卫生健康</w:t>
      </w:r>
    </w:p>
    <w:p>
      <w:pPr>
        <w:spacing w:line="600" w:lineRule="exact"/>
        <w:ind w:firstLine="640"/>
        <w:rPr>
          <w:rFonts w:eastAsia="仿宋_GB2312" w:cs="仿宋_GB2312"/>
          <w:sz w:val="32"/>
          <w:szCs w:val="32"/>
        </w:rPr>
      </w:pPr>
      <w:r>
        <w:rPr>
          <w:rFonts w:hint="eastAsia" w:eastAsia="仿宋_GB2312" w:cs="仿宋_GB2312"/>
          <w:sz w:val="32"/>
          <w:szCs w:val="32"/>
        </w:rPr>
        <w:t>重大公共卫生服务2100409：支出决算为8.59万元，完成预算100%，决算数等于预算数。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行政单位医疗2101101：支出决算为282.74万元，完成预算100%，决算数等于预算数。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公务员医疗补助2101103：支出决算为43.57万元，完成预算100%，决算数等于预算数。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3.公共安全武装警察部队2040101: 支出决算为8万元，完成预算100%，决算数等于预算数。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行政运行2040201：支出决算为6493.01万元，完成预算100%，决算数等于预算数。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一般行政管理事务2040202：支出决算为1489.19万元，完成预算100%，决算数等于预算数。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信息化建设2040219：支出决算为87万元，完成预算100%，决算数等于预算数。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执法办案2040220：支出决算为390万元，完成预算100%，决算数等于预算数的主要原因是严格按照预算执行。</w:t>
      </w:r>
    </w:p>
    <w:p>
      <w:pPr>
        <w:spacing w:line="600" w:lineRule="exact"/>
        <w:ind w:firstLine="640"/>
        <w:rPr>
          <w:rFonts w:eastAsia="仿宋_GB2312" w:cs="仿宋_GB2312"/>
          <w:sz w:val="32"/>
          <w:szCs w:val="32"/>
        </w:rPr>
      </w:pPr>
      <w:r>
        <w:rPr>
          <w:rFonts w:hint="eastAsia" w:eastAsia="仿宋_GB2312" w:cs="仿宋_GB2312"/>
          <w:sz w:val="32"/>
          <w:szCs w:val="32"/>
        </w:rPr>
        <w:t>移民事务2040223：支出决算为10万元，完成预算100%，决算数等于预算数。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其他公安支出2040299：支出决算为15万元，完成预算100%，决算数等于预算数。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其他公共安全支出2049999：支出决算为3056.13万元，完成预算100%，决算数等于预算数。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4.住房保障支出</w:t>
      </w:r>
    </w:p>
    <w:p>
      <w:pPr>
        <w:spacing w:line="600" w:lineRule="exact"/>
        <w:ind w:firstLine="640"/>
        <w:rPr>
          <w:rFonts w:eastAsia="仿宋_GB2312" w:cs="仿宋_GB2312"/>
          <w:sz w:val="32"/>
          <w:szCs w:val="32"/>
        </w:rPr>
      </w:pPr>
      <w:r>
        <w:rPr>
          <w:rFonts w:hint="eastAsia" w:eastAsia="仿宋_GB2312" w:cs="仿宋_GB2312"/>
          <w:sz w:val="32"/>
          <w:szCs w:val="32"/>
        </w:rPr>
        <w:t>住房公积金2210201：支出决算为458.4万元，完成预算100%，决算数等于预算数。</w:t>
      </w: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b/>
          <w:bCs/>
          <w:sz w:val="32"/>
          <w:szCs w:val="32"/>
        </w:rPr>
      </w:pPr>
      <w:r>
        <w:rPr>
          <w:rFonts w:hint="eastAsia" w:eastAsia="仿宋_GB2312" w:cs="仿宋_GB2312"/>
          <w:b/>
          <w:bCs/>
          <w:sz w:val="32"/>
          <w:szCs w:val="32"/>
        </w:rPr>
        <w:t>（注：仅罗列本部门涉及的全部功能分类科目，至项级。上述“预算”口径为全年预算数。增减变动原因为决算数&lt;项级&gt;和全年预算数&lt;项级&gt;比较，与预算数持平可以不写原因）</w:t>
      </w:r>
    </w:p>
    <w:p>
      <w:pPr>
        <w:spacing w:line="600" w:lineRule="exact"/>
        <w:ind w:firstLine="640"/>
        <w:rPr>
          <w:rFonts w:eastAsia="仿宋_GB2312" w:cs="仿宋_GB2312"/>
          <w:sz w:val="32"/>
          <w:szCs w:val="32"/>
        </w:rPr>
      </w:pPr>
    </w:p>
    <w:p>
      <w:pPr>
        <w:tabs>
          <w:tab w:val="right" w:pos="8306"/>
        </w:tabs>
        <w:spacing w:line="600" w:lineRule="exact"/>
        <w:ind w:firstLine="640"/>
        <w:outlineLvl w:val="1"/>
        <w:rPr>
          <w:rStyle w:val="30"/>
          <w:rFonts w:ascii="Times New Roman" w:hAnsi="Times New Roman"/>
        </w:rPr>
      </w:pPr>
      <w:bookmarkStart w:id="34" w:name="_Toc15396608"/>
      <w:bookmarkStart w:id="35" w:name="_Toc15377214"/>
      <w:r>
        <w:rPr>
          <w:rFonts w:hint="eastAsia" w:eastAsia="黑体"/>
          <w:sz w:val="32"/>
          <w:szCs w:val="32"/>
        </w:rPr>
        <w:t>六</w:t>
      </w:r>
      <w:r>
        <w:rPr>
          <w:rFonts w:hint="eastAsia" w:eastAsia="黑体"/>
          <w:b/>
          <w:sz w:val="32"/>
          <w:szCs w:val="32"/>
        </w:rPr>
        <w:t>、一</w:t>
      </w:r>
      <w:r>
        <w:rPr>
          <w:rStyle w:val="30"/>
          <w:rFonts w:hint="eastAsia" w:ascii="Times New Roman" w:hAnsi="Times New Roman" w:eastAsia="黑体"/>
          <w:b w:val="0"/>
        </w:rPr>
        <w:t>般公共预算财政拨款基本支出决算情况说明</w:t>
      </w:r>
      <w:bookmarkEnd w:id="34"/>
      <w:bookmarkEnd w:id="35"/>
      <w:r>
        <w:rPr>
          <w:rStyle w:val="30"/>
          <w:rFonts w:ascii="Times New Roman" w:hAnsi="Times New Roman" w:eastAsia="黑体"/>
          <w:b w:val="0"/>
        </w:rPr>
        <w:tab/>
      </w:r>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ascii="仿宋_GB2312" w:hAnsi="仿宋_GB2312" w:eastAsia="仿宋_GB2312" w:cs="仿宋_GB2312"/>
          <w:sz w:val="32"/>
          <w:szCs w:val="32"/>
        </w:rPr>
        <w:t>8257.25</w:t>
      </w:r>
      <w:r>
        <w:rPr>
          <w:rFonts w:hint="eastAsia" w:eastAsia="仿宋_GB2312" w:cs="仿宋_GB2312"/>
          <w:sz w:val="32"/>
          <w:szCs w:val="32"/>
        </w:rPr>
        <w:t>万元，其中：</w:t>
      </w:r>
    </w:p>
    <w:p>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rPr>
        <w:t>5518.81</w:t>
      </w:r>
      <w:r>
        <w:rPr>
          <w:rFonts w:hint="eastAsia" w:eastAsia="仿宋_GB2312" w:cs="仿宋_GB2312"/>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rPr>
        <w:t>2738.45</w:t>
      </w:r>
      <w:r>
        <w:rPr>
          <w:rFonts w:hint="eastAsia" w:eastAsia="仿宋_GB2312" w:cs="仿宋_GB2312"/>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eastAsia="仿宋_GB2312" w:cs="仿宋_GB2312"/>
          <w:b/>
          <w:bCs/>
          <w:sz w:val="32"/>
          <w:szCs w:val="32"/>
        </w:rPr>
      </w:pPr>
      <w:r>
        <w:rPr>
          <w:rFonts w:hint="eastAsia" w:eastAsia="仿宋_GB2312" w:cs="仿宋_GB2312"/>
          <w:b/>
          <w:bCs/>
          <w:sz w:val="32"/>
          <w:szCs w:val="32"/>
        </w:rPr>
        <w:t>（注：仅罗列本部门实际支出涉及的经济分类科目）</w:t>
      </w:r>
    </w:p>
    <w:p>
      <w:pPr>
        <w:spacing w:line="600" w:lineRule="exact"/>
        <w:ind w:firstLine="640"/>
        <w:rPr>
          <w:rFonts w:eastAsia="仿宋_GB2312" w:cs="仿宋_GB2312"/>
          <w:sz w:val="32"/>
          <w:szCs w:val="32"/>
        </w:rPr>
      </w:pPr>
    </w:p>
    <w:p>
      <w:pPr>
        <w:spacing w:line="600" w:lineRule="exact"/>
        <w:ind w:firstLine="640"/>
        <w:outlineLvl w:val="1"/>
        <w:rPr>
          <w:rStyle w:val="30"/>
          <w:rFonts w:ascii="Times New Roman" w:hAnsi="Times New Roman" w:eastAsia="黑体"/>
          <w:b w:val="0"/>
        </w:rPr>
      </w:pPr>
      <w:bookmarkStart w:id="36" w:name="_Toc15377215"/>
      <w:bookmarkStart w:id="37" w:name="_Toc15396609"/>
      <w:r>
        <w:rPr>
          <w:rFonts w:hint="eastAsia" w:eastAsia="黑体"/>
          <w:sz w:val="32"/>
          <w:szCs w:val="32"/>
        </w:rPr>
        <w:t>七、</w:t>
      </w:r>
      <w:r>
        <w:rPr>
          <w:rStyle w:val="30"/>
          <w:rFonts w:hint="eastAsia" w:ascii="Times New Roman" w:hAnsi="Times New Roman" w:eastAsia="黑体"/>
          <w:b w:val="0"/>
        </w:rPr>
        <w:t>财政拨款</w:t>
      </w:r>
      <w:r>
        <w:rPr>
          <w:rStyle w:val="30"/>
          <w:rFonts w:hint="eastAsia" w:ascii="Times New Roman" w:hAnsi="Times New Roman" w:eastAsia="黑体"/>
        </w:rPr>
        <w:t>“</w:t>
      </w:r>
      <w:r>
        <w:rPr>
          <w:rStyle w:val="30"/>
          <w:rFonts w:hint="eastAsia" w:ascii="Times New Roman" w:hAnsi="Times New Roman" w:eastAsia="黑体"/>
          <w:b w:val="0"/>
        </w:rPr>
        <w:t>三公”经费支出决算情况说明</w:t>
      </w:r>
      <w:bookmarkEnd w:id="36"/>
      <w:bookmarkEnd w:id="37"/>
    </w:p>
    <w:p>
      <w:pPr>
        <w:spacing w:line="600" w:lineRule="exact"/>
        <w:ind w:firstLine="643" w:firstLineChars="200"/>
        <w:outlineLvl w:val="2"/>
        <w:rPr>
          <w:rFonts w:eastAsia="楷体_GB2312" w:cs="楷体_GB2312"/>
          <w:b/>
          <w:sz w:val="32"/>
          <w:szCs w:val="32"/>
        </w:rPr>
      </w:pPr>
      <w:bookmarkStart w:id="38" w:name="_Toc15377216"/>
      <w:r>
        <w:rPr>
          <w:rFonts w:hint="eastAsia" w:eastAsia="楷体_GB2312" w:cs="楷体_GB2312"/>
          <w:b/>
          <w:sz w:val="32"/>
          <w:szCs w:val="32"/>
        </w:rPr>
        <w:t>（一）财政拨款“三公”经费支出决算总体情况说明</w:t>
      </w:r>
      <w:bookmarkEnd w:id="38"/>
    </w:p>
    <w:p>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2025年度财政拨款“三公”经费支出决算为</w:t>
      </w:r>
      <w:r>
        <w:rPr>
          <w:rFonts w:hint="eastAsia" w:ascii="仿宋_GB2312" w:hAnsi="仿宋_GB2312" w:eastAsia="仿宋_GB2312" w:cs="仿宋_GB2312"/>
          <w:sz w:val="32"/>
          <w:szCs w:val="32"/>
        </w:rPr>
        <w:t>49.01</w:t>
      </w:r>
      <w:r>
        <w:rPr>
          <w:rFonts w:hint="eastAsia" w:eastAsia="仿宋_GB2312" w:cs="仿宋_GB2312"/>
          <w:sz w:val="32"/>
          <w:szCs w:val="32"/>
        </w:rPr>
        <w:t>万元，完成预算</w:t>
      </w:r>
      <w:r>
        <w:rPr>
          <w:rFonts w:hint="eastAsia" w:ascii="仿宋_GB2312" w:hAnsi="仿宋_GB2312" w:eastAsia="仿宋_GB2312" w:cs="仿宋_GB2312"/>
          <w:sz w:val="32"/>
          <w:szCs w:val="32"/>
        </w:rPr>
        <w:t>88.14</w:t>
      </w:r>
      <w:r>
        <w:rPr>
          <w:rFonts w:hint="eastAsia" w:eastAsia="仿宋_GB2312" w:cs="仿宋_GB2312"/>
          <w:sz w:val="32"/>
          <w:szCs w:val="32"/>
        </w:rPr>
        <w:t>%，较上年度增加28.21万元，增长136%。决算数小于主要原因是无因公出国（境）费用发生。</w:t>
      </w:r>
    </w:p>
    <w:p>
      <w:pPr>
        <w:spacing w:line="600" w:lineRule="exact"/>
        <w:ind w:firstLine="640"/>
        <w:rPr>
          <w:rFonts w:eastAsia="仿宋_GB2312" w:cs="仿宋_GB2312"/>
          <w:b/>
          <w:bCs/>
          <w:sz w:val="32"/>
          <w:szCs w:val="32"/>
        </w:rPr>
      </w:pPr>
      <w:r>
        <w:rPr>
          <w:rFonts w:hint="eastAsia" w:eastAsia="仿宋_GB2312" w:cs="仿宋_GB2312"/>
          <w:b/>
          <w:bCs/>
          <w:sz w:val="32"/>
          <w:szCs w:val="32"/>
        </w:rPr>
        <w:t>（注：上述“预算”口径为全年预算数，包括一般公共预算和政府性基金预算财政拨款支出决算情况，与预算数持平可以不写原因）</w:t>
      </w:r>
    </w:p>
    <w:p>
      <w:pPr>
        <w:spacing w:line="600" w:lineRule="exact"/>
        <w:ind w:firstLine="643" w:firstLineChars="200"/>
        <w:outlineLvl w:val="2"/>
        <w:rPr>
          <w:rFonts w:eastAsia="楷体_GB2312" w:cs="楷体_GB2312"/>
          <w:b/>
          <w:sz w:val="32"/>
          <w:szCs w:val="32"/>
        </w:rPr>
      </w:pPr>
      <w:bookmarkStart w:id="39" w:name="_Toc15377217"/>
      <w:r>
        <w:rPr>
          <w:rFonts w:hint="eastAsia" w:eastAsia="楷体_GB2312" w:cs="楷体_GB2312"/>
          <w:b/>
          <w:sz w:val="32"/>
          <w:szCs w:val="32"/>
        </w:rPr>
        <w:t>（二）财政拨款“三公”经费支出决算具体情况说明</w:t>
      </w:r>
      <w:bookmarkEnd w:id="39"/>
    </w:p>
    <w:p>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ascii="仿宋_GB2312" w:hAnsi="仿宋_GB2312" w:eastAsia="仿宋_GB2312" w:cs="仿宋_GB2312"/>
          <w:sz w:val="32"/>
          <w:szCs w:val="32"/>
        </w:rPr>
        <w:t>0</w:t>
      </w:r>
      <w:r>
        <w:rPr>
          <w:rFonts w:hint="eastAsia" w:eastAsia="仿宋_GB2312" w:cs="仿宋_GB2312"/>
          <w:sz w:val="32"/>
          <w:szCs w:val="32"/>
        </w:rPr>
        <w:t>万元，占0%；公务用车购置及运行维护费支出决算</w:t>
      </w:r>
      <w:r>
        <w:rPr>
          <w:rFonts w:hint="eastAsia" w:ascii="仿宋_GB2312" w:hAnsi="仿宋_GB2312" w:eastAsia="仿宋_GB2312" w:cs="仿宋_GB2312"/>
          <w:sz w:val="32"/>
          <w:szCs w:val="32"/>
        </w:rPr>
        <w:t>49.01</w:t>
      </w:r>
      <w:r>
        <w:rPr>
          <w:rFonts w:hint="eastAsia" w:eastAsia="仿宋_GB2312" w:cs="仿宋_GB2312"/>
          <w:sz w:val="32"/>
          <w:szCs w:val="32"/>
        </w:rPr>
        <w:t>万元，占100%；公务接待费支出决算</w:t>
      </w:r>
      <w:r>
        <w:rPr>
          <w:rFonts w:hint="eastAsia" w:ascii="仿宋_GB2312" w:hAnsi="仿宋_GB2312" w:eastAsia="仿宋_GB2312" w:cs="仿宋_GB2312"/>
          <w:sz w:val="32"/>
          <w:szCs w:val="32"/>
        </w:rPr>
        <w:t>0</w:t>
      </w:r>
      <w:r>
        <w:rPr>
          <w:rFonts w:hint="eastAsia" w:eastAsia="仿宋_GB2312" w:cs="仿宋_GB2312"/>
          <w:sz w:val="32"/>
          <w:szCs w:val="32"/>
        </w:rPr>
        <w:t>万元，占0%。具体情况如下：</w:t>
      </w:r>
    </w:p>
    <w:p>
      <w:pPr>
        <w:pStyle w:val="2"/>
      </w:pPr>
      <w:r>
        <w:drawing>
          <wp:anchor distT="0" distB="0" distL="0" distR="0" simplePos="0" relativeHeight="251669504" behindDoc="0" locked="0" layoutInCell="1" allowOverlap="1">
            <wp:simplePos x="0" y="0"/>
            <wp:positionH relativeFrom="column">
              <wp:posOffset>760730</wp:posOffset>
            </wp:positionH>
            <wp:positionV relativeFrom="paragraph">
              <wp:posOffset>123825</wp:posOffset>
            </wp:positionV>
            <wp:extent cx="3629025" cy="1925320"/>
            <wp:effectExtent l="19050" t="0" r="9525" b="0"/>
            <wp:wrapNone/>
            <wp:docPr id="21"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pPr>
        <w:pStyle w:val="3"/>
        <w:ind w:left="420"/>
      </w:pPr>
    </w:p>
    <w:p>
      <w:pPr>
        <w:pStyle w:val="2"/>
      </w:pPr>
    </w:p>
    <w:p>
      <w:pPr>
        <w:pStyle w:val="3"/>
        <w:ind w:left="420"/>
      </w:pPr>
    </w:p>
    <w:p/>
    <w:p>
      <w:pPr>
        <w:pStyle w:val="2"/>
      </w:pPr>
    </w:p>
    <w:p>
      <w:pPr>
        <w:pStyle w:val="3"/>
        <w:ind w:left="420"/>
      </w:pPr>
    </w:p>
    <w:p/>
    <w:p>
      <w:pPr>
        <w:spacing w:line="600" w:lineRule="exact"/>
        <w:ind w:firstLine="640"/>
        <w:rPr>
          <w:rFonts w:eastAsia="仿宋_GB2312" w:cs="仿宋_GB2312"/>
          <w:sz w:val="32"/>
          <w:szCs w:val="32"/>
        </w:rPr>
      </w:pPr>
      <w:r>
        <w:rPr>
          <w:rFonts w:hint="eastAsia" w:eastAsia="仿宋_GB2312" w:cs="仿宋_GB2312"/>
          <w:sz w:val="32"/>
          <w:szCs w:val="32"/>
        </w:rPr>
        <w:t>（图7：财政拨款“三公”经费支出结构）（饼状图）</w:t>
      </w:r>
    </w:p>
    <w:p>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ascii="仿宋_GB2312" w:hAnsi="仿宋_GB2312" w:eastAsia="仿宋_GB2312" w:cs="仿宋_GB2312"/>
          <w:sz w:val="32"/>
          <w:szCs w:val="32"/>
        </w:rPr>
        <w:t>0</w:t>
      </w:r>
      <w:r>
        <w:rPr>
          <w:rFonts w:hint="eastAsia" w:eastAsia="仿宋_GB2312" w:cs="仿宋_GB2312"/>
          <w:b/>
          <w:bCs/>
          <w:sz w:val="32"/>
          <w:szCs w:val="32"/>
        </w:rPr>
        <w:t>万元，完成预算0%。</w:t>
      </w:r>
      <w:r>
        <w:rPr>
          <w:rFonts w:hint="eastAsia" w:eastAsia="仿宋_GB2312" w:cs="仿宋_GB2312"/>
          <w:sz w:val="32"/>
          <w:szCs w:val="32"/>
        </w:rPr>
        <w:t>全年安排因公出国（境）团组</w:t>
      </w:r>
      <w:r>
        <w:rPr>
          <w:rFonts w:hint="eastAsia" w:ascii="仿宋_GB2312" w:hAnsi="仿宋_GB2312" w:eastAsia="仿宋_GB2312" w:cs="仿宋_GB2312"/>
          <w:sz w:val="32"/>
          <w:szCs w:val="32"/>
        </w:rPr>
        <w:t>0</w:t>
      </w:r>
      <w:r>
        <w:rPr>
          <w:rFonts w:hint="eastAsia" w:eastAsia="仿宋_GB2312" w:cs="仿宋_GB2312"/>
          <w:sz w:val="32"/>
          <w:szCs w:val="32"/>
        </w:rPr>
        <w:t>次，出国（境）</w:t>
      </w:r>
      <w:r>
        <w:rPr>
          <w:rFonts w:hint="eastAsia" w:ascii="仿宋_GB2312" w:hAnsi="仿宋_GB2312" w:eastAsia="仿宋_GB2312" w:cs="仿宋_GB2312"/>
          <w:sz w:val="32"/>
          <w:szCs w:val="32"/>
        </w:rPr>
        <w:t>0</w:t>
      </w:r>
      <w:r>
        <w:rPr>
          <w:rFonts w:hint="eastAsia" w:eastAsia="仿宋_GB2312" w:cs="仿宋_GB2312"/>
          <w:sz w:val="32"/>
          <w:szCs w:val="32"/>
        </w:rPr>
        <w:t>人。因公出国（境）支出决算比上年度增加/减少0万元，增长/下降0%。</w:t>
      </w:r>
    </w:p>
    <w:p>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rPr>
        <w:t>49.01</w:t>
      </w:r>
      <w:r>
        <w:rPr>
          <w:rFonts w:hint="eastAsia" w:eastAsia="仿宋_GB2312" w:cs="仿宋_GB2312"/>
          <w:b/>
          <w:bCs/>
          <w:sz w:val="32"/>
          <w:szCs w:val="32"/>
        </w:rPr>
        <w:t>万元，完成预算100%。</w:t>
      </w:r>
      <w:r>
        <w:rPr>
          <w:rFonts w:hint="eastAsia" w:eastAsia="仿宋_GB2312" w:cs="仿宋_GB2312"/>
          <w:sz w:val="32"/>
          <w:szCs w:val="32"/>
        </w:rPr>
        <w:t>公务用车购置及运行维护费支出决算比上年度增加28.21万元，增长136%。主要原因是公安局公务车辆增加导致相关费用增加</w:t>
      </w:r>
    </w:p>
    <w:p>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ascii="仿宋_GB2312" w:hAnsi="仿宋_GB2312" w:eastAsia="仿宋_GB2312" w:cs="仿宋_GB2312"/>
          <w:sz w:val="32"/>
          <w:szCs w:val="32"/>
        </w:rPr>
        <w:t>0</w:t>
      </w:r>
      <w:r>
        <w:rPr>
          <w:rFonts w:hint="eastAsia" w:eastAsia="仿宋_GB2312" w:cs="仿宋_GB2312"/>
          <w:sz w:val="32"/>
          <w:szCs w:val="32"/>
        </w:rPr>
        <w:t>万元。全年按规定更新购置公务用车0辆，其中：轿车0辆、金额0万元，越野车0辆、金额0万元，载客汽车0辆、金额0万元，主要用于……。截至2025年12月31日，单位共有公务用车63辆，其中：轿车25辆、越野车28辆、载客汽车10辆。</w:t>
      </w:r>
    </w:p>
    <w:p>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hint="eastAsia" w:ascii="仿宋_GB2312" w:hAnsi="仿宋_GB2312" w:eastAsia="仿宋_GB2312" w:cs="仿宋_GB2312"/>
          <w:sz w:val="32"/>
          <w:szCs w:val="32"/>
        </w:rPr>
        <w:t>49.01</w:t>
      </w:r>
      <w:r>
        <w:rPr>
          <w:rFonts w:hint="eastAsia" w:eastAsia="仿宋_GB2312" w:cs="仿宋_GB2312"/>
          <w:sz w:val="32"/>
          <w:szCs w:val="32"/>
        </w:rPr>
        <w:t>万元。主要用于办理案件，公务出差所需的公务用车燃料费、维修费、过路过桥费、保险费等支出。</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rPr>
        <w:t>0</w:t>
      </w:r>
      <w:r>
        <w:rPr>
          <w:rFonts w:hint="eastAsia" w:eastAsia="仿宋_GB2312" w:cs="仿宋_GB2312"/>
          <w:b/>
          <w:bCs/>
          <w:sz w:val="32"/>
          <w:szCs w:val="32"/>
        </w:rPr>
        <w:t>万元，完成预算0%。</w:t>
      </w:r>
      <w:r>
        <w:rPr>
          <w:rFonts w:hint="eastAsia" w:eastAsia="仿宋_GB2312" w:cs="仿宋_GB2312"/>
          <w:sz w:val="32"/>
          <w:szCs w:val="32"/>
        </w:rPr>
        <w:t>公务接待费支出决算比上年度减少0.8万元，下降100%。主要原因是因为2025年公安局无公务接待。</w:t>
      </w:r>
    </w:p>
    <w:p>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ascii="仿宋_GB2312" w:hAnsi="仿宋_GB2312" w:eastAsia="仿宋_GB2312" w:cs="仿宋_GB2312"/>
          <w:sz w:val="32"/>
          <w:szCs w:val="32"/>
        </w:rPr>
        <w:t>0</w:t>
      </w:r>
      <w:r>
        <w:rPr>
          <w:rFonts w:hint="eastAsia" w:eastAsia="仿宋_GB2312" w:cs="仿宋_GB2312"/>
          <w:sz w:val="32"/>
          <w:szCs w:val="32"/>
        </w:rPr>
        <w:t>万元，国内公务接待</w:t>
      </w:r>
      <w:r>
        <w:rPr>
          <w:rFonts w:hint="eastAsia" w:ascii="仿宋_GB2312" w:hAnsi="仿宋_GB2312" w:eastAsia="仿宋_GB2312" w:cs="仿宋_GB2312"/>
          <w:sz w:val="32"/>
          <w:szCs w:val="32"/>
        </w:rPr>
        <w:t>0</w:t>
      </w:r>
      <w:r>
        <w:rPr>
          <w:rFonts w:hint="eastAsia" w:eastAsia="仿宋_GB2312" w:cs="仿宋_GB2312"/>
          <w:sz w:val="32"/>
          <w:szCs w:val="32"/>
        </w:rPr>
        <w:t>批次，</w:t>
      </w:r>
      <w:r>
        <w:rPr>
          <w:rFonts w:hint="eastAsia" w:ascii="仿宋_GB2312" w:hAnsi="仿宋_GB2312" w:eastAsia="仿宋_GB2312" w:cs="仿宋_GB2312"/>
          <w:sz w:val="32"/>
          <w:szCs w:val="32"/>
        </w:rPr>
        <w:t>0</w:t>
      </w:r>
      <w:r>
        <w:rPr>
          <w:rFonts w:hint="eastAsia" w:eastAsia="仿宋_GB2312" w:cs="仿宋_GB2312"/>
          <w:sz w:val="32"/>
          <w:szCs w:val="32"/>
        </w:rPr>
        <w:t>人次（不包括陪同人员），共计支出0万元。</w:t>
      </w:r>
    </w:p>
    <w:p>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ascii="仿宋_GB2312" w:hAnsi="仿宋_GB2312" w:eastAsia="仿宋_GB2312" w:cs="仿宋_GB2312"/>
          <w:sz w:val="32"/>
          <w:szCs w:val="32"/>
        </w:rPr>
        <w:t>0</w:t>
      </w:r>
      <w:r>
        <w:rPr>
          <w:rFonts w:hint="eastAsia" w:eastAsia="仿宋_GB2312" w:cs="仿宋_GB2312"/>
          <w:sz w:val="32"/>
          <w:szCs w:val="32"/>
        </w:rPr>
        <w:t>万元。外事接待</w:t>
      </w:r>
      <w:r>
        <w:rPr>
          <w:rFonts w:hint="eastAsia" w:ascii="仿宋_GB2312" w:hAnsi="仿宋_GB2312" w:eastAsia="仿宋_GB2312" w:cs="仿宋_GB2312"/>
          <w:sz w:val="32"/>
          <w:szCs w:val="32"/>
        </w:rPr>
        <w:t>0</w:t>
      </w:r>
      <w:r>
        <w:rPr>
          <w:rFonts w:hint="eastAsia" w:eastAsia="仿宋_GB2312" w:cs="仿宋_GB2312"/>
          <w:sz w:val="32"/>
          <w:szCs w:val="32"/>
        </w:rPr>
        <w:t>批次，</w:t>
      </w:r>
      <w:r>
        <w:rPr>
          <w:rFonts w:hint="eastAsia" w:ascii="仿宋_GB2312" w:hAnsi="仿宋_GB2312" w:eastAsia="仿宋_GB2312" w:cs="仿宋_GB2312"/>
          <w:sz w:val="32"/>
          <w:szCs w:val="32"/>
        </w:rPr>
        <w:t>0</w:t>
      </w:r>
      <w:r>
        <w:rPr>
          <w:rFonts w:hint="eastAsia" w:eastAsia="仿宋_GB2312" w:cs="仿宋_GB2312"/>
          <w:sz w:val="32"/>
          <w:szCs w:val="32"/>
        </w:rPr>
        <w:t>人次（不包括陪同人员）。</w:t>
      </w:r>
    </w:p>
    <w:p>
      <w:pPr>
        <w:spacing w:line="600" w:lineRule="exact"/>
        <w:ind w:firstLine="640"/>
        <w:rPr>
          <w:rFonts w:eastAsia="仿宋_GB2312" w:cs="仿宋_GB2312"/>
          <w:sz w:val="32"/>
          <w:szCs w:val="32"/>
        </w:rPr>
      </w:pPr>
      <w:bookmarkStart w:id="40" w:name="_Toc15396610"/>
      <w:bookmarkStart w:id="41" w:name="_Toc15377218"/>
    </w:p>
    <w:p>
      <w:pPr>
        <w:spacing w:line="600" w:lineRule="exact"/>
        <w:ind w:firstLine="640"/>
        <w:outlineLvl w:val="1"/>
        <w:rPr>
          <w:rStyle w:val="30"/>
          <w:rFonts w:ascii="Times New Roman" w:hAnsi="Times New Roman" w:eastAsia="黑体"/>
        </w:rPr>
      </w:pPr>
      <w:r>
        <w:rPr>
          <w:rFonts w:hint="eastAsia" w:eastAsia="黑体"/>
          <w:sz w:val="32"/>
          <w:szCs w:val="32"/>
        </w:rPr>
        <w:t>八、</w:t>
      </w:r>
      <w:r>
        <w:rPr>
          <w:rStyle w:val="30"/>
          <w:rFonts w:hint="eastAsia" w:ascii="Times New Roman" w:hAnsi="Times New Roman" w:eastAsia="黑体"/>
          <w:b w:val="0"/>
        </w:rPr>
        <w:t>政府性基金预算支出决算情况说明</w:t>
      </w:r>
      <w:bookmarkEnd w:id="40"/>
      <w:bookmarkEnd w:id="41"/>
    </w:p>
    <w:p>
      <w:pPr>
        <w:spacing w:line="600" w:lineRule="exact"/>
        <w:ind w:firstLine="640"/>
        <w:rPr>
          <w:rFonts w:eastAsia="仿宋_GB2312" w:cs="仿宋_GB2312"/>
          <w:sz w:val="32"/>
          <w:szCs w:val="32"/>
        </w:rPr>
      </w:pPr>
      <w:r>
        <w:rPr>
          <w:rFonts w:hint="eastAsia" w:eastAsia="仿宋_GB2312" w:cs="仿宋_GB2312"/>
          <w:sz w:val="32"/>
          <w:szCs w:val="32"/>
        </w:rPr>
        <w:t>2025年度政府性基金预算财政拨款支出</w:t>
      </w:r>
      <w:r>
        <w:rPr>
          <w:rFonts w:hint="eastAsia" w:ascii="仿宋_GB2312" w:hAnsi="仿宋_GB2312" w:eastAsia="仿宋_GB2312" w:cs="仿宋_GB2312"/>
          <w:sz w:val="32"/>
          <w:szCs w:val="32"/>
        </w:rPr>
        <w:t>0</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0</w:t>
      </w:r>
      <w:r>
        <w:rPr>
          <w:rFonts w:hint="eastAsia" w:eastAsia="仿宋_GB2312" w:cs="仿宋_GB2312"/>
          <w:sz w:val="32"/>
          <w:szCs w:val="32"/>
        </w:rPr>
        <w:t>%。与上年度相比，政府性基金预算财政拨款支出增加/减少0万元，增长/下降0%。</w:t>
      </w:r>
    </w:p>
    <w:p>
      <w:pPr>
        <w:spacing w:line="600" w:lineRule="exact"/>
        <w:ind w:firstLine="640"/>
        <w:rPr>
          <w:rFonts w:eastAsia="仿宋_GB2312" w:cs="仿宋_GB2312"/>
          <w:b/>
          <w:bCs/>
          <w:sz w:val="32"/>
          <w:szCs w:val="32"/>
        </w:rPr>
      </w:pPr>
      <w:r>
        <w:rPr>
          <w:rFonts w:hint="eastAsia" w:eastAsia="仿宋_GB2312" w:cs="仿宋_GB2312"/>
          <w:b/>
          <w:bCs/>
          <w:sz w:val="32"/>
          <w:szCs w:val="32"/>
        </w:rPr>
        <w:t>（注：支出数与上年持平可以不写原因）</w:t>
      </w:r>
    </w:p>
    <w:p>
      <w:pPr>
        <w:spacing w:line="600" w:lineRule="exact"/>
        <w:ind w:firstLine="640"/>
        <w:rPr>
          <w:rFonts w:eastAsia="仿宋_GB2312" w:cs="仿宋_GB2312"/>
          <w:sz w:val="32"/>
          <w:szCs w:val="32"/>
        </w:rPr>
      </w:pPr>
    </w:p>
    <w:p>
      <w:pPr>
        <w:spacing w:line="600" w:lineRule="exact"/>
        <w:ind w:left="630"/>
        <w:outlineLvl w:val="1"/>
        <w:rPr>
          <w:rStyle w:val="30"/>
          <w:rFonts w:ascii="Times New Roman" w:hAnsi="Times New Roman" w:eastAsia="黑体"/>
          <w:b w:val="0"/>
        </w:rPr>
      </w:pPr>
      <w:bookmarkStart w:id="42" w:name="_Toc15396611"/>
      <w:bookmarkStart w:id="43" w:name="_Toc15377219"/>
      <w:r>
        <w:rPr>
          <w:rStyle w:val="30"/>
          <w:rFonts w:hint="eastAsia" w:ascii="Times New Roman" w:hAnsi="Times New Roman" w:eastAsia="黑体"/>
          <w:b w:val="0"/>
        </w:rPr>
        <w:t>九、国有资本经营预算支出决算情况说明</w:t>
      </w:r>
      <w:bookmarkEnd w:id="42"/>
      <w:bookmarkEnd w:id="43"/>
    </w:p>
    <w:p>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ascii="仿宋_GB2312" w:hAnsi="仿宋_GB2312" w:eastAsia="仿宋_GB2312" w:cs="仿宋_GB2312"/>
          <w:sz w:val="32"/>
          <w:szCs w:val="32"/>
        </w:rPr>
        <w:t>0</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0</w:t>
      </w:r>
      <w:r>
        <w:rPr>
          <w:rFonts w:hint="eastAsia" w:eastAsia="仿宋_GB2312" w:cs="仿宋_GB2312"/>
          <w:sz w:val="32"/>
          <w:szCs w:val="32"/>
        </w:rPr>
        <w:t>%。与上年度相比，国有资本经营预算财政拨款支出增加/减少0万元，增长/下降0%。</w:t>
      </w:r>
      <w:r>
        <w:rPr>
          <w:rFonts w:hint="eastAsia" w:eastAsia="仿宋_GB2312" w:cs="仿宋_GB2312"/>
          <w:b/>
          <w:bCs/>
          <w:sz w:val="32"/>
          <w:szCs w:val="32"/>
        </w:rPr>
        <w:t>（注：支出数与上年持平可以不写原因）</w:t>
      </w:r>
    </w:p>
    <w:p>
      <w:pPr>
        <w:spacing w:line="600" w:lineRule="exact"/>
        <w:ind w:firstLine="640"/>
        <w:rPr>
          <w:rFonts w:eastAsia="仿宋_GB2312" w:cs="仿宋_GB2312"/>
          <w:sz w:val="32"/>
          <w:szCs w:val="32"/>
        </w:rPr>
      </w:pPr>
    </w:p>
    <w:p>
      <w:pPr>
        <w:spacing w:line="600" w:lineRule="exact"/>
        <w:ind w:left="630"/>
        <w:outlineLvl w:val="1"/>
        <w:rPr>
          <w:rStyle w:val="30"/>
          <w:rFonts w:ascii="Times New Roman" w:hAnsi="Times New Roman" w:eastAsia="黑体"/>
          <w:b w:val="0"/>
        </w:rPr>
      </w:pPr>
      <w:bookmarkStart w:id="44" w:name="_Toc15377221"/>
      <w:bookmarkStart w:id="45" w:name="_Toc15396612"/>
      <w:r>
        <w:rPr>
          <w:rStyle w:val="30"/>
          <w:rFonts w:hint="eastAsia" w:ascii="Times New Roman" w:hAnsi="Times New Roman" w:eastAsia="黑体"/>
          <w:b w:val="0"/>
        </w:rPr>
        <w:t>十、其他重要事项的情况说明</w:t>
      </w:r>
      <w:bookmarkEnd w:id="44"/>
      <w:bookmarkEnd w:id="45"/>
    </w:p>
    <w:p>
      <w:pPr>
        <w:spacing w:line="600" w:lineRule="exact"/>
        <w:ind w:firstLine="643" w:firstLineChars="200"/>
        <w:outlineLvl w:val="2"/>
        <w:rPr>
          <w:rFonts w:eastAsia="楷体_GB2312" w:cs="楷体_GB2312"/>
          <w:b/>
          <w:sz w:val="32"/>
          <w:szCs w:val="32"/>
        </w:rPr>
      </w:pPr>
      <w:bookmarkStart w:id="46" w:name="_Toc15377222"/>
      <w:r>
        <w:rPr>
          <w:rFonts w:hint="eastAsia" w:eastAsia="楷体_GB2312" w:cs="楷体_GB2312"/>
          <w:b/>
          <w:sz w:val="32"/>
          <w:szCs w:val="32"/>
        </w:rPr>
        <w:t>（一）机关运行经费支出情况</w:t>
      </w:r>
      <w:bookmarkEnd w:id="46"/>
    </w:p>
    <w:p>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阿坝州若尔盖县公安局</w:t>
      </w:r>
      <w:r>
        <w:rPr>
          <w:rFonts w:hint="eastAsia" w:eastAsia="仿宋_GB2312" w:cs="仿宋_GB2312"/>
          <w:sz w:val="32"/>
          <w:szCs w:val="32"/>
        </w:rPr>
        <w:t>机关运行经费支出</w:t>
      </w:r>
      <w:r>
        <w:rPr>
          <w:rFonts w:hint="eastAsia" w:ascii="仿宋_GB2312" w:hAnsi="仿宋_GB2312" w:eastAsia="仿宋_GB2312" w:cs="仿宋_GB2312"/>
          <w:sz w:val="32"/>
          <w:szCs w:val="32"/>
        </w:rPr>
        <w:t>600.45</w:t>
      </w:r>
      <w:r>
        <w:rPr>
          <w:rFonts w:hint="eastAsia" w:eastAsia="仿宋_GB2312" w:cs="仿宋_GB2312"/>
          <w:sz w:val="32"/>
          <w:szCs w:val="32"/>
        </w:rPr>
        <w:t>万元，比上年度增加91.12万元，增长17.89%（或与上年度决算数持平）。主要原因是机关运行经费增加。</w:t>
      </w:r>
      <w:r>
        <w:rPr>
          <w:rFonts w:hint="eastAsia" w:eastAsia="仿宋_GB2312" w:cs="仿宋_GB2312"/>
          <w:b/>
          <w:bCs/>
          <w:sz w:val="32"/>
          <w:szCs w:val="32"/>
        </w:rPr>
        <w:t>（注：支出数与上年持平可以不写原因）</w:t>
      </w:r>
    </w:p>
    <w:p>
      <w:pPr>
        <w:spacing w:line="600" w:lineRule="exact"/>
        <w:ind w:firstLine="640"/>
        <w:rPr>
          <w:rFonts w:eastAsia="仿宋_GB2312" w:cs="仿宋_GB2312"/>
          <w:sz w:val="32"/>
          <w:szCs w:val="32"/>
        </w:rPr>
      </w:pPr>
    </w:p>
    <w:p>
      <w:pPr>
        <w:spacing w:line="600" w:lineRule="exact"/>
        <w:ind w:firstLine="643" w:firstLineChars="200"/>
        <w:outlineLvl w:val="2"/>
        <w:rPr>
          <w:rFonts w:eastAsia="楷体_GB2312" w:cs="楷体_GB2312"/>
          <w:b/>
          <w:sz w:val="32"/>
          <w:szCs w:val="32"/>
        </w:rPr>
      </w:pPr>
      <w:bookmarkStart w:id="47" w:name="_Toc15377223"/>
      <w:r>
        <w:rPr>
          <w:rFonts w:hint="eastAsia" w:eastAsia="楷体_GB2312" w:cs="楷体_GB2312"/>
          <w:b/>
          <w:sz w:val="32"/>
          <w:szCs w:val="32"/>
        </w:rPr>
        <w:t>（二）政府采购支出情况</w:t>
      </w:r>
      <w:bookmarkEnd w:id="47"/>
    </w:p>
    <w:p>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阿坝州若尔盖县公安局</w:t>
      </w:r>
      <w:r>
        <w:rPr>
          <w:rFonts w:hint="eastAsia" w:eastAsia="仿宋_GB2312" w:cs="仿宋_GB2312"/>
          <w:sz w:val="32"/>
          <w:szCs w:val="32"/>
        </w:rPr>
        <w:t>政府采购支出总额</w:t>
      </w:r>
      <w:r>
        <w:rPr>
          <w:rFonts w:hint="eastAsia" w:ascii="仿宋_GB2312" w:hAnsi="仿宋_GB2312" w:eastAsia="仿宋_GB2312" w:cs="仿宋_GB2312"/>
          <w:sz w:val="32"/>
          <w:szCs w:val="32"/>
        </w:rPr>
        <w:t>1261.36</w:t>
      </w:r>
      <w:r>
        <w:rPr>
          <w:rFonts w:hint="eastAsia" w:eastAsia="仿宋_GB2312" w:cs="仿宋_GB2312"/>
          <w:sz w:val="32"/>
          <w:szCs w:val="32"/>
        </w:rPr>
        <w:t>万元，其中：政府采购货物支出</w:t>
      </w:r>
      <w:r>
        <w:rPr>
          <w:rFonts w:hint="eastAsia" w:ascii="仿宋_GB2312" w:hAnsi="仿宋_GB2312" w:eastAsia="仿宋_GB2312" w:cs="仿宋_GB2312"/>
          <w:sz w:val="32"/>
          <w:szCs w:val="32"/>
        </w:rPr>
        <w:t>889.53</w:t>
      </w:r>
      <w:r>
        <w:rPr>
          <w:rFonts w:hint="eastAsia" w:eastAsia="仿宋_GB2312" w:cs="仿宋_GB2312"/>
          <w:sz w:val="32"/>
          <w:szCs w:val="32"/>
        </w:rPr>
        <w:t>万元、政府采购工程支出</w:t>
      </w:r>
      <w:r>
        <w:rPr>
          <w:rFonts w:hint="eastAsia" w:ascii="仿宋_GB2312" w:hAnsi="仿宋_GB2312" w:eastAsia="仿宋_GB2312" w:cs="仿宋_GB2312"/>
          <w:sz w:val="32"/>
          <w:szCs w:val="32"/>
        </w:rPr>
        <w:t>0</w:t>
      </w:r>
      <w:r>
        <w:rPr>
          <w:rFonts w:hint="eastAsia" w:eastAsia="仿宋_GB2312" w:cs="仿宋_GB2312"/>
          <w:sz w:val="32"/>
          <w:szCs w:val="32"/>
        </w:rPr>
        <w:t>万元、政府采购服务支出</w:t>
      </w:r>
      <w:r>
        <w:rPr>
          <w:rFonts w:hint="eastAsia" w:ascii="仿宋_GB2312" w:hAnsi="仿宋_GB2312" w:eastAsia="仿宋_GB2312" w:cs="仿宋_GB2312"/>
          <w:sz w:val="32"/>
          <w:szCs w:val="32"/>
        </w:rPr>
        <w:t>371.83</w:t>
      </w:r>
      <w:r>
        <w:rPr>
          <w:rFonts w:hint="eastAsia" w:eastAsia="仿宋_GB2312" w:cs="仿宋_GB2312"/>
          <w:sz w:val="32"/>
          <w:szCs w:val="32"/>
        </w:rPr>
        <w:t>万元。主要用于公安相关项目建设运行。授予中小企业合同金额</w:t>
      </w:r>
      <w:r>
        <w:rPr>
          <w:rFonts w:hint="eastAsia" w:ascii="仿宋_GB2312" w:hAnsi="仿宋_GB2312" w:eastAsia="仿宋_GB2312" w:cs="仿宋_GB2312"/>
          <w:sz w:val="32"/>
          <w:szCs w:val="32"/>
        </w:rPr>
        <w:t>0</w:t>
      </w:r>
      <w:r>
        <w:rPr>
          <w:rFonts w:hint="eastAsia" w:eastAsia="仿宋_GB2312" w:cs="仿宋_GB2312"/>
          <w:sz w:val="32"/>
          <w:szCs w:val="32"/>
        </w:rPr>
        <w:t>万元，占政府采购支出总额的</w:t>
      </w:r>
      <w:r>
        <w:rPr>
          <w:rFonts w:hint="eastAsia" w:ascii="仿宋_GB2312" w:hAnsi="仿宋_GB2312" w:eastAsia="仿宋_GB2312" w:cs="仿宋_GB2312"/>
          <w:sz w:val="32"/>
          <w:szCs w:val="32"/>
        </w:rPr>
        <w:t>0</w:t>
      </w:r>
      <w:r>
        <w:rPr>
          <w:rFonts w:hint="eastAsia" w:eastAsia="仿宋_GB2312" w:cs="仿宋_GB2312"/>
          <w:sz w:val="32"/>
          <w:szCs w:val="32"/>
        </w:rPr>
        <w:t>%，其中：授予小微企业合同金额</w:t>
      </w:r>
      <w:r>
        <w:rPr>
          <w:rFonts w:hint="eastAsia" w:ascii="仿宋_GB2312" w:hAnsi="仿宋_GB2312" w:eastAsia="仿宋_GB2312" w:cs="仿宋_GB2312"/>
          <w:sz w:val="32"/>
          <w:szCs w:val="32"/>
        </w:rPr>
        <w:t>0</w:t>
      </w:r>
      <w:r>
        <w:rPr>
          <w:rFonts w:hint="eastAsia" w:eastAsia="仿宋_GB2312" w:cs="仿宋_GB2312"/>
          <w:sz w:val="32"/>
          <w:szCs w:val="32"/>
        </w:rPr>
        <w:t>万元，占政府采购支出总额的</w:t>
      </w:r>
      <w:r>
        <w:rPr>
          <w:rFonts w:hint="eastAsia" w:ascii="仿宋_GB2312" w:hAnsi="仿宋_GB2312" w:eastAsia="仿宋_GB2312" w:cs="仿宋_GB2312"/>
          <w:sz w:val="32"/>
          <w:szCs w:val="32"/>
        </w:rPr>
        <w:t>0</w:t>
      </w:r>
      <w:r>
        <w:rPr>
          <w:rFonts w:hint="eastAsia" w:eastAsia="仿宋_GB2312" w:cs="仿宋_GB2312"/>
          <w:sz w:val="32"/>
          <w:szCs w:val="32"/>
        </w:rPr>
        <w:t>%。</w:t>
      </w:r>
    </w:p>
    <w:p>
      <w:pPr>
        <w:spacing w:line="600" w:lineRule="exact"/>
        <w:ind w:firstLine="640"/>
        <w:rPr>
          <w:rFonts w:eastAsia="仿宋_GB2312" w:cs="仿宋_GB2312"/>
          <w:sz w:val="32"/>
          <w:szCs w:val="32"/>
        </w:rPr>
      </w:pPr>
    </w:p>
    <w:p>
      <w:pPr>
        <w:spacing w:line="600" w:lineRule="exact"/>
        <w:ind w:firstLine="643" w:firstLineChars="200"/>
        <w:outlineLvl w:val="2"/>
        <w:rPr>
          <w:rFonts w:eastAsia="楷体_GB2312" w:cs="楷体_GB2312"/>
          <w:b/>
          <w:sz w:val="32"/>
          <w:szCs w:val="32"/>
        </w:rPr>
      </w:pPr>
      <w:bookmarkStart w:id="48" w:name="_Toc15377224"/>
      <w:r>
        <w:rPr>
          <w:rFonts w:hint="eastAsia" w:eastAsia="楷体_GB2312" w:cs="楷体_GB2312"/>
          <w:b/>
          <w:sz w:val="32"/>
          <w:szCs w:val="32"/>
        </w:rPr>
        <w:t>（三）国有资产占有使用情况</w:t>
      </w:r>
      <w:bookmarkEnd w:id="48"/>
    </w:p>
    <w:p>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ascii="仿宋_GB2312" w:hAnsi="仿宋_GB2312" w:eastAsia="仿宋_GB2312" w:cs="仿宋_GB2312"/>
          <w:sz w:val="32"/>
          <w:szCs w:val="32"/>
        </w:rPr>
        <w:t>阿坝州若尔盖县公安局</w:t>
      </w:r>
      <w:r>
        <w:rPr>
          <w:rFonts w:hint="eastAsia" w:eastAsia="仿宋_GB2312" w:cs="仿宋_GB2312"/>
          <w:sz w:val="32"/>
          <w:szCs w:val="32"/>
        </w:rPr>
        <w:t>共有车辆</w:t>
      </w:r>
      <w:r>
        <w:rPr>
          <w:rFonts w:hint="eastAsia" w:ascii="仿宋_GB2312" w:hAnsi="仿宋_GB2312" w:eastAsia="仿宋_GB2312" w:cs="仿宋_GB2312"/>
          <w:sz w:val="32"/>
          <w:szCs w:val="32"/>
        </w:rPr>
        <w:t>63</w:t>
      </w:r>
      <w:r>
        <w:rPr>
          <w:rFonts w:hint="eastAsia" w:eastAsia="仿宋_GB2312" w:cs="仿宋_GB2312"/>
          <w:sz w:val="32"/>
          <w:szCs w:val="32"/>
        </w:rPr>
        <w:t>辆，其中：副部（省）级及以上领导用车</w:t>
      </w:r>
      <w:r>
        <w:rPr>
          <w:rFonts w:hint="eastAsia" w:ascii="仿宋_GB2312" w:hAnsi="仿宋_GB2312" w:eastAsia="仿宋_GB2312" w:cs="仿宋_GB2312"/>
          <w:sz w:val="32"/>
          <w:szCs w:val="32"/>
        </w:rPr>
        <w:t>0</w:t>
      </w:r>
      <w:r>
        <w:rPr>
          <w:rFonts w:hint="eastAsia" w:eastAsia="仿宋_GB2312" w:cs="仿宋_GB2312"/>
          <w:sz w:val="32"/>
          <w:szCs w:val="32"/>
        </w:rPr>
        <w:t>辆、主要负责人用车</w:t>
      </w:r>
      <w:r>
        <w:rPr>
          <w:rFonts w:hint="eastAsia" w:ascii="仿宋_GB2312" w:hAnsi="仿宋_GB2312" w:eastAsia="仿宋_GB2312" w:cs="仿宋_GB2312"/>
          <w:sz w:val="32"/>
          <w:szCs w:val="32"/>
        </w:rPr>
        <w:t>0</w:t>
      </w:r>
      <w:r>
        <w:rPr>
          <w:rFonts w:hint="eastAsia" w:eastAsia="仿宋_GB2312" w:cs="仿宋_GB2312"/>
          <w:sz w:val="32"/>
          <w:szCs w:val="32"/>
        </w:rPr>
        <w:t>辆、机要通信用车</w:t>
      </w:r>
      <w:r>
        <w:rPr>
          <w:rFonts w:hint="eastAsia" w:ascii="仿宋_GB2312" w:hAnsi="仿宋_GB2312" w:eastAsia="仿宋_GB2312" w:cs="仿宋_GB2312"/>
          <w:sz w:val="32"/>
          <w:szCs w:val="32"/>
        </w:rPr>
        <w:t>0</w:t>
      </w:r>
      <w:r>
        <w:rPr>
          <w:rFonts w:hint="eastAsia" w:eastAsia="仿宋_GB2312" w:cs="仿宋_GB2312"/>
          <w:sz w:val="32"/>
          <w:szCs w:val="32"/>
        </w:rPr>
        <w:t>辆、应急保障用车</w:t>
      </w:r>
      <w:r>
        <w:rPr>
          <w:rFonts w:hint="eastAsia" w:ascii="仿宋_GB2312" w:hAnsi="仿宋_GB2312" w:eastAsia="仿宋_GB2312" w:cs="仿宋_GB2312"/>
          <w:sz w:val="32"/>
          <w:szCs w:val="32"/>
        </w:rPr>
        <w:t>0</w:t>
      </w:r>
      <w:r>
        <w:rPr>
          <w:rFonts w:hint="eastAsia" w:eastAsia="仿宋_GB2312" w:cs="仿宋_GB2312"/>
          <w:sz w:val="32"/>
          <w:szCs w:val="32"/>
        </w:rPr>
        <w:t>辆、执法执勤用车</w:t>
      </w:r>
      <w:r>
        <w:rPr>
          <w:rFonts w:hint="eastAsia" w:ascii="仿宋_GB2312" w:hAnsi="仿宋_GB2312" w:eastAsia="仿宋_GB2312" w:cs="仿宋_GB2312"/>
          <w:sz w:val="32"/>
          <w:szCs w:val="32"/>
        </w:rPr>
        <w:t>58</w:t>
      </w:r>
      <w:r>
        <w:rPr>
          <w:rFonts w:hint="eastAsia" w:eastAsia="仿宋_GB2312" w:cs="仿宋_GB2312"/>
          <w:sz w:val="32"/>
          <w:szCs w:val="32"/>
        </w:rPr>
        <w:t>辆、特种专业技术用车</w:t>
      </w:r>
      <w:r>
        <w:rPr>
          <w:rFonts w:hint="eastAsia" w:ascii="仿宋_GB2312" w:hAnsi="仿宋_GB2312" w:eastAsia="仿宋_GB2312" w:cs="仿宋_GB2312"/>
          <w:sz w:val="32"/>
          <w:szCs w:val="32"/>
        </w:rPr>
        <w:t>5</w:t>
      </w:r>
      <w:r>
        <w:rPr>
          <w:rFonts w:hint="eastAsia" w:eastAsia="仿宋_GB2312" w:cs="仿宋_GB2312"/>
          <w:sz w:val="32"/>
          <w:szCs w:val="32"/>
        </w:rPr>
        <w:t>辆、离退休干部服务用车</w:t>
      </w:r>
      <w:r>
        <w:rPr>
          <w:rFonts w:hint="eastAsia" w:ascii="仿宋_GB2312" w:hAnsi="仿宋_GB2312" w:eastAsia="仿宋_GB2312" w:cs="仿宋_GB2312"/>
          <w:sz w:val="32"/>
          <w:szCs w:val="32"/>
        </w:rPr>
        <w:t>0</w:t>
      </w:r>
      <w:r>
        <w:rPr>
          <w:rFonts w:hint="eastAsia" w:eastAsia="仿宋_GB2312" w:cs="仿宋_GB2312"/>
          <w:sz w:val="32"/>
          <w:szCs w:val="32"/>
        </w:rPr>
        <w:t>辆、其他用车</w:t>
      </w:r>
      <w:r>
        <w:rPr>
          <w:rFonts w:hint="eastAsia" w:ascii="仿宋_GB2312" w:hAnsi="仿宋_GB2312" w:eastAsia="仿宋_GB2312" w:cs="仿宋_GB2312"/>
          <w:sz w:val="32"/>
          <w:szCs w:val="32"/>
        </w:rPr>
        <w:t>0</w:t>
      </w:r>
      <w:r>
        <w:rPr>
          <w:rFonts w:hint="eastAsia" w:eastAsia="仿宋_GB2312" w:cs="仿宋_GB2312"/>
          <w:sz w:val="32"/>
          <w:szCs w:val="32"/>
        </w:rPr>
        <w:t>辆，其他用车主要是用于街面巡逻以及办理案件等。单价100万元（含）以上设备（不含车辆）</w:t>
      </w:r>
      <w:r>
        <w:rPr>
          <w:rFonts w:hint="eastAsia" w:ascii="仿宋_GB2312" w:hAnsi="仿宋_GB2312" w:eastAsia="仿宋_GB2312" w:cs="仿宋_GB2312"/>
          <w:sz w:val="32"/>
          <w:szCs w:val="32"/>
        </w:rPr>
        <w:t>0</w:t>
      </w:r>
      <w:r>
        <w:rPr>
          <w:rFonts w:hint="eastAsia" w:eastAsia="仿宋_GB2312" w:cs="仿宋_GB2312"/>
          <w:sz w:val="32"/>
          <w:szCs w:val="32"/>
        </w:rPr>
        <w:t>台（套）。</w:t>
      </w:r>
    </w:p>
    <w:p>
      <w:pPr>
        <w:spacing w:line="600" w:lineRule="exact"/>
        <w:ind w:firstLine="640"/>
        <w:rPr>
          <w:rFonts w:eastAsia="仿宋_GB2312" w:cs="仿宋_GB2312"/>
          <w:sz w:val="32"/>
          <w:szCs w:val="32"/>
        </w:rPr>
      </w:pPr>
    </w:p>
    <w:p>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pPr>
        <w:spacing w:line="600" w:lineRule="exact"/>
        <w:ind w:firstLine="640"/>
        <w:rPr>
          <w:rFonts w:eastAsia="仿宋_GB2312" w:cs="仿宋_GB2312"/>
          <w:sz w:val="32"/>
          <w:szCs w:val="32"/>
        </w:rPr>
      </w:pPr>
      <w:r>
        <w:rPr>
          <w:rFonts w:hint="eastAsia" w:eastAsia="仿宋_GB2312" w:cs="仿宋_GB2312"/>
          <w:sz w:val="32"/>
          <w:szCs w:val="32"/>
        </w:rPr>
        <w:t>根据预算绩效管理要求，本部门在2025年度，组织对天网租赁费等5个项目涉及金额1234万元开展了事前绩效评估，对5个项目编制了绩效目标，预算执行过程中，选取5个项目开展绩效监控。</w:t>
      </w:r>
    </w:p>
    <w:p>
      <w:pPr>
        <w:spacing w:line="600" w:lineRule="exact"/>
        <w:ind w:firstLine="640"/>
        <w:rPr>
          <w:rFonts w:eastAsia="仿宋_GB2312" w:cs="仿宋_GB2312"/>
          <w:sz w:val="32"/>
          <w:szCs w:val="32"/>
        </w:rPr>
      </w:pPr>
      <w:r>
        <w:rPr>
          <w:rFonts w:hint="eastAsia" w:eastAsia="仿宋_GB2312" w:cs="仿宋_GB2312"/>
          <w:sz w:val="32"/>
          <w:szCs w:val="32"/>
        </w:rPr>
        <w:t>组织对2025年度一般公共预算、政府性基金预算、国有资本经营预算、社会保险基金预算以及资本资产、债券资金等全面开展绩效自评，形成整体部门预算（含部门预算项目）绩效自评报告（此项单位不涉及）、天网租赁费等专项预算项目绩效自评报告，其中，若尔盖县公安局部门预算（含部门预算项目）绩效自评得分为97分，绩效自评综述按照预算及时进行资金按计划支付；（注：如不涉及，可根据实际修改表述。）</w:t>
      </w:r>
    </w:p>
    <w:p>
      <w:pPr>
        <w:spacing w:line="600" w:lineRule="exact"/>
        <w:ind w:firstLine="640"/>
        <w:rPr>
          <w:rFonts w:eastAsia="仿宋_GB2312" w:cs="仿宋_GB2312"/>
          <w:sz w:val="32"/>
          <w:szCs w:val="32"/>
        </w:rPr>
      </w:pPr>
    </w:p>
    <w:p>
      <w:pPr>
        <w:spacing w:line="600" w:lineRule="exact"/>
        <w:jc w:val="center"/>
        <w:outlineLvl w:val="0"/>
        <w:rPr>
          <w:rFonts w:eastAsia="黑体"/>
          <w:sz w:val="44"/>
          <w:szCs w:val="44"/>
        </w:rPr>
      </w:pPr>
      <w:bookmarkStart w:id="49" w:name="_Toc15377225"/>
      <w:bookmarkStart w:id="50" w:name="_Toc15396613"/>
      <w:r>
        <w:rPr>
          <w:rFonts w:hint="eastAsia" w:eastAsia="黑体"/>
          <w:sz w:val="44"/>
          <w:szCs w:val="44"/>
        </w:rPr>
        <w:t>第三部分名词解释</w:t>
      </w:r>
      <w:bookmarkEnd w:id="49"/>
      <w:bookmarkEnd w:id="50"/>
    </w:p>
    <w:p>
      <w:pPr>
        <w:spacing w:line="600" w:lineRule="exact"/>
        <w:jc w:val="left"/>
        <w:rPr>
          <w:b/>
          <w:sz w:val="44"/>
          <w:szCs w:val="44"/>
        </w:rPr>
      </w:pPr>
    </w:p>
    <w:p>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pPr>
        <w:spacing w:line="600" w:lineRule="exact"/>
        <w:ind w:firstLine="640"/>
        <w:rPr>
          <w:rFonts w:eastAsia="仿宋_GB2312" w:cs="仿宋_GB2312"/>
          <w:sz w:val="32"/>
          <w:szCs w:val="32"/>
        </w:rPr>
      </w:pPr>
      <w:r>
        <w:rPr>
          <w:rFonts w:hint="eastAsia" w:eastAsia="仿宋_GB2312" w:cs="仿宋_GB2312"/>
          <w:color w:val="auto"/>
          <w:sz w:val="32"/>
          <w:szCs w:val="32"/>
        </w:rPr>
        <w:t>2.使用非财政拨款结余</w:t>
      </w:r>
      <w:r>
        <w:rPr>
          <w:rFonts w:hint="eastAsia" w:eastAsia="仿宋_GB2312" w:cs="仿宋_GB2312"/>
          <w:sz w:val="32"/>
          <w:szCs w:val="32"/>
        </w:rPr>
        <w:t xml:space="preserve">（含专用结余）：指事业单位使用以前年度积累的非财政拨款结余弥补当年收支差额的金额。 </w:t>
      </w:r>
    </w:p>
    <w:p>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pPr>
        <w:spacing w:line="600" w:lineRule="exact"/>
        <w:ind w:firstLine="640"/>
        <w:rPr>
          <w:rFonts w:eastAsia="仿宋_GB2312" w:cs="仿宋_GB2312"/>
          <w:sz w:val="32"/>
          <w:szCs w:val="32"/>
        </w:rPr>
      </w:pPr>
      <w:r>
        <w:rPr>
          <w:rFonts w:hint="eastAsia" w:eastAsia="仿宋_GB2312" w:cs="仿宋_GB2312"/>
          <w:sz w:val="32"/>
          <w:szCs w:val="32"/>
        </w:rPr>
        <w:t>3.结余分配：指事业单位按照会计制度规定缴纳的所得税、提取的专用结余以及转入非财政拨款结余的金额等。</w:t>
      </w:r>
    </w:p>
    <w:p>
      <w:pPr>
        <w:spacing w:line="600" w:lineRule="exact"/>
        <w:ind w:firstLine="640"/>
        <w:rPr>
          <w:rFonts w:eastAsia="仿宋_GB2312" w:cs="仿宋_GB2312"/>
          <w:sz w:val="32"/>
          <w:szCs w:val="32"/>
        </w:rPr>
      </w:pPr>
      <w:r>
        <w:rPr>
          <w:rFonts w:hint="eastAsia" w:eastAsia="仿宋_GB2312" w:cs="仿宋_GB2312"/>
          <w:sz w:val="32"/>
          <w:szCs w:val="32"/>
        </w:rPr>
        <w:t>4.年末结转和结余：指单位按有关规定结转到下年或以后年度继续使用的资金。</w:t>
      </w:r>
    </w:p>
    <w:p>
      <w:pPr>
        <w:spacing w:line="600" w:lineRule="exact"/>
        <w:ind w:firstLine="640"/>
        <w:rPr>
          <w:rFonts w:eastAsia="仿宋_GB2312" w:cs="仿宋_GB2312"/>
          <w:sz w:val="32"/>
          <w:szCs w:val="32"/>
        </w:rPr>
      </w:pPr>
      <w:r>
        <w:rPr>
          <w:rFonts w:hint="eastAsia" w:eastAsia="仿宋_GB2312" w:cs="仿宋_GB2312"/>
          <w:sz w:val="32"/>
          <w:szCs w:val="32"/>
        </w:rPr>
        <w:t>5.公共安全：2040101指武装警察部队、2040201指行政运行、2040202指一般行政管理事务、2040223指移民事务、2040299指其他公安支出、2049999指其他公共安全支出</w:t>
      </w:r>
    </w:p>
    <w:p>
      <w:pPr>
        <w:spacing w:line="600" w:lineRule="exact"/>
        <w:ind w:firstLine="640"/>
        <w:rPr>
          <w:rFonts w:eastAsia="仿宋_GB2312" w:cs="仿宋_GB2312"/>
          <w:sz w:val="32"/>
          <w:szCs w:val="32"/>
        </w:rPr>
      </w:pPr>
      <w:r>
        <w:rPr>
          <w:rFonts w:hint="eastAsia" w:eastAsia="仿宋_GB2312" w:cs="仿宋_GB2312"/>
          <w:sz w:val="32"/>
          <w:szCs w:val="32"/>
        </w:rPr>
        <w:t>6.社会保障和就业：2080505指机关事业单位基本养老保险缴费支出、</w:t>
      </w:r>
      <w:r>
        <w:rPr>
          <w:rFonts w:eastAsia="仿宋_GB2312" w:cs="仿宋_GB2312"/>
          <w:sz w:val="32"/>
          <w:szCs w:val="32"/>
        </w:rPr>
        <w:t>2080506</w:t>
      </w:r>
      <w:r>
        <w:rPr>
          <w:rFonts w:hint="eastAsia" w:eastAsia="仿宋_GB2312" w:cs="仿宋_GB2312"/>
          <w:sz w:val="32"/>
          <w:szCs w:val="32"/>
        </w:rPr>
        <w:t>指机关事业单位职业年金缴费支出</w:t>
      </w:r>
    </w:p>
    <w:p>
      <w:pPr>
        <w:spacing w:line="600" w:lineRule="exact"/>
        <w:ind w:firstLine="640"/>
        <w:rPr>
          <w:rFonts w:eastAsia="仿宋_GB2312" w:cs="仿宋_GB2312"/>
          <w:sz w:val="32"/>
          <w:szCs w:val="32"/>
        </w:rPr>
      </w:pPr>
      <w:r>
        <w:rPr>
          <w:rFonts w:hint="eastAsia" w:eastAsia="仿宋_GB2312" w:cs="仿宋_GB2312"/>
          <w:sz w:val="32"/>
          <w:szCs w:val="32"/>
        </w:rPr>
        <w:t>7.卫生健康：</w:t>
      </w:r>
      <w:r>
        <w:rPr>
          <w:rFonts w:eastAsia="仿宋_GB2312" w:cs="仿宋_GB2312"/>
          <w:sz w:val="32"/>
          <w:szCs w:val="32"/>
        </w:rPr>
        <w:t>2100409</w:t>
      </w:r>
      <w:r>
        <w:rPr>
          <w:rFonts w:hint="eastAsia" w:eastAsia="仿宋_GB2312" w:cs="仿宋_GB2312"/>
          <w:sz w:val="32"/>
          <w:szCs w:val="32"/>
        </w:rPr>
        <w:t>指重大公共卫生服务、</w:t>
      </w:r>
      <w:r>
        <w:rPr>
          <w:rFonts w:eastAsia="仿宋_GB2312" w:cs="仿宋_GB2312"/>
          <w:sz w:val="32"/>
          <w:szCs w:val="32"/>
        </w:rPr>
        <w:t>2101101</w:t>
      </w:r>
      <w:r>
        <w:rPr>
          <w:rFonts w:hint="eastAsia" w:eastAsia="仿宋_GB2312" w:cs="仿宋_GB2312"/>
          <w:sz w:val="32"/>
          <w:szCs w:val="32"/>
        </w:rPr>
        <w:t>指公务员医疗补助</w:t>
      </w:r>
    </w:p>
    <w:p>
      <w:pPr>
        <w:spacing w:line="600" w:lineRule="exact"/>
        <w:ind w:firstLine="640"/>
        <w:rPr>
          <w:rFonts w:eastAsia="仿宋_GB2312" w:cs="仿宋_GB2312"/>
          <w:sz w:val="32"/>
          <w:szCs w:val="32"/>
        </w:rPr>
      </w:pPr>
      <w:r>
        <w:rPr>
          <w:rFonts w:hint="eastAsia" w:eastAsia="仿宋_GB2312" w:cs="仿宋_GB2312"/>
          <w:sz w:val="32"/>
          <w:szCs w:val="32"/>
        </w:rPr>
        <w:t>8.住房保障：</w:t>
      </w:r>
      <w:r>
        <w:rPr>
          <w:rFonts w:eastAsia="仿宋_GB2312" w:cs="仿宋_GB2312"/>
          <w:sz w:val="32"/>
          <w:szCs w:val="32"/>
        </w:rPr>
        <w:t>2210201</w:t>
      </w:r>
      <w:r>
        <w:rPr>
          <w:rFonts w:hint="eastAsia" w:eastAsia="仿宋_GB2312" w:cs="仿宋_GB2312"/>
          <w:sz w:val="32"/>
          <w:szCs w:val="32"/>
        </w:rPr>
        <w:t>指住房公积金</w:t>
      </w:r>
    </w:p>
    <w:p>
      <w:pPr>
        <w:spacing w:line="600" w:lineRule="exact"/>
        <w:ind w:firstLine="640"/>
        <w:rPr>
          <w:rFonts w:eastAsia="仿宋_GB2312" w:cs="仿宋_GB2312"/>
          <w:sz w:val="32"/>
          <w:szCs w:val="32"/>
        </w:rPr>
      </w:pPr>
      <w:r>
        <w:rPr>
          <w:rFonts w:hint="eastAsia" w:eastAsia="仿宋_GB2312" w:cs="仿宋_GB2312"/>
          <w:b/>
          <w:bCs/>
          <w:sz w:val="32"/>
          <w:szCs w:val="32"/>
        </w:rPr>
        <w:t>（注：解释本部门决算报表中涉及的全部功能分类科目至项级，不涉及的科目请自行删除。请参照《2025年政府收支分类科目》增减内容）</w:t>
      </w:r>
    </w:p>
    <w:p>
      <w:pPr>
        <w:spacing w:line="600" w:lineRule="exact"/>
        <w:ind w:firstLine="640"/>
        <w:rPr>
          <w:rFonts w:eastAsia="仿宋_GB2312" w:cs="仿宋_GB2312"/>
          <w:sz w:val="32"/>
          <w:szCs w:val="32"/>
        </w:rPr>
      </w:pPr>
      <w:r>
        <w:rPr>
          <w:rFonts w:hint="eastAsia" w:eastAsia="仿宋_GB2312" w:cs="仿宋_GB2312"/>
          <w:sz w:val="32"/>
          <w:szCs w:val="32"/>
        </w:rPr>
        <w:t>9.基本支出：指为保障机构正常运转、完成日常工作任务而发生的人员支出和公用支出。</w:t>
      </w:r>
    </w:p>
    <w:p>
      <w:pPr>
        <w:spacing w:line="600" w:lineRule="exact"/>
        <w:ind w:firstLine="640"/>
        <w:rPr>
          <w:rFonts w:eastAsia="仿宋_GB2312" w:cs="仿宋_GB2312"/>
          <w:sz w:val="32"/>
          <w:szCs w:val="32"/>
        </w:rPr>
      </w:pPr>
      <w:r>
        <w:rPr>
          <w:rFonts w:hint="eastAsia" w:eastAsia="仿宋_GB2312" w:cs="仿宋_GB2312"/>
          <w:sz w:val="32"/>
          <w:szCs w:val="32"/>
        </w:rPr>
        <w:t xml:space="preserve">10.项目支出：指在基本支出之外为完成特定行政任务和事业发展目标所发生的支出。 </w:t>
      </w:r>
    </w:p>
    <w:p>
      <w:pPr>
        <w:spacing w:line="600" w:lineRule="exact"/>
        <w:ind w:firstLine="640"/>
        <w:rPr>
          <w:rFonts w:eastAsia="仿宋_GB2312" w:cs="仿宋_GB2312"/>
          <w:sz w:val="32"/>
          <w:szCs w:val="32"/>
        </w:rPr>
      </w:pPr>
      <w:r>
        <w:rPr>
          <w:rFonts w:hint="eastAsia" w:eastAsia="仿宋_GB2312" w:cs="仿宋_GB2312"/>
          <w:sz w:val="32"/>
          <w:szCs w:val="32"/>
        </w:rPr>
        <w:t>11.经营支出：指事业单位在专业业务活动及其辅助活动之外开展非独立核算经营活动发生的支出。</w:t>
      </w:r>
    </w:p>
    <w:p>
      <w:pPr>
        <w:spacing w:line="600" w:lineRule="exact"/>
        <w:ind w:firstLine="640"/>
        <w:rPr>
          <w:rFonts w:eastAsia="仿宋_GB2312" w:cs="仿宋_GB2312"/>
          <w:sz w:val="32"/>
          <w:szCs w:val="32"/>
        </w:rPr>
      </w:pPr>
      <w:r>
        <w:rPr>
          <w:rFonts w:hint="eastAsia" w:eastAsia="仿宋_GB2312" w:cs="仿宋_GB2312"/>
          <w:sz w:val="32"/>
          <w:szCs w:val="32"/>
        </w:rPr>
        <w:t>12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eastAsia="仿宋_GB2312" w:cs="仿宋_GB2312"/>
          <w:sz w:val="32"/>
          <w:szCs w:val="32"/>
        </w:rPr>
      </w:pPr>
      <w:r>
        <w:rPr>
          <w:rFonts w:hint="eastAsia" w:eastAsia="仿宋_GB2312" w:cs="仿宋_GB2312"/>
          <w:sz w:val="32"/>
          <w:szCs w:val="32"/>
        </w:rPr>
        <w:t>13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hint="eastAsia" w:eastAsia="仿宋_GB2312" w:cs="仿宋_GB2312"/>
          <w:b/>
          <w:bCs/>
          <w:sz w:val="32"/>
          <w:szCs w:val="32"/>
        </w:rPr>
      </w:pPr>
      <w:r>
        <w:rPr>
          <w:rFonts w:hint="eastAsia" w:eastAsia="仿宋_GB2312" w:cs="仿宋_GB2312"/>
          <w:b/>
          <w:bCs/>
          <w:sz w:val="32"/>
          <w:szCs w:val="32"/>
        </w:rPr>
        <w:t>（注：名词解释部分请根据各部门实际列支情况罗列，并根据本部门职责职能增减名词解释内容）</w:t>
      </w:r>
    </w:p>
    <w:p>
      <w:pPr>
        <w:pStyle w:val="2"/>
        <w:rPr>
          <w:rFonts w:hint="eastAsia" w:eastAsia="仿宋_GB2312" w:cs="仿宋_GB2312"/>
          <w:b/>
          <w:bCs/>
          <w:sz w:val="32"/>
          <w:szCs w:val="32"/>
        </w:rPr>
      </w:pPr>
    </w:p>
    <w:p>
      <w:pPr>
        <w:pStyle w:val="3"/>
        <w:rPr>
          <w:rFonts w:hint="eastAsia" w:eastAsia="仿宋_GB2312" w:cs="仿宋_GB2312"/>
          <w:b/>
          <w:bCs/>
          <w:sz w:val="32"/>
          <w:szCs w:val="32"/>
        </w:rPr>
      </w:pPr>
    </w:p>
    <w:p>
      <w:pPr>
        <w:rPr>
          <w:rFonts w:hint="eastAsia" w:eastAsia="仿宋_GB2312" w:cs="仿宋_GB2312"/>
          <w:b/>
          <w:bCs/>
          <w:sz w:val="32"/>
          <w:szCs w:val="32"/>
        </w:rPr>
      </w:pPr>
    </w:p>
    <w:p>
      <w:pPr>
        <w:pStyle w:val="2"/>
        <w:rPr>
          <w:rFonts w:hint="eastAsia" w:eastAsia="仿宋_GB2312" w:cs="仿宋_GB2312"/>
          <w:b/>
          <w:bCs/>
          <w:sz w:val="32"/>
          <w:szCs w:val="32"/>
        </w:rPr>
      </w:pPr>
    </w:p>
    <w:p>
      <w:pPr>
        <w:pStyle w:val="3"/>
        <w:rPr>
          <w:rFonts w:hint="eastAsia" w:eastAsia="仿宋_GB2312" w:cs="仿宋_GB2312"/>
          <w:b/>
          <w:bCs/>
          <w:sz w:val="32"/>
          <w:szCs w:val="32"/>
        </w:rPr>
      </w:pPr>
    </w:p>
    <w:p>
      <w:pPr>
        <w:rPr>
          <w:rFonts w:hint="eastAsia" w:eastAsia="仿宋_GB2312" w:cs="仿宋_GB2312"/>
          <w:b/>
          <w:bCs/>
          <w:sz w:val="32"/>
          <w:szCs w:val="32"/>
        </w:rPr>
      </w:pPr>
    </w:p>
    <w:p>
      <w:pPr>
        <w:pStyle w:val="2"/>
        <w:rPr>
          <w:rFonts w:hint="eastAsia" w:eastAsia="仿宋_GB2312" w:cs="仿宋_GB2312"/>
          <w:b/>
          <w:bCs/>
          <w:sz w:val="32"/>
          <w:szCs w:val="32"/>
        </w:rPr>
      </w:pPr>
    </w:p>
    <w:p>
      <w:pPr>
        <w:spacing w:line="572" w:lineRule="exact"/>
        <w:jc w:val="left"/>
        <w:outlineLvl w:val="0"/>
        <w:rPr>
          <w:rFonts w:hint="eastAsia" w:eastAsia="黑体" w:cs="方正小标宋简体"/>
          <w:sz w:val="44"/>
          <w:szCs w:val="44"/>
        </w:rPr>
      </w:pPr>
    </w:p>
    <w:p>
      <w:pPr>
        <w:spacing w:line="600" w:lineRule="exact"/>
        <w:jc w:val="center"/>
        <w:rPr>
          <w:rFonts w:hint="eastAsia" w:eastAsia="黑体"/>
          <w:sz w:val="44"/>
          <w:szCs w:val="44"/>
        </w:rPr>
      </w:pPr>
      <w:bookmarkStart w:id="51" w:name="_Toc15396614"/>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numPr>
          <w:ilvl w:val="0"/>
          <w:numId w:val="2"/>
        </w:numPr>
        <w:spacing w:line="600" w:lineRule="exact"/>
        <w:jc w:val="center"/>
        <w:rPr>
          <w:rFonts w:hint="eastAsia" w:eastAsia="黑体"/>
          <w:sz w:val="44"/>
          <w:szCs w:val="44"/>
        </w:rPr>
      </w:pPr>
      <w:r>
        <w:rPr>
          <w:rFonts w:hint="eastAsia" w:eastAsia="黑体"/>
          <w:sz w:val="44"/>
          <w:szCs w:val="44"/>
        </w:rPr>
        <w:t>附件</w:t>
      </w:r>
      <w:bookmarkEnd w:id="51"/>
    </w:p>
    <w:p>
      <w:pPr>
        <w:pStyle w:val="2"/>
        <w:numPr>
          <w:numId w:val="0"/>
        </w:numPr>
      </w:pPr>
    </w:p>
    <w:p>
      <w:pPr>
        <w:pStyle w:val="2"/>
        <w:rPr>
          <w:rFonts w:hint="eastAsia"/>
        </w:rPr>
      </w:pPr>
    </w:p>
    <w:p>
      <w:pPr>
        <w:spacing w:line="572" w:lineRule="exact"/>
        <w:jc w:val="left"/>
        <w:outlineLvl w:val="0"/>
        <w:rPr>
          <w:rFonts w:hint="eastAsia" w:eastAsia="黑体" w:cs="方正小标宋简体"/>
          <w:sz w:val="44"/>
          <w:szCs w:val="44"/>
          <w:lang w:val="en-US" w:eastAsia="zh-CN"/>
        </w:rPr>
      </w:pPr>
      <w:r>
        <w:rPr>
          <w:rFonts w:hint="eastAsia" w:eastAsia="黑体" w:cs="黑体"/>
          <w:sz w:val="32"/>
          <w:szCs w:val="32"/>
        </w:rPr>
        <w:t>附件1</w:t>
      </w:r>
      <w:r>
        <w:rPr>
          <w:rFonts w:hint="eastAsia" w:eastAsia="黑体" w:cs="黑体"/>
          <w:sz w:val="32"/>
          <w:szCs w:val="32"/>
          <w:lang w:val="en-US" w:eastAsia="zh-CN"/>
        </w:rPr>
        <w:t xml:space="preserve"> 见附件</w:t>
      </w:r>
    </w:p>
    <w:p>
      <w:pPr>
        <w:pStyle w:val="3"/>
      </w:pPr>
    </w:p>
    <w:p>
      <w:pPr>
        <w:spacing w:line="600" w:lineRule="exact"/>
        <w:rPr>
          <w:rFonts w:eastAsia="黑体" w:cs="黑体"/>
          <w:kern w:val="0"/>
          <w:sz w:val="32"/>
          <w:szCs w:val="32"/>
          <w:shd w:val="clear" w:color="auto" w:fill="FFFFFF"/>
          <w:lang w:val="zh-CN"/>
        </w:rPr>
      </w:pPr>
      <w:bookmarkStart w:id="52" w:name="_Toc15377226"/>
      <w:bookmarkStart w:id="53" w:name="_Toc15396618"/>
      <w:r>
        <w:rPr>
          <w:rFonts w:hint="eastAsia" w:eastAsia="仿宋_GB2312" w:cs="仿宋_GB2312"/>
          <w:kern w:val="0"/>
          <w:sz w:val="32"/>
          <w:szCs w:val="32"/>
        </w:rPr>
        <w:br w:type="page"/>
      </w:r>
    </w:p>
    <w:p>
      <w:pPr>
        <w:widowControl/>
        <w:jc w:val="center"/>
        <w:rPr>
          <w:rFonts w:eastAsia="仿宋"/>
        </w:rPr>
      </w:pPr>
      <w:r>
        <w:rPr>
          <w:rFonts w:hint="eastAsia" w:eastAsia="黑体"/>
          <w:sz w:val="44"/>
          <w:szCs w:val="44"/>
        </w:rPr>
        <w:t>第</w:t>
      </w:r>
      <w:r>
        <w:rPr>
          <w:rStyle w:val="29"/>
          <w:rFonts w:hint="eastAsia" w:eastAsia="黑体"/>
          <w:b w:val="0"/>
        </w:rPr>
        <w:t>五部分 附表</w:t>
      </w:r>
      <w:bookmarkEnd w:id="52"/>
      <w:bookmarkEnd w:id="53"/>
      <w:bookmarkStart w:id="54" w:name="_Toc15396619"/>
    </w:p>
    <w:p>
      <w:pPr>
        <w:pStyle w:val="14"/>
        <w:adjustRightInd w:val="0"/>
        <w:snapToGrid w:val="0"/>
        <w:spacing w:line="560" w:lineRule="exact"/>
        <w:jc w:val="left"/>
        <w:rPr>
          <w:rFonts w:eastAsia="仿宋_GB2312" w:cs="仿宋_GB2312"/>
          <w:sz w:val="32"/>
          <w:szCs w:val="32"/>
        </w:rPr>
      </w:pP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4"/>
    </w:p>
    <w:p>
      <w:pPr>
        <w:pStyle w:val="14"/>
        <w:adjustRightInd w:val="0"/>
        <w:snapToGrid w:val="0"/>
        <w:spacing w:line="560" w:lineRule="exact"/>
        <w:jc w:val="left"/>
        <w:rPr>
          <w:rFonts w:eastAsia="仿宋_GB2312" w:cs="仿宋_GB2312"/>
          <w:sz w:val="32"/>
          <w:szCs w:val="32"/>
        </w:rPr>
      </w:pPr>
      <w:bookmarkStart w:id="55" w:name="_Toc15396620"/>
      <w:r>
        <w:rPr>
          <w:rFonts w:hint="eastAsia" w:eastAsia="仿宋_GB2312" w:cs="仿宋_GB2312"/>
          <w:sz w:val="32"/>
          <w:szCs w:val="32"/>
        </w:rPr>
        <w:t>二、收入决算表</w:t>
      </w:r>
      <w:bookmarkEnd w:id="55"/>
    </w:p>
    <w:p>
      <w:pPr>
        <w:pStyle w:val="14"/>
        <w:adjustRightInd w:val="0"/>
        <w:snapToGrid w:val="0"/>
        <w:spacing w:line="560" w:lineRule="exact"/>
        <w:jc w:val="left"/>
        <w:rPr>
          <w:rFonts w:eastAsia="仿宋_GB2312" w:cs="仿宋_GB2312"/>
          <w:sz w:val="32"/>
          <w:szCs w:val="32"/>
        </w:rPr>
      </w:pPr>
      <w:bookmarkStart w:id="56" w:name="_Toc15396621"/>
      <w:r>
        <w:rPr>
          <w:rFonts w:hint="eastAsia" w:eastAsia="仿宋_GB2312" w:cs="仿宋_GB2312"/>
          <w:sz w:val="32"/>
          <w:szCs w:val="32"/>
        </w:rPr>
        <w:t>三、支出决算表</w:t>
      </w:r>
      <w:bookmarkEnd w:id="56"/>
    </w:p>
    <w:p>
      <w:pPr>
        <w:pStyle w:val="14"/>
        <w:adjustRightInd w:val="0"/>
        <w:snapToGrid w:val="0"/>
        <w:spacing w:line="560" w:lineRule="exact"/>
        <w:jc w:val="left"/>
        <w:rPr>
          <w:rFonts w:eastAsia="仿宋_GB2312" w:cs="仿宋_GB2312"/>
          <w:sz w:val="32"/>
          <w:szCs w:val="32"/>
        </w:rPr>
      </w:pPr>
      <w:bookmarkStart w:id="57" w:name="_Toc15396622"/>
      <w:r>
        <w:rPr>
          <w:rFonts w:hint="eastAsia" w:eastAsia="仿宋_GB2312" w:cs="仿宋_GB2312"/>
          <w:sz w:val="32"/>
          <w:szCs w:val="32"/>
        </w:rPr>
        <w:t>四、财政拨款收入支出决算总表</w:t>
      </w:r>
      <w:bookmarkEnd w:id="57"/>
    </w:p>
    <w:p>
      <w:pPr>
        <w:pStyle w:val="14"/>
        <w:adjustRightInd w:val="0"/>
        <w:snapToGrid w:val="0"/>
        <w:spacing w:line="560" w:lineRule="exact"/>
        <w:jc w:val="left"/>
        <w:rPr>
          <w:rFonts w:eastAsia="仿宋_GB2312" w:cs="仿宋_GB2312"/>
          <w:sz w:val="32"/>
          <w:szCs w:val="32"/>
        </w:rPr>
      </w:pPr>
      <w:bookmarkStart w:id="58" w:name="_Toc15396623"/>
      <w:r>
        <w:rPr>
          <w:rFonts w:hint="eastAsia" w:eastAsia="仿宋_GB2312" w:cs="仿宋_GB2312"/>
          <w:sz w:val="32"/>
          <w:szCs w:val="32"/>
        </w:rPr>
        <w:t>五、财政拨款支出决算明细表</w:t>
      </w:r>
      <w:bookmarkEnd w:id="58"/>
      <w:bookmarkStart w:id="59" w:name="_Toc15396624"/>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9"/>
    </w:p>
    <w:p>
      <w:pPr>
        <w:pStyle w:val="14"/>
        <w:adjustRightInd w:val="0"/>
        <w:snapToGrid w:val="0"/>
        <w:spacing w:line="560" w:lineRule="exact"/>
        <w:jc w:val="left"/>
        <w:rPr>
          <w:rFonts w:eastAsia="仿宋_GB2312" w:cs="仿宋_GB2312"/>
          <w:sz w:val="32"/>
          <w:szCs w:val="32"/>
        </w:rPr>
      </w:pPr>
      <w:bookmarkStart w:id="60" w:name="_Toc15396625"/>
      <w:r>
        <w:rPr>
          <w:rFonts w:hint="eastAsia" w:eastAsia="仿宋_GB2312" w:cs="仿宋_GB2312"/>
          <w:sz w:val="32"/>
          <w:szCs w:val="32"/>
        </w:rPr>
        <w:t>七、一般公共预算财政拨款支出决算明细表</w:t>
      </w:r>
      <w:bookmarkEnd w:id="60"/>
    </w:p>
    <w:p>
      <w:pPr>
        <w:pStyle w:val="14"/>
        <w:adjustRightInd w:val="0"/>
        <w:snapToGrid w:val="0"/>
        <w:spacing w:line="560" w:lineRule="exact"/>
        <w:jc w:val="left"/>
        <w:rPr>
          <w:rFonts w:eastAsia="仿宋_GB2312" w:cs="仿宋_GB2312"/>
          <w:sz w:val="32"/>
          <w:szCs w:val="32"/>
        </w:rPr>
      </w:pPr>
      <w:bookmarkStart w:id="61" w:name="_Toc15396626"/>
      <w:r>
        <w:rPr>
          <w:rFonts w:hint="eastAsia" w:eastAsia="仿宋_GB2312" w:cs="仿宋_GB2312"/>
          <w:sz w:val="32"/>
          <w:szCs w:val="32"/>
        </w:rPr>
        <w:t>八、一般公共预算财政拨款基本支出决算表</w:t>
      </w:r>
      <w:bookmarkEnd w:id="61"/>
    </w:p>
    <w:p>
      <w:pPr>
        <w:pStyle w:val="14"/>
        <w:adjustRightInd w:val="0"/>
        <w:snapToGrid w:val="0"/>
        <w:spacing w:line="560" w:lineRule="exact"/>
        <w:jc w:val="left"/>
        <w:rPr>
          <w:rFonts w:eastAsia="仿宋_GB2312" w:cs="仿宋_GB2312"/>
          <w:sz w:val="32"/>
          <w:szCs w:val="32"/>
        </w:rPr>
      </w:pPr>
      <w:bookmarkStart w:id="62" w:name="_Toc15396627"/>
      <w:r>
        <w:rPr>
          <w:rFonts w:hint="eastAsia" w:eastAsia="仿宋_GB2312" w:cs="仿宋_GB2312"/>
          <w:sz w:val="32"/>
          <w:szCs w:val="32"/>
        </w:rPr>
        <w:t>九、一般公共预算财政拨款项目支出决算表</w:t>
      </w:r>
      <w:bookmarkEnd w:id="62"/>
    </w:p>
    <w:p>
      <w:pPr>
        <w:pStyle w:val="14"/>
        <w:adjustRightInd w:val="0"/>
        <w:snapToGrid w:val="0"/>
        <w:spacing w:line="560" w:lineRule="exact"/>
        <w:jc w:val="left"/>
        <w:rPr>
          <w:rFonts w:eastAsia="仿宋_GB2312" w:cs="仿宋_GB2312"/>
          <w:sz w:val="32"/>
          <w:szCs w:val="32"/>
        </w:rPr>
      </w:pPr>
      <w:bookmarkStart w:id="63" w:name="_Toc15396628"/>
      <w:r>
        <w:rPr>
          <w:rFonts w:hint="eastAsia" w:eastAsia="仿宋_GB2312" w:cs="仿宋_GB2312"/>
          <w:sz w:val="32"/>
          <w:szCs w:val="32"/>
        </w:rPr>
        <w:t>十、</w:t>
      </w:r>
      <w:bookmarkEnd w:id="63"/>
      <w:r>
        <w:rPr>
          <w:rFonts w:hint="eastAsia" w:eastAsia="仿宋_GB2312" w:cs="仿宋_GB2312"/>
          <w:sz w:val="32"/>
          <w:szCs w:val="32"/>
        </w:rPr>
        <w:t>政府性基金预算财政拨款收入支出决算表</w:t>
      </w:r>
    </w:p>
    <w:p>
      <w:pPr>
        <w:pStyle w:val="14"/>
        <w:adjustRightInd w:val="0"/>
        <w:snapToGrid w:val="0"/>
        <w:spacing w:line="560" w:lineRule="exact"/>
        <w:jc w:val="left"/>
        <w:rPr>
          <w:rFonts w:eastAsia="仿宋_GB2312" w:cs="仿宋_GB2312"/>
          <w:sz w:val="32"/>
          <w:szCs w:val="32"/>
        </w:rPr>
      </w:pPr>
      <w:bookmarkStart w:id="64" w:name="_Toc15396629"/>
      <w:r>
        <w:rPr>
          <w:rFonts w:hint="eastAsia" w:eastAsia="仿宋_GB2312" w:cs="仿宋_GB2312"/>
          <w:sz w:val="32"/>
          <w:szCs w:val="32"/>
        </w:rPr>
        <w:t>十一、</w:t>
      </w:r>
      <w:bookmarkEnd w:id="64"/>
      <w:r>
        <w:rPr>
          <w:rFonts w:hint="eastAsia" w:eastAsia="仿宋_GB2312" w:cs="仿宋_GB2312"/>
          <w:sz w:val="32"/>
          <w:szCs w:val="32"/>
        </w:rPr>
        <w:t>国有资本经营预算财政拨款收入支出决算表</w:t>
      </w:r>
    </w:p>
    <w:p>
      <w:pPr>
        <w:pStyle w:val="14"/>
        <w:adjustRightInd w:val="0"/>
        <w:snapToGrid w:val="0"/>
        <w:spacing w:line="560" w:lineRule="exact"/>
        <w:jc w:val="left"/>
        <w:rPr>
          <w:rFonts w:eastAsia="仿宋_GB2312" w:cs="仿宋_GB2312"/>
          <w:sz w:val="32"/>
          <w:szCs w:val="32"/>
        </w:rPr>
      </w:pPr>
      <w:bookmarkStart w:id="65" w:name="_Toc15396630"/>
      <w:r>
        <w:rPr>
          <w:rFonts w:hint="eastAsia" w:eastAsia="仿宋_GB2312" w:cs="仿宋_GB2312"/>
          <w:sz w:val="32"/>
          <w:szCs w:val="32"/>
        </w:rPr>
        <w:t>十二、</w:t>
      </w:r>
      <w:bookmarkEnd w:id="65"/>
      <w:r>
        <w:rPr>
          <w:rFonts w:hint="eastAsia" w:eastAsia="仿宋_GB2312" w:cs="仿宋_GB2312"/>
          <w:sz w:val="32"/>
          <w:szCs w:val="32"/>
        </w:rPr>
        <w:t>国有资本经营预算财政拨款支出决算表</w:t>
      </w:r>
    </w:p>
    <w:p>
      <w:pPr>
        <w:pStyle w:val="14"/>
        <w:adjustRightInd w:val="0"/>
        <w:snapToGrid w:val="0"/>
        <w:spacing w:line="560" w:lineRule="exact"/>
        <w:jc w:val="left"/>
        <w:rPr>
          <w:rFonts w:eastAsia="仿宋_GB2312" w:cs="仿宋_GB2312"/>
          <w:sz w:val="32"/>
          <w:szCs w:val="32"/>
        </w:rPr>
      </w:pPr>
      <w:bookmarkStart w:id="66" w:name="_Toc15396631"/>
      <w:r>
        <w:rPr>
          <w:rFonts w:hint="eastAsia" w:eastAsia="仿宋_GB2312" w:cs="仿宋_GB2312"/>
          <w:sz w:val="32"/>
          <w:szCs w:val="32"/>
        </w:rPr>
        <w:t>十三、</w:t>
      </w:r>
      <w:bookmarkEnd w:id="66"/>
      <w:r>
        <w:rPr>
          <w:rFonts w:hint="eastAsia" w:eastAsia="仿宋_GB2312" w:cs="仿宋_GB2312"/>
          <w:sz w:val="32"/>
          <w:szCs w:val="32"/>
        </w:rPr>
        <w:t>财政拨款“三公”经费支出决算表</w:t>
      </w:r>
    </w:p>
    <w:p/>
    <w:sectPr>
      <w:footerReference r:id="rId10" w:type="first"/>
      <w:footerReference r:id="rId9"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
    <w:altName w:val="Segoe Print"/>
    <w:panose1 w:val="00000000000000000000"/>
    <w:charset w:val="00"/>
    <w:family w:val="roman"/>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901874"/>
      <w:docPartObj>
        <w:docPartGallery w:val="autotext"/>
      </w:docPartObj>
    </w:sdtPr>
    <w:sdtContent>
      <w:p>
        <w:pPr>
          <w:pStyle w:val="11"/>
          <w:jc w:val="center"/>
        </w:pPr>
        <w:r>
          <w:fldChar w:fldCharType="begin"/>
        </w:r>
        <w:r>
          <w:instrText xml:space="preserve"> PAGE   \* MERGEFORMAT </w:instrText>
        </w:r>
        <w:r>
          <w:fldChar w:fldCharType="separate"/>
        </w:r>
        <w:r>
          <w:rPr>
            <w:lang w:val="zh-CN"/>
          </w:rPr>
          <w:t>5</w:t>
        </w:r>
        <w:r>
          <w:rPr>
            <w:lang w:val="zh-CN"/>
          </w:rPr>
          <w:fldChar w:fldCharType="end"/>
        </w:r>
      </w:p>
    </w:sdtContent>
  </w:sdt>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0.5pt" joinstyle="miter"/>
          <v:imagedata o:title=""/>
          <o:lock v:ext="edit"/>
          <v:textbox inset="0mm,0mm,0mm,0mm" style="mso-fit-shape-to-text:t;">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4FE8DE3"/>
    <w:multiLevelType w:val="singleLevel"/>
    <w:tmpl w:val="C4FE8DE3"/>
    <w:lvl w:ilvl="0" w:tentative="0">
      <w:start w:val="4"/>
      <w:numFmt w:val="chineseCounting"/>
      <w:suff w:val="space"/>
      <w:lvlText w:val="第%1部分"/>
      <w:lvlJc w:val="left"/>
      <w:rPr>
        <w:rFonts w:hint="eastAsia"/>
      </w:rPr>
    </w:lvl>
  </w:abstractNum>
  <w:abstractNum w:abstractNumId="1">
    <w:nsid w:val="7AB70F98"/>
    <w:multiLevelType w:val="multilevel"/>
    <w:tmpl w:val="7AB70F98"/>
    <w:lvl w:ilvl="0" w:tentative="0">
      <w:start w:val="1"/>
      <w:numFmt w:val="japaneseCounting"/>
      <w:lvlText w:val="%1、"/>
      <w:lvlJc w:val="left"/>
      <w:pPr>
        <w:ind w:left="660" w:hanging="6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F1361C"/>
    <w:rsid w:val="000222C6"/>
    <w:rsid w:val="0002549F"/>
    <w:rsid w:val="000468DB"/>
    <w:rsid w:val="0006487A"/>
    <w:rsid w:val="00065F8F"/>
    <w:rsid w:val="00070A43"/>
    <w:rsid w:val="000738FC"/>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3E37"/>
    <w:rsid w:val="00144D6A"/>
    <w:rsid w:val="0014729F"/>
    <w:rsid w:val="00157BAB"/>
    <w:rsid w:val="001654D1"/>
    <w:rsid w:val="00174518"/>
    <w:rsid w:val="0018106D"/>
    <w:rsid w:val="001877A7"/>
    <w:rsid w:val="00191536"/>
    <w:rsid w:val="00196687"/>
    <w:rsid w:val="001A5E51"/>
    <w:rsid w:val="001C0962"/>
    <w:rsid w:val="001D7531"/>
    <w:rsid w:val="001E737D"/>
    <w:rsid w:val="001F0592"/>
    <w:rsid w:val="001F7506"/>
    <w:rsid w:val="002006CD"/>
    <w:rsid w:val="00202B36"/>
    <w:rsid w:val="00204B7A"/>
    <w:rsid w:val="00204CDE"/>
    <w:rsid w:val="00206222"/>
    <w:rsid w:val="0021101A"/>
    <w:rsid w:val="00220536"/>
    <w:rsid w:val="00235629"/>
    <w:rsid w:val="00260C38"/>
    <w:rsid w:val="002616C0"/>
    <w:rsid w:val="00264A33"/>
    <w:rsid w:val="00265372"/>
    <w:rsid w:val="002662AA"/>
    <w:rsid w:val="00280496"/>
    <w:rsid w:val="00294DC9"/>
    <w:rsid w:val="00295495"/>
    <w:rsid w:val="002A31DE"/>
    <w:rsid w:val="002B2613"/>
    <w:rsid w:val="002C2FE9"/>
    <w:rsid w:val="002D61AF"/>
    <w:rsid w:val="002D6D05"/>
    <w:rsid w:val="002F1818"/>
    <w:rsid w:val="002F567B"/>
    <w:rsid w:val="003216A9"/>
    <w:rsid w:val="00334967"/>
    <w:rsid w:val="00335A74"/>
    <w:rsid w:val="00336FFC"/>
    <w:rsid w:val="0036561B"/>
    <w:rsid w:val="0037013F"/>
    <w:rsid w:val="00380C92"/>
    <w:rsid w:val="00396657"/>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0615"/>
    <w:rsid w:val="00434489"/>
    <w:rsid w:val="00437085"/>
    <w:rsid w:val="00443880"/>
    <w:rsid w:val="00444C22"/>
    <w:rsid w:val="004464F4"/>
    <w:rsid w:val="00455ECE"/>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5724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09A6"/>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56034"/>
    <w:rsid w:val="00756135"/>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06E7"/>
    <w:rsid w:val="00871F71"/>
    <w:rsid w:val="00872EDF"/>
    <w:rsid w:val="00872FD8"/>
    <w:rsid w:val="00876A34"/>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3753"/>
    <w:rsid w:val="00946945"/>
    <w:rsid w:val="00951248"/>
    <w:rsid w:val="0095152F"/>
    <w:rsid w:val="00954C49"/>
    <w:rsid w:val="00955E37"/>
    <w:rsid w:val="0097099F"/>
    <w:rsid w:val="00971997"/>
    <w:rsid w:val="00971FFC"/>
    <w:rsid w:val="0097260D"/>
    <w:rsid w:val="0098660A"/>
    <w:rsid w:val="009931C3"/>
    <w:rsid w:val="009B2C43"/>
    <w:rsid w:val="009B4EAE"/>
    <w:rsid w:val="009B7573"/>
    <w:rsid w:val="009C22F4"/>
    <w:rsid w:val="009C2A4B"/>
    <w:rsid w:val="009C2E98"/>
    <w:rsid w:val="009D3447"/>
    <w:rsid w:val="009D4711"/>
    <w:rsid w:val="009F0E65"/>
    <w:rsid w:val="009F1185"/>
    <w:rsid w:val="009F18CD"/>
    <w:rsid w:val="009F2A13"/>
    <w:rsid w:val="009F7527"/>
    <w:rsid w:val="00A04EB0"/>
    <w:rsid w:val="00A13CC1"/>
    <w:rsid w:val="00A16847"/>
    <w:rsid w:val="00A237D8"/>
    <w:rsid w:val="00A23D27"/>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B69DA"/>
    <w:rsid w:val="00AC3C6A"/>
    <w:rsid w:val="00AD5620"/>
    <w:rsid w:val="00AD656B"/>
    <w:rsid w:val="00AD7C1B"/>
    <w:rsid w:val="00AE16BA"/>
    <w:rsid w:val="00AE1EBE"/>
    <w:rsid w:val="00B03C9D"/>
    <w:rsid w:val="00B060AE"/>
    <w:rsid w:val="00B10517"/>
    <w:rsid w:val="00B131EA"/>
    <w:rsid w:val="00B14E76"/>
    <w:rsid w:val="00B15C86"/>
    <w:rsid w:val="00B161B8"/>
    <w:rsid w:val="00B2048C"/>
    <w:rsid w:val="00B242F1"/>
    <w:rsid w:val="00B310B9"/>
    <w:rsid w:val="00B35F3F"/>
    <w:rsid w:val="00B36CBB"/>
    <w:rsid w:val="00B425E0"/>
    <w:rsid w:val="00B440AA"/>
    <w:rsid w:val="00B44B70"/>
    <w:rsid w:val="00B53C56"/>
    <w:rsid w:val="00B57DAF"/>
    <w:rsid w:val="00B77EA6"/>
    <w:rsid w:val="00B81598"/>
    <w:rsid w:val="00B83033"/>
    <w:rsid w:val="00B841F1"/>
    <w:rsid w:val="00B944D6"/>
    <w:rsid w:val="00BB4DF0"/>
    <w:rsid w:val="00BC289F"/>
    <w:rsid w:val="00BC2D50"/>
    <w:rsid w:val="00BC5361"/>
    <w:rsid w:val="00BC5460"/>
    <w:rsid w:val="00BC6B50"/>
    <w:rsid w:val="00BD0E25"/>
    <w:rsid w:val="00BE316C"/>
    <w:rsid w:val="00BF5BD6"/>
    <w:rsid w:val="00C03E31"/>
    <w:rsid w:val="00C33E72"/>
    <w:rsid w:val="00C354B2"/>
    <w:rsid w:val="00C35554"/>
    <w:rsid w:val="00C42709"/>
    <w:rsid w:val="00C533CC"/>
    <w:rsid w:val="00C5751C"/>
    <w:rsid w:val="00C61BFC"/>
    <w:rsid w:val="00C62B85"/>
    <w:rsid w:val="00C65438"/>
    <w:rsid w:val="00C84E3F"/>
    <w:rsid w:val="00C87FD8"/>
    <w:rsid w:val="00C91381"/>
    <w:rsid w:val="00C91CBB"/>
    <w:rsid w:val="00CB4E70"/>
    <w:rsid w:val="00CC09B6"/>
    <w:rsid w:val="00CC666F"/>
    <w:rsid w:val="00CD1E3F"/>
    <w:rsid w:val="00CE44F6"/>
    <w:rsid w:val="00CE49DA"/>
    <w:rsid w:val="00CE7B61"/>
    <w:rsid w:val="00D00095"/>
    <w:rsid w:val="00D114F0"/>
    <w:rsid w:val="00D20620"/>
    <w:rsid w:val="00D21F0B"/>
    <w:rsid w:val="00D254F7"/>
    <w:rsid w:val="00D26091"/>
    <w:rsid w:val="00D2685C"/>
    <w:rsid w:val="00D34E7C"/>
    <w:rsid w:val="00D35489"/>
    <w:rsid w:val="00D36AFE"/>
    <w:rsid w:val="00D51276"/>
    <w:rsid w:val="00D7035F"/>
    <w:rsid w:val="00D72E41"/>
    <w:rsid w:val="00D87AD0"/>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72F6E"/>
    <w:rsid w:val="00E82267"/>
    <w:rsid w:val="00E8422A"/>
    <w:rsid w:val="00E853CE"/>
    <w:rsid w:val="00E867B6"/>
    <w:rsid w:val="00EA010F"/>
    <w:rsid w:val="00EA0928"/>
    <w:rsid w:val="00ED1B63"/>
    <w:rsid w:val="00ED3C1F"/>
    <w:rsid w:val="00ED4085"/>
    <w:rsid w:val="00ED420E"/>
    <w:rsid w:val="00ED6FBE"/>
    <w:rsid w:val="00EE2F57"/>
    <w:rsid w:val="00EF4C34"/>
    <w:rsid w:val="00EF77C6"/>
    <w:rsid w:val="00F02908"/>
    <w:rsid w:val="00F05438"/>
    <w:rsid w:val="00F1361C"/>
    <w:rsid w:val="00F156F0"/>
    <w:rsid w:val="00F160C7"/>
    <w:rsid w:val="00F2408F"/>
    <w:rsid w:val="00F240E9"/>
    <w:rsid w:val="00F330DA"/>
    <w:rsid w:val="00F36D8F"/>
    <w:rsid w:val="00F417B1"/>
    <w:rsid w:val="00F43949"/>
    <w:rsid w:val="00F45853"/>
    <w:rsid w:val="00F602DF"/>
    <w:rsid w:val="00F73659"/>
    <w:rsid w:val="00F754A1"/>
    <w:rsid w:val="00F81FD9"/>
    <w:rsid w:val="00F841AA"/>
    <w:rsid w:val="00F84A94"/>
    <w:rsid w:val="00F87E96"/>
    <w:rsid w:val="00FA23E8"/>
    <w:rsid w:val="00FD3CC1"/>
    <w:rsid w:val="00FF1E02"/>
    <w:rsid w:val="00FF30B4"/>
    <w:rsid w:val="015975B8"/>
    <w:rsid w:val="01A23516"/>
    <w:rsid w:val="02317B1B"/>
    <w:rsid w:val="02FEBE30"/>
    <w:rsid w:val="044F066F"/>
    <w:rsid w:val="061E35DE"/>
    <w:rsid w:val="066E0107"/>
    <w:rsid w:val="07996F6E"/>
    <w:rsid w:val="07DFD8BA"/>
    <w:rsid w:val="08DB07E4"/>
    <w:rsid w:val="09867E8F"/>
    <w:rsid w:val="09C42394"/>
    <w:rsid w:val="0A191A5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980AED"/>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76E6978"/>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AE13D0"/>
    <w:rsid w:val="35BA6CAF"/>
    <w:rsid w:val="35D37231"/>
    <w:rsid w:val="364D14C1"/>
    <w:rsid w:val="36AA5135"/>
    <w:rsid w:val="36BE0DA7"/>
    <w:rsid w:val="376B6AA6"/>
    <w:rsid w:val="376D39B2"/>
    <w:rsid w:val="37E16F03"/>
    <w:rsid w:val="37F53A3B"/>
    <w:rsid w:val="389B6C89"/>
    <w:rsid w:val="38D469F0"/>
    <w:rsid w:val="39627CCD"/>
    <w:rsid w:val="397BAF1F"/>
    <w:rsid w:val="3AB79AF3"/>
    <w:rsid w:val="3B3B3AF5"/>
    <w:rsid w:val="3B7EF35A"/>
    <w:rsid w:val="3B9FDB6C"/>
    <w:rsid w:val="3BF5BC2F"/>
    <w:rsid w:val="3CEBA265"/>
    <w:rsid w:val="3D98207C"/>
    <w:rsid w:val="3D9B0D99"/>
    <w:rsid w:val="3DEE7CF3"/>
    <w:rsid w:val="3DF02244"/>
    <w:rsid w:val="3E78745D"/>
    <w:rsid w:val="3FF4CAE0"/>
    <w:rsid w:val="3FF7B227"/>
    <w:rsid w:val="40E54C45"/>
    <w:rsid w:val="40F64820"/>
    <w:rsid w:val="41313393"/>
    <w:rsid w:val="43A407DF"/>
    <w:rsid w:val="44515BEA"/>
    <w:rsid w:val="44E268DA"/>
    <w:rsid w:val="453F7E5B"/>
    <w:rsid w:val="486A6C7A"/>
    <w:rsid w:val="49176D9B"/>
    <w:rsid w:val="494006BD"/>
    <w:rsid w:val="497332A9"/>
    <w:rsid w:val="4A627F82"/>
    <w:rsid w:val="4B0E749A"/>
    <w:rsid w:val="4B4F25DA"/>
    <w:rsid w:val="4BA4768C"/>
    <w:rsid w:val="4BDA0CFB"/>
    <w:rsid w:val="4BE068DB"/>
    <w:rsid w:val="4CDD1CB8"/>
    <w:rsid w:val="4D3C0CCC"/>
    <w:rsid w:val="4D577224"/>
    <w:rsid w:val="4DBF1CEB"/>
    <w:rsid w:val="4EAB630A"/>
    <w:rsid w:val="4ECE2238"/>
    <w:rsid w:val="4ED33751"/>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218B1"/>
    <w:rsid w:val="5FCD4E2C"/>
    <w:rsid w:val="5FD15F49"/>
    <w:rsid w:val="5FEF394A"/>
    <w:rsid w:val="5FF67715"/>
    <w:rsid w:val="62BF3928"/>
    <w:rsid w:val="647F5392"/>
    <w:rsid w:val="65512BDB"/>
    <w:rsid w:val="664B1D71"/>
    <w:rsid w:val="66AA64C6"/>
    <w:rsid w:val="67AA3209"/>
    <w:rsid w:val="681C4F0D"/>
    <w:rsid w:val="69046D0F"/>
    <w:rsid w:val="698D0931"/>
    <w:rsid w:val="6A993CED"/>
    <w:rsid w:val="6B053271"/>
    <w:rsid w:val="6B1D566B"/>
    <w:rsid w:val="6BCE6674"/>
    <w:rsid w:val="6C3B5E6B"/>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EC3EE6"/>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widowControl/>
      <w:spacing w:before="100" w:beforeAutospacing="1" w:after="100" w:afterAutospacing="1"/>
      <w:jc w:val="left"/>
    </w:pPr>
    <w:rPr>
      <w:rFonts w:ascii="宋体" w:cs="宋体"/>
      <w:kern w:val="0"/>
      <w:sz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7.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c:v>
                </c:pt>
              </c:strCache>
            </c:strRef>
          </c:tx>
          <c:invertIfNegative val="0"/>
          <c:dLbls>
            <c:delete val="1"/>
          </c:dLbls>
          <c:cat>
            <c:numRef>
              <c:f>Sheet1!$A$2:$A$3</c:f>
              <c:numCache>
                <c:formatCode>General</c:formatCode>
                <c:ptCount val="2"/>
                <c:pt idx="0">
                  <c:v>2024</c:v>
                </c:pt>
                <c:pt idx="1">
                  <c:v>2025</c:v>
                </c:pt>
              </c:numCache>
            </c:numRef>
          </c:cat>
          <c:val>
            <c:numRef>
              <c:f>Sheet1!$B$2:$B$3</c:f>
              <c:numCache>
                <c:formatCode>General</c:formatCode>
                <c:ptCount val="2"/>
                <c:pt idx="0">
                  <c:v>11572.34</c:v>
                </c:pt>
                <c:pt idx="1">
                  <c:v>13764.72</c:v>
                </c:pt>
              </c:numCache>
            </c:numRef>
          </c:val>
        </c:ser>
        <c:ser>
          <c:idx val="1"/>
          <c:order val="1"/>
          <c:tx>
            <c:strRef>
              <c:f>Sheet1!$C$1</c:f>
              <c:strCache>
                <c:ptCount val="1"/>
                <c:pt idx="0">
                  <c:v>支出</c:v>
                </c:pt>
              </c:strCache>
            </c:strRef>
          </c:tx>
          <c:invertIfNegative val="0"/>
          <c:dLbls>
            <c:delete val="1"/>
          </c:dLbls>
          <c:cat>
            <c:numRef>
              <c:f>Sheet1!$A$2:$A$3</c:f>
              <c:numCache>
                <c:formatCode>General</c:formatCode>
                <c:ptCount val="2"/>
                <c:pt idx="0">
                  <c:v>2024</c:v>
                </c:pt>
                <c:pt idx="1">
                  <c:v>2025</c:v>
                </c:pt>
              </c:numCache>
            </c:numRef>
          </c:cat>
          <c:val>
            <c:numRef>
              <c:f>Sheet1!$C$2:$C$3</c:f>
              <c:numCache>
                <c:formatCode>General</c:formatCode>
                <c:ptCount val="2"/>
                <c:pt idx="0">
                  <c:v>11572.34</c:v>
                </c:pt>
                <c:pt idx="1">
                  <c:v>13764.72</c:v>
                </c:pt>
              </c:numCache>
            </c:numRef>
          </c:val>
        </c:ser>
        <c:dLbls>
          <c:showLegendKey val="0"/>
          <c:showVal val="0"/>
          <c:showCatName val="0"/>
          <c:showSerName val="0"/>
          <c:showPercent val="0"/>
          <c:showBubbleSize val="0"/>
        </c:dLbls>
        <c:gapWidth val="150"/>
        <c:axId val="81299328"/>
        <c:axId val="81300864"/>
      </c:barChart>
      <c:catAx>
        <c:axId val="81299328"/>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81300864"/>
        <c:crosses val="autoZero"/>
        <c:auto val="1"/>
        <c:lblAlgn val="ctr"/>
        <c:lblOffset val="100"/>
        <c:noMultiLvlLbl val="0"/>
      </c:catAx>
      <c:valAx>
        <c:axId val="8130086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81299328"/>
        <c:crosses val="autoZero"/>
        <c:crossBetween val="between"/>
      </c:valAx>
      <c:spPr>
        <a:solidFill>
          <a:schemeClr val="bg1"/>
        </a:solid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本年收入</c:v>
                </c:pt>
              </c:strCache>
            </c:strRef>
          </c:tx>
          <c:explosion val="25"/>
          <c:dPt>
            <c:idx val="0"/>
            <c:bubble3D val="0"/>
          </c:dPt>
          <c:dPt>
            <c:idx val="1"/>
            <c:bubble3D val="0"/>
          </c:dPt>
          <c:dPt>
            <c:idx val="2"/>
            <c:bubble3D val="0"/>
          </c:dPt>
          <c:dPt>
            <c:idx val="3"/>
            <c:bubble3D val="0"/>
          </c:dPt>
          <c:dPt>
            <c:idx val="4"/>
            <c:bubble3D val="0"/>
          </c:dPt>
          <c:dPt>
            <c:idx val="5"/>
            <c:bubble3D val="0"/>
          </c:dPt>
          <c:dLbls>
            <c:delete val="1"/>
          </c:dLbls>
          <c:cat>
            <c:strRef>
              <c:f>Sheet1!$A$2:$A$7</c:f>
              <c:strCache>
                <c:ptCount val="6"/>
                <c:pt idx="0">
                  <c:v>一般公共预算财政拨款收入</c:v>
                </c:pt>
                <c:pt idx="1">
                  <c:v>政府性基金</c:v>
                </c:pt>
                <c:pt idx="2">
                  <c:v>国有资本经营预算</c:v>
                </c:pt>
                <c:pt idx="3">
                  <c:v>事业收入</c:v>
                </c:pt>
                <c:pt idx="4">
                  <c:v>附属单位上缴</c:v>
                </c:pt>
                <c:pt idx="5">
                  <c:v>其他收入</c:v>
                </c:pt>
              </c:strCache>
            </c:strRef>
          </c:cat>
          <c:val>
            <c:numRef>
              <c:f>Sheet1!$B$2:$B$7</c:f>
              <c:numCache>
                <c:formatCode>General</c:formatCode>
                <c:ptCount val="6"/>
                <c:pt idx="0">
                  <c:v>10332.68</c:v>
                </c:pt>
                <c:pt idx="1">
                  <c:v>0</c:v>
                </c:pt>
                <c:pt idx="2">
                  <c:v>0</c:v>
                </c:pt>
                <c:pt idx="3">
                  <c:v>0</c:v>
                </c:pt>
                <c:pt idx="4">
                  <c:v>0</c:v>
                </c:pt>
                <c:pt idx="5">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本年支出</c:v>
                </c:pt>
              </c:strCache>
            </c:strRef>
          </c:tx>
          <c:explosion val="0"/>
          <c:dPt>
            <c:idx val="0"/>
            <c:bubble3D val="0"/>
          </c:dPt>
          <c:dPt>
            <c:idx val="1"/>
            <c:bubble3D val="0"/>
          </c:dPt>
          <c:dPt>
            <c:idx val="2"/>
            <c:bubble3D val="0"/>
          </c:dPt>
          <c:dPt>
            <c:idx val="3"/>
            <c:bubble3D val="0"/>
          </c:dPt>
          <c:dPt>
            <c:idx val="4"/>
            <c:bubble3D val="0"/>
          </c:dPt>
          <c:dLbls>
            <c:delete val="1"/>
          </c:dLbls>
          <c:cat>
            <c:strRef>
              <c:f>Sheet1!$A$2:$A$6</c:f>
              <c:strCache>
                <c:ptCount val="5"/>
                <c:pt idx="0">
                  <c:v>基本支出</c:v>
                </c:pt>
                <c:pt idx="1">
                  <c:v>项目支出</c:v>
                </c:pt>
                <c:pt idx="2">
                  <c:v>上缴上级支出</c:v>
                </c:pt>
                <c:pt idx="3">
                  <c:v>经费支出</c:v>
                </c:pt>
                <c:pt idx="4">
                  <c:v>对附属单位补助支出</c:v>
                </c:pt>
              </c:strCache>
            </c:strRef>
          </c:cat>
          <c:val>
            <c:numRef>
              <c:f>Sheet1!$B$2:$B$6</c:f>
              <c:numCache>
                <c:formatCode>General</c:formatCode>
                <c:ptCount val="5"/>
                <c:pt idx="0">
                  <c:v>8257.25</c:v>
                </c:pt>
                <c:pt idx="1">
                  <c:v>5489.47</c:v>
                </c:pt>
                <c:pt idx="2">
                  <c:v>0</c:v>
                </c:pt>
                <c:pt idx="3">
                  <c:v>0</c:v>
                </c:pt>
                <c:pt idx="4">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c:v>
                </c:pt>
              </c:strCache>
            </c:strRef>
          </c:tx>
          <c:invertIfNegative val="0"/>
          <c:dLbls>
            <c:delete val="1"/>
          </c:dLbls>
          <c:cat>
            <c:numRef>
              <c:f>Sheet1!$A$2:$A$3</c:f>
              <c:numCache>
                <c:formatCode>General</c:formatCode>
                <c:ptCount val="2"/>
                <c:pt idx="0">
                  <c:v>2024</c:v>
                </c:pt>
                <c:pt idx="1">
                  <c:v>2025</c:v>
                </c:pt>
              </c:numCache>
            </c:numRef>
          </c:cat>
          <c:val>
            <c:numRef>
              <c:f>Sheet1!$B$2:$B$3</c:f>
              <c:numCache>
                <c:formatCode>General</c:formatCode>
                <c:ptCount val="2"/>
                <c:pt idx="0">
                  <c:v>11572.34</c:v>
                </c:pt>
                <c:pt idx="1">
                  <c:v>13764.72</c:v>
                </c:pt>
              </c:numCache>
            </c:numRef>
          </c:val>
        </c:ser>
        <c:ser>
          <c:idx val="1"/>
          <c:order val="1"/>
          <c:tx>
            <c:strRef>
              <c:f>Sheet1!$C$1</c:f>
              <c:strCache>
                <c:ptCount val="1"/>
                <c:pt idx="0">
                  <c:v>支出</c:v>
                </c:pt>
              </c:strCache>
            </c:strRef>
          </c:tx>
          <c:invertIfNegative val="0"/>
          <c:dLbls>
            <c:delete val="1"/>
          </c:dLbls>
          <c:cat>
            <c:numRef>
              <c:f>Sheet1!$A$2:$A$3</c:f>
              <c:numCache>
                <c:formatCode>General</c:formatCode>
                <c:ptCount val="2"/>
                <c:pt idx="0">
                  <c:v>2024</c:v>
                </c:pt>
                <c:pt idx="1">
                  <c:v>2025</c:v>
                </c:pt>
              </c:numCache>
            </c:numRef>
          </c:cat>
          <c:val>
            <c:numRef>
              <c:f>Sheet1!$C$2:$C$3</c:f>
              <c:numCache>
                <c:formatCode>General</c:formatCode>
                <c:ptCount val="2"/>
                <c:pt idx="0">
                  <c:v>11572.34</c:v>
                </c:pt>
                <c:pt idx="1">
                  <c:v>13764.72</c:v>
                </c:pt>
              </c:numCache>
            </c:numRef>
          </c:val>
        </c:ser>
        <c:dLbls>
          <c:showLegendKey val="0"/>
          <c:showVal val="0"/>
          <c:showCatName val="0"/>
          <c:showSerName val="0"/>
          <c:showPercent val="0"/>
          <c:showBubbleSize val="0"/>
        </c:dLbls>
        <c:gapWidth val="150"/>
        <c:axId val="54620544"/>
        <c:axId val="54622080"/>
      </c:barChart>
      <c:catAx>
        <c:axId val="54620544"/>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54622080"/>
        <c:crosses val="autoZero"/>
        <c:auto val="1"/>
        <c:lblAlgn val="ctr"/>
        <c:lblOffset val="100"/>
        <c:noMultiLvlLbl val="0"/>
      </c:catAx>
      <c:valAx>
        <c:axId val="5462208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54620544"/>
        <c:crosses val="autoZero"/>
        <c:crossBetween val="between"/>
      </c:valAx>
      <c:spPr>
        <a:solidFill>
          <a:schemeClr val="bg1"/>
        </a:solid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本年支出</c:v>
                </c:pt>
              </c:strCache>
            </c:strRef>
          </c:tx>
          <c:invertIfNegative val="0"/>
          <c:dLbls>
            <c:delete val="1"/>
          </c:dLbls>
          <c:cat>
            <c:numRef>
              <c:f>Sheet1!$A$2:$A$3</c:f>
              <c:numCache>
                <c:formatCode>General</c:formatCode>
                <c:ptCount val="2"/>
                <c:pt idx="0">
                  <c:v>2024</c:v>
                </c:pt>
                <c:pt idx="1">
                  <c:v>2025</c:v>
                </c:pt>
              </c:numCache>
            </c:numRef>
          </c:cat>
          <c:val>
            <c:numRef>
              <c:f>Sheet1!$B$2:$B$3</c:f>
              <c:numCache>
                <c:formatCode>General</c:formatCode>
                <c:ptCount val="2"/>
                <c:pt idx="0">
                  <c:v>11572.34</c:v>
                </c:pt>
                <c:pt idx="1">
                  <c:v>13746.72</c:v>
                </c:pt>
              </c:numCache>
            </c:numRef>
          </c:val>
        </c:ser>
        <c:dLbls>
          <c:showLegendKey val="0"/>
          <c:showVal val="0"/>
          <c:showCatName val="0"/>
          <c:showSerName val="0"/>
          <c:showPercent val="0"/>
          <c:showBubbleSize val="0"/>
        </c:dLbls>
        <c:gapWidth val="150"/>
        <c:axId val="93611520"/>
        <c:axId val="93613056"/>
      </c:barChart>
      <c:catAx>
        <c:axId val="93611520"/>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93613056"/>
        <c:crosses val="autoZero"/>
        <c:auto val="1"/>
        <c:lblAlgn val="ctr"/>
        <c:lblOffset val="100"/>
        <c:noMultiLvlLbl val="0"/>
      </c:catAx>
      <c:valAx>
        <c:axId val="9361305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93611520"/>
        <c:crosses val="autoZero"/>
        <c:crossBetween val="between"/>
      </c:valAx>
      <c:spPr>
        <a:solidFill>
          <a:schemeClr val="bg1"/>
        </a:solid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27669041369829"/>
          <c:y val="0.0387489620813729"/>
        </c:manualLayout>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c:v>
                </c:pt>
              </c:strCache>
            </c:strRef>
          </c:tx>
          <c:explosion val="25"/>
          <c:dPt>
            <c:idx val="0"/>
            <c:bubble3D val="0"/>
          </c:dPt>
          <c:dPt>
            <c:idx val="1"/>
            <c:bubble3D val="0"/>
          </c:dPt>
          <c:dPt>
            <c:idx val="2"/>
            <c:bubble3D val="0"/>
          </c:dPt>
          <c:dPt>
            <c:idx val="3"/>
            <c:bubble3D val="0"/>
          </c:dPt>
          <c:dPt>
            <c:idx val="4"/>
            <c:bubble3D val="0"/>
          </c:dPt>
          <c:dLbls>
            <c:delete val="1"/>
          </c:dLbls>
          <c:cat>
            <c:strRef>
              <c:f>Sheet1!$A$2:$A$6</c:f>
              <c:strCache>
                <c:ptCount val="5"/>
                <c:pt idx="0">
                  <c:v>一般公共服务</c:v>
                </c:pt>
                <c:pt idx="1">
                  <c:v>公共安全</c:v>
                </c:pt>
                <c:pt idx="2">
                  <c:v>社会保障和就业</c:v>
                </c:pt>
                <c:pt idx="3">
                  <c:v>卫生健康</c:v>
                </c:pt>
                <c:pt idx="4">
                  <c:v>住房保障</c:v>
                </c:pt>
              </c:strCache>
            </c:strRef>
          </c:cat>
          <c:val>
            <c:numRef>
              <c:f>Sheet1!$B$2:$B$6</c:f>
              <c:numCache>
                <c:formatCode>General</c:formatCode>
                <c:ptCount val="5"/>
                <c:pt idx="0">
                  <c:v>0</c:v>
                </c:pt>
                <c:pt idx="1">
                  <c:v>12146.66</c:v>
                </c:pt>
                <c:pt idx="2">
                  <c:v>806.76</c:v>
                </c:pt>
                <c:pt idx="3">
                  <c:v>334.89</c:v>
                </c:pt>
                <c:pt idx="4">
                  <c:v>449.95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99789888468666"/>
          <c:y val="0.0528052805280528"/>
        </c:manualLayout>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三公经费支出</c:v>
                </c:pt>
              </c:strCache>
            </c:strRef>
          </c:tx>
          <c:explosion val="25"/>
          <c:dPt>
            <c:idx val="0"/>
            <c:bubble3D val="0"/>
          </c:dPt>
          <c:dPt>
            <c:idx val="1"/>
            <c:bubble3D val="0"/>
          </c:dPt>
          <c:dPt>
            <c:idx val="2"/>
            <c:bubble3D val="0"/>
          </c:dPt>
          <c:dLbls>
            <c:delete val="1"/>
          </c:dLbls>
          <c:cat>
            <c:strRef>
              <c:f>Sheet1!$A$2:$A$4</c:f>
              <c:strCache>
                <c:ptCount val="3"/>
                <c:pt idx="0">
                  <c:v>因公出国（境）费</c:v>
                </c:pt>
                <c:pt idx="1">
                  <c:v>公务用车购置及运行</c:v>
                </c:pt>
                <c:pt idx="2">
                  <c:v>公务接待费</c:v>
                </c:pt>
              </c:strCache>
            </c:strRef>
          </c:cat>
          <c:val>
            <c:numRef>
              <c:f>Sheet1!$B$2:$B$4</c:f>
              <c:numCache>
                <c:formatCode>General</c:formatCode>
                <c:ptCount val="3"/>
                <c:pt idx="0">
                  <c:v>0</c:v>
                </c:pt>
                <c:pt idx="1">
                  <c:v>49.01</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5959A0-B5DD-4928-8BA6-6E0A25FCFA81}">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18</Pages>
  <Words>5479</Words>
  <Characters>1424</Characters>
  <Lines>11</Lines>
  <Paragraphs>13</Paragraphs>
  <TotalTime>1</TotalTime>
  <ScaleCrop>false</ScaleCrop>
  <LinksUpToDate>false</LinksUpToDate>
  <CharactersWithSpaces>6890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2026-10-11T07:29:00Z</dcterms:created>
  <dc:creator>曹颖</dc:creator>
  <cp:lastModifiedBy>Administrator</cp:lastModifiedBy>
  <cp:lastPrinted>2026-08-03T09:27:00Z</cp:lastPrinted>
  <dcterms:modified xsi:type="dcterms:W3CDTF">2026-10-13T03:05:39Z</dcterms:modified>
  <dc:title>四川省***</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ICV">
    <vt:lpwstr>400D301575C74348A5277D00A7902E06</vt:lpwstr>
  </property>
</Properties>
</file>