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D2AD18">
      <w:bookmarkStart w:id="0" w:name="_Toc15396475"/>
      <w:bookmarkStart w:id="1" w:name="_Toc15377193"/>
      <w:bookmarkStart w:id="2" w:name="_Toc15396597"/>
      <w:bookmarkStart w:id="3" w:name="_Toc15378441"/>
      <w:bookmarkStart w:id="4" w:name="_Toc15377425"/>
      <w:bookmarkStart w:id="5" w:name="_Toc15306267"/>
    </w:p>
    <w:p w14:paraId="10BF509F">
      <w:pPr>
        <w:pStyle w:val="8"/>
        <w:spacing w:before="93"/>
        <w:jc w:val="center"/>
        <w:rPr>
          <w:rFonts w:ascii="Times New Roman" w:eastAsia="方正小标宋简体"/>
          <w:kern w:val="2"/>
          <w:sz w:val="44"/>
          <w:szCs w:val="44"/>
        </w:rPr>
      </w:pPr>
    </w:p>
    <w:p w14:paraId="71BFE30F">
      <w:pPr>
        <w:pStyle w:val="8"/>
        <w:spacing w:before="93"/>
        <w:jc w:val="center"/>
        <w:rPr>
          <w:rFonts w:ascii="Times New Roman" w:eastAsia="方正小标宋简体"/>
          <w:kern w:val="2"/>
          <w:sz w:val="44"/>
          <w:szCs w:val="44"/>
        </w:rPr>
      </w:pPr>
    </w:p>
    <w:p w14:paraId="1C8CBA52">
      <w:pPr>
        <w:pStyle w:val="8"/>
        <w:spacing w:before="93"/>
        <w:jc w:val="center"/>
        <w:rPr>
          <w:rFonts w:ascii="Times New Roman" w:eastAsia="方正小标宋简体"/>
          <w:kern w:val="2"/>
          <w:sz w:val="44"/>
          <w:szCs w:val="44"/>
        </w:rPr>
      </w:pPr>
    </w:p>
    <w:p w14:paraId="1F36A583">
      <w:pPr>
        <w:pStyle w:val="8"/>
        <w:spacing w:before="93"/>
        <w:jc w:val="center"/>
        <w:rPr>
          <w:rFonts w:ascii="Times New Roman" w:eastAsia="方正小标宋简体"/>
          <w:kern w:val="2"/>
          <w:sz w:val="44"/>
          <w:szCs w:val="44"/>
        </w:rPr>
      </w:pPr>
    </w:p>
    <w:bookmarkEnd w:id="0"/>
    <w:bookmarkEnd w:id="1"/>
    <w:bookmarkEnd w:id="2"/>
    <w:bookmarkEnd w:id="3"/>
    <w:bookmarkEnd w:id="4"/>
    <w:p w14:paraId="6C81225B">
      <w:pPr>
        <w:pStyle w:val="8"/>
        <w:spacing w:before="93"/>
        <w:jc w:val="center"/>
        <w:rPr>
          <w:rFonts w:ascii="Times New Roman" w:eastAsia="方正小标宋简体"/>
          <w:kern w:val="2"/>
          <w:sz w:val="44"/>
          <w:szCs w:val="44"/>
        </w:rPr>
      </w:pPr>
      <w:bookmarkStart w:id="6" w:name="_Toc15396598"/>
      <w:bookmarkStart w:id="7" w:name="_Toc15378442"/>
      <w:bookmarkStart w:id="8" w:name="_Toc15396476"/>
      <w:bookmarkStart w:id="9" w:name="_Toc15377426"/>
      <w:bookmarkStart w:id="10" w:name="_Toc15377194"/>
      <w:r>
        <w:rPr>
          <w:rFonts w:hint="eastAsia" w:ascii="Times New Roman" w:eastAsia="方正小标宋简体"/>
          <w:kern w:val="2"/>
          <w:sz w:val="44"/>
          <w:szCs w:val="44"/>
        </w:rPr>
        <w:t>2025年度</w:t>
      </w:r>
      <w:bookmarkEnd w:id="5"/>
      <w:bookmarkStart w:id="11" w:name="_Toc15306268"/>
      <w:r>
        <w:rPr>
          <w:rFonts w:hint="eastAsia" w:ascii="Times New Roman" w:eastAsia="方正小标宋简体"/>
          <w:kern w:val="2"/>
          <w:sz w:val="44"/>
          <w:szCs w:val="44"/>
        </w:rPr>
        <w:t>四川省阿坝州若尔盖县文化体育和旅游市场综合行政执法大队</w:t>
      </w:r>
      <w:r>
        <w:rPr>
          <w:rFonts w:hint="eastAsia" w:ascii="Times New Roman" w:eastAsia="方正小标宋简体"/>
          <w:kern w:val="2"/>
          <w:sz w:val="44"/>
          <w:szCs w:val="44"/>
          <w:lang w:eastAsia="zh-CN"/>
        </w:rPr>
        <w:t>单位</w:t>
      </w:r>
      <w:r>
        <w:rPr>
          <w:rFonts w:hint="eastAsia" w:ascii="Times New Roman" w:eastAsia="方正小标宋简体"/>
          <w:kern w:val="2"/>
          <w:sz w:val="44"/>
          <w:szCs w:val="44"/>
        </w:rPr>
        <w:t>决算</w:t>
      </w:r>
      <w:bookmarkEnd w:id="6"/>
      <w:bookmarkEnd w:id="7"/>
      <w:bookmarkEnd w:id="8"/>
      <w:bookmarkEnd w:id="9"/>
      <w:bookmarkEnd w:id="10"/>
      <w:bookmarkEnd w:id="11"/>
    </w:p>
    <w:p w14:paraId="5DDA7F28">
      <w:pPr>
        <w:widowControl/>
        <w:jc w:val="center"/>
        <w:rPr>
          <w:rFonts w:hint="eastAsia" w:asciiTheme="majorEastAsia" w:hAnsiTheme="majorEastAsia" w:eastAsiaTheme="majorEastAsia" w:cstheme="majorEastAsia"/>
          <w:b w:val="0"/>
          <w:bCs w:val="0"/>
          <w:sz w:val="32"/>
          <w:szCs w:val="32"/>
        </w:rPr>
      </w:pPr>
    </w:p>
    <w:p w14:paraId="2474FF1F">
      <w:pPr>
        <w:widowControl/>
        <w:jc w:val="center"/>
        <w:rPr>
          <w:rFonts w:hint="eastAsia" w:asciiTheme="majorEastAsia" w:hAnsiTheme="majorEastAsia" w:eastAsiaTheme="majorEastAsia" w:cstheme="majorEastAsia"/>
          <w:b w:val="0"/>
          <w:bCs w:val="0"/>
          <w:sz w:val="32"/>
          <w:szCs w:val="32"/>
        </w:rPr>
      </w:pPr>
    </w:p>
    <w:p w14:paraId="648B5E2D">
      <w:pPr>
        <w:widowControl/>
        <w:jc w:val="center"/>
        <w:rPr>
          <w:rFonts w:hint="eastAsia" w:asciiTheme="majorEastAsia" w:hAnsiTheme="majorEastAsia" w:eastAsiaTheme="majorEastAsia" w:cstheme="majorEastAsia"/>
          <w:b w:val="0"/>
          <w:bCs w:val="0"/>
          <w:sz w:val="32"/>
          <w:szCs w:val="32"/>
        </w:rPr>
      </w:pPr>
    </w:p>
    <w:p w14:paraId="16B1C4F3">
      <w:pPr>
        <w:widowControl/>
        <w:jc w:val="center"/>
        <w:rPr>
          <w:rFonts w:hint="eastAsia" w:asciiTheme="majorEastAsia" w:hAnsiTheme="majorEastAsia" w:eastAsiaTheme="majorEastAsia" w:cstheme="majorEastAsia"/>
          <w:b w:val="0"/>
          <w:bCs w:val="0"/>
          <w:sz w:val="32"/>
          <w:szCs w:val="32"/>
        </w:rPr>
      </w:pPr>
    </w:p>
    <w:p w14:paraId="6D1B2767">
      <w:pPr>
        <w:widowControl/>
        <w:jc w:val="center"/>
        <w:rPr>
          <w:rFonts w:hint="eastAsia" w:asciiTheme="majorEastAsia" w:hAnsiTheme="majorEastAsia" w:eastAsiaTheme="majorEastAsia" w:cstheme="majorEastAsia"/>
          <w:b w:val="0"/>
          <w:bCs w:val="0"/>
          <w:sz w:val="32"/>
          <w:szCs w:val="32"/>
        </w:rPr>
      </w:pPr>
    </w:p>
    <w:p w14:paraId="6942A975">
      <w:pPr>
        <w:widowControl/>
        <w:jc w:val="center"/>
        <w:rPr>
          <w:rFonts w:hint="eastAsia" w:asciiTheme="majorEastAsia" w:hAnsiTheme="majorEastAsia" w:eastAsiaTheme="majorEastAsia" w:cstheme="majorEastAsia"/>
          <w:b w:val="0"/>
          <w:bCs w:val="0"/>
          <w:sz w:val="32"/>
          <w:szCs w:val="32"/>
        </w:rPr>
      </w:pPr>
    </w:p>
    <w:p w14:paraId="38743B7F">
      <w:pPr>
        <w:widowControl/>
        <w:jc w:val="center"/>
        <w:rPr>
          <w:rFonts w:hint="eastAsia" w:asciiTheme="majorEastAsia" w:hAnsiTheme="majorEastAsia" w:eastAsiaTheme="majorEastAsia" w:cstheme="majorEastAsia"/>
          <w:b w:val="0"/>
          <w:bCs w:val="0"/>
          <w:sz w:val="32"/>
          <w:szCs w:val="32"/>
        </w:rPr>
      </w:pPr>
    </w:p>
    <w:p w14:paraId="36FF15B6">
      <w:pPr>
        <w:widowControl/>
        <w:jc w:val="center"/>
        <w:rPr>
          <w:rFonts w:hint="eastAsia" w:asciiTheme="majorEastAsia" w:hAnsiTheme="majorEastAsia" w:eastAsiaTheme="majorEastAsia" w:cstheme="majorEastAsia"/>
          <w:b w:val="0"/>
          <w:bCs w:val="0"/>
          <w:sz w:val="32"/>
          <w:szCs w:val="32"/>
        </w:rPr>
      </w:pPr>
    </w:p>
    <w:p w14:paraId="443541FE">
      <w:pPr>
        <w:widowControl/>
        <w:jc w:val="center"/>
        <w:rPr>
          <w:rFonts w:hint="eastAsia" w:asciiTheme="majorEastAsia" w:hAnsiTheme="majorEastAsia" w:eastAsiaTheme="majorEastAsia" w:cstheme="majorEastAsia"/>
          <w:b w:val="0"/>
          <w:bCs w:val="0"/>
          <w:sz w:val="32"/>
          <w:szCs w:val="32"/>
        </w:rPr>
      </w:pPr>
    </w:p>
    <w:p w14:paraId="5F5E72E2">
      <w:pPr>
        <w:widowControl/>
        <w:jc w:val="center"/>
        <w:rPr>
          <w:rFonts w:hint="eastAsia" w:asciiTheme="majorEastAsia" w:hAnsiTheme="majorEastAsia" w:eastAsiaTheme="majorEastAsia" w:cstheme="majorEastAsia"/>
          <w:b w:val="0"/>
          <w:bCs w:val="0"/>
          <w:sz w:val="32"/>
          <w:szCs w:val="32"/>
        </w:rPr>
      </w:pPr>
    </w:p>
    <w:p w14:paraId="3F2B4FDA">
      <w:pPr>
        <w:widowControl/>
        <w:jc w:val="center"/>
        <w:rPr>
          <w:rFonts w:hint="eastAsia" w:asciiTheme="majorEastAsia" w:hAnsiTheme="majorEastAsia" w:eastAsiaTheme="majorEastAsia" w:cstheme="majorEastAsia"/>
          <w:b w:val="0"/>
          <w:bCs w:val="0"/>
          <w:sz w:val="32"/>
          <w:szCs w:val="32"/>
        </w:rPr>
      </w:pPr>
    </w:p>
    <w:p w14:paraId="4EE15B0C">
      <w:pPr>
        <w:widowControl/>
        <w:jc w:val="center"/>
        <w:rPr>
          <w:rFonts w:hint="eastAsia" w:asciiTheme="majorEastAsia" w:hAnsiTheme="majorEastAsia" w:eastAsiaTheme="majorEastAsia" w:cstheme="majorEastAsia"/>
          <w:b w:val="0"/>
          <w:bCs w:val="0"/>
          <w:sz w:val="32"/>
          <w:szCs w:val="32"/>
        </w:rPr>
      </w:pPr>
    </w:p>
    <w:p w14:paraId="50C66F1D">
      <w:pPr>
        <w:widowControl/>
        <w:jc w:val="center"/>
        <w:rPr>
          <w:rFonts w:hint="eastAsia" w:asciiTheme="majorEastAsia" w:hAnsiTheme="majorEastAsia" w:eastAsiaTheme="majorEastAsia" w:cstheme="majorEastAsia"/>
          <w:b w:val="0"/>
          <w:bCs w:val="0"/>
          <w:sz w:val="32"/>
          <w:szCs w:val="32"/>
        </w:rPr>
        <w:sectPr>
          <w:headerReference r:id="rId3" w:type="default"/>
          <w:footerReference r:id="rId4" w:type="default"/>
          <w:pgSz w:w="11906" w:h="16838"/>
          <w:pgMar w:top="1440" w:right="1800" w:bottom="1440" w:left="1800" w:header="851" w:footer="992" w:gutter="0"/>
          <w:pgNumType w:fmt="numberInDash" w:start="1"/>
          <w:cols w:space="425" w:num="1"/>
          <w:titlePg/>
          <w:docGrid w:type="lines" w:linePitch="312" w:charSpace="0"/>
        </w:sectPr>
      </w:pPr>
      <w:r>
        <w:rPr>
          <w:rFonts w:hint="eastAsia" w:asciiTheme="majorEastAsia" w:hAnsiTheme="majorEastAsia" w:eastAsiaTheme="majorEastAsia" w:cstheme="majorEastAsia"/>
          <w:b w:val="0"/>
          <w:bCs w:val="0"/>
          <w:sz w:val="32"/>
          <w:szCs w:val="32"/>
        </w:rPr>
        <w:t>已经保密审查、内容审定，同意对外公开</w:t>
      </w:r>
    </w:p>
    <w:p w14:paraId="569FADF9">
      <w:pPr>
        <w:widowControl/>
        <w:jc w:val="center"/>
        <w:rPr>
          <w:rFonts w:eastAsia="黑体"/>
          <w:sz w:val="48"/>
          <w:szCs w:val="48"/>
        </w:rPr>
      </w:pPr>
      <w:r>
        <w:rPr>
          <w:rFonts w:hint="eastAsia" w:eastAsia="黑体"/>
          <w:sz w:val="48"/>
          <w:szCs w:val="48"/>
        </w:rPr>
        <w:t>目录</w:t>
      </w:r>
    </w:p>
    <w:p w14:paraId="03070EA8">
      <w:pPr>
        <w:widowControl/>
        <w:jc w:val="center"/>
        <w:rPr>
          <w:rFonts w:eastAsia="黑体" w:cstheme="minorBidi"/>
          <w:sz w:val="28"/>
          <w:szCs w:val="28"/>
        </w:rPr>
      </w:pPr>
    </w:p>
    <w:p w14:paraId="159C22C2">
      <w:pPr>
        <w:pStyle w:val="13"/>
        <w:rPr>
          <w:rFonts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公开时间：2026年 </w:t>
      </w:r>
      <w:r>
        <w:rPr>
          <w:rFonts w:hint="eastAsia" w:ascii="Times New Roman" w:hAnsi="Times New Roman" w:eastAsia="仿宋_GB2312" w:cs="仿宋_GB2312"/>
          <w:sz w:val="32"/>
          <w:szCs w:val="32"/>
          <w:lang w:val="en-US" w:eastAsia="zh-CN"/>
        </w:rPr>
        <w:t>10</w:t>
      </w:r>
      <w:r>
        <w:rPr>
          <w:rFonts w:hint="eastAsia" w:ascii="Times New Roman" w:hAnsi="Times New Roman" w:eastAsia="仿宋_GB2312" w:cs="仿宋_GB2312"/>
          <w:sz w:val="32"/>
          <w:szCs w:val="32"/>
        </w:rPr>
        <w:t xml:space="preserve"> 月 </w:t>
      </w:r>
      <w:r>
        <w:rPr>
          <w:rFonts w:hint="eastAsia" w:ascii="Times New Roman" w:hAnsi="Times New Roman" w:eastAsia="仿宋_GB2312" w:cs="仿宋_GB2312"/>
          <w:sz w:val="32"/>
          <w:szCs w:val="32"/>
          <w:lang w:val="en-US" w:eastAsia="zh-CN"/>
        </w:rPr>
        <w:t>10</w:t>
      </w:r>
      <w:r>
        <w:rPr>
          <w:rFonts w:hint="eastAsia" w:ascii="Times New Roman" w:hAnsi="Times New Roman" w:eastAsia="仿宋_GB2312" w:cs="仿宋_GB2312"/>
          <w:sz w:val="32"/>
          <w:szCs w:val="32"/>
        </w:rPr>
        <w:t xml:space="preserve"> 日</w:t>
      </w:r>
    </w:p>
    <w:p w14:paraId="3CB23156"/>
    <w:p w14:paraId="3A83B1EE">
      <w:pPr>
        <w:pStyle w:val="13"/>
        <w:adjustRightInd w:val="0"/>
        <w:snapToGrid w:val="0"/>
        <w:spacing w:before="0" w:line="560" w:lineRule="exact"/>
        <w:jc w:val="left"/>
        <w:rPr>
          <w:rFonts w:hint="default" w:ascii="Times New Roman" w:hAnsi="Times New Roman" w:eastAsia="黑体" w:cs="黑体"/>
          <w:sz w:val="32"/>
          <w:szCs w:val="32"/>
          <w:lang w:val="en-US" w:eastAsia="zh-CN"/>
        </w:rPr>
      </w:pPr>
      <w:bookmarkStart w:id="12" w:name="_Toc15396599"/>
      <w:bookmarkStart w:id="13" w:name="_Toc15377196"/>
      <w:r>
        <w:rPr>
          <w:rFonts w:hint="eastAsia" w:ascii="Times New Roman" w:hAnsi="Times New Roman" w:eastAsia="黑体" w:cs="黑体"/>
          <w:sz w:val="32"/>
          <w:szCs w:val="32"/>
        </w:rPr>
        <w:t>第一部分 部门概况</w:t>
      </w:r>
      <w:r>
        <w:rPr>
          <w:rFonts w:hint="eastAsia" w:ascii="Times New Roman" w:hAnsi="Times New Roman" w:eastAsia="黑体" w:cs="黑体"/>
          <w:sz w:val="32"/>
          <w:szCs w:val="32"/>
          <w:lang w:val="en-US" w:eastAsia="zh-CN"/>
        </w:rPr>
        <w:t>...................................................................1</w:t>
      </w:r>
    </w:p>
    <w:p w14:paraId="06938080">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一、部门职责</w:t>
      </w:r>
      <w:r>
        <w:rPr>
          <w:rFonts w:hint="eastAsia" w:eastAsia="仿宋_GB2312" w:cs="仿宋_GB2312"/>
          <w:sz w:val="32"/>
          <w:szCs w:val="32"/>
          <w:lang w:val="en-US" w:eastAsia="zh-CN"/>
        </w:rPr>
        <w:t>.....................................................................1</w:t>
      </w:r>
    </w:p>
    <w:p w14:paraId="519A0965">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二、机构设置</w:t>
      </w:r>
      <w:r>
        <w:rPr>
          <w:rFonts w:hint="eastAsia" w:eastAsia="仿宋_GB2312" w:cs="仿宋_GB2312"/>
          <w:sz w:val="32"/>
          <w:szCs w:val="32"/>
          <w:lang w:val="en-US" w:eastAsia="zh-CN"/>
        </w:rPr>
        <w:t>.....................................................................1</w:t>
      </w:r>
    </w:p>
    <w:p w14:paraId="5F7E2D92">
      <w:pPr>
        <w:pStyle w:val="13"/>
        <w:adjustRightInd w:val="0"/>
        <w:snapToGrid w:val="0"/>
        <w:spacing w:before="0" w:line="560" w:lineRule="exact"/>
        <w:jc w:val="left"/>
        <w:rPr>
          <w:rFonts w:hint="default" w:ascii="Times New Roman" w:hAnsi="Times New Roman" w:eastAsia="黑体" w:cs="黑体"/>
          <w:sz w:val="32"/>
          <w:szCs w:val="32"/>
          <w:lang w:val="en-US" w:eastAsia="zh-CN"/>
        </w:rPr>
      </w:pPr>
      <w:r>
        <w:rPr>
          <w:rFonts w:hint="eastAsia" w:ascii="Times New Roman" w:hAnsi="Times New Roman" w:eastAsia="黑体" w:cs="黑体"/>
          <w:sz w:val="32"/>
          <w:szCs w:val="32"/>
        </w:rPr>
        <w:t>第二部分 202</w:t>
      </w:r>
      <w:r>
        <w:rPr>
          <w:rFonts w:hint="eastAsia" w:ascii="Times New Roman" w:hAnsi="Times New Roman" w:eastAsia="黑体" w:cs="黑体"/>
          <w:sz w:val="32"/>
          <w:szCs w:val="32"/>
          <w:lang w:val="en-US" w:eastAsia="zh-CN"/>
        </w:rPr>
        <w:t>5</w:t>
      </w:r>
      <w:r>
        <w:rPr>
          <w:rFonts w:hint="eastAsia" w:ascii="Times New Roman" w:hAnsi="Times New Roman" w:eastAsia="黑体" w:cs="黑体"/>
          <w:sz w:val="32"/>
          <w:szCs w:val="32"/>
        </w:rPr>
        <w:t>年度部门决算情况说明</w:t>
      </w:r>
      <w:r>
        <w:rPr>
          <w:rFonts w:hint="eastAsia" w:ascii="Times New Roman" w:hAnsi="Times New Roman" w:eastAsia="黑体" w:cs="黑体"/>
          <w:sz w:val="32"/>
          <w:szCs w:val="32"/>
          <w:lang w:val="en-US" w:eastAsia="zh-CN"/>
        </w:rPr>
        <w:t>..................................3</w:t>
      </w:r>
    </w:p>
    <w:p w14:paraId="74918844">
      <w:pPr>
        <w:pStyle w:val="14"/>
        <w:adjustRightInd w:val="0"/>
        <w:snapToGrid w:val="0"/>
        <w:spacing w:line="560" w:lineRule="exact"/>
        <w:ind w:left="638" w:leftChars="304" w:firstLine="0" w:firstLineChars="0"/>
        <w:jc w:val="left"/>
        <w:rPr>
          <w:rFonts w:hint="default" w:eastAsia="仿宋_GB2312" w:cs="仿宋_GB2312"/>
          <w:sz w:val="32"/>
          <w:szCs w:val="32"/>
          <w:lang w:val="en-US" w:eastAsia="zh-CN"/>
        </w:rPr>
      </w:pPr>
      <w:r>
        <w:rPr>
          <w:rFonts w:hint="eastAsia" w:eastAsia="仿宋_GB2312" w:cs="仿宋_GB2312"/>
          <w:sz w:val="32"/>
          <w:szCs w:val="32"/>
        </w:rPr>
        <w:t>一、收入支出决算总体情况说明</w:t>
      </w:r>
      <w:r>
        <w:rPr>
          <w:rFonts w:hint="eastAsia" w:eastAsia="仿宋_GB2312" w:cs="仿宋_GB2312"/>
          <w:sz w:val="32"/>
          <w:szCs w:val="32"/>
          <w:lang w:val="en-US" w:eastAsia="zh-CN"/>
        </w:rPr>
        <w:t>.....................................3</w:t>
      </w:r>
      <w:r>
        <w:rPr>
          <w:rFonts w:hint="eastAsia" w:eastAsia="仿宋_GB2312" w:cs="仿宋_GB2312"/>
          <w:sz w:val="32"/>
          <w:szCs w:val="32"/>
        </w:rPr>
        <w:t>二、收入决算情况说明</w:t>
      </w:r>
      <w:r>
        <w:rPr>
          <w:rFonts w:hint="eastAsia" w:eastAsia="仿宋_GB2312" w:cs="仿宋_GB2312"/>
          <w:sz w:val="32"/>
          <w:szCs w:val="32"/>
          <w:lang w:val="en-US" w:eastAsia="zh-CN"/>
        </w:rPr>
        <w:t>.....................................................3</w:t>
      </w:r>
    </w:p>
    <w:p w14:paraId="0A5D18F7">
      <w:pPr>
        <w:pStyle w:val="14"/>
        <w:adjustRightInd w:val="0"/>
        <w:snapToGrid w:val="0"/>
        <w:spacing w:line="560" w:lineRule="exact"/>
        <w:ind w:left="638" w:leftChars="304" w:firstLine="0" w:firstLineChars="0"/>
        <w:jc w:val="left"/>
        <w:rPr>
          <w:rFonts w:hint="default" w:eastAsia="仿宋_GB2312" w:cs="仿宋_GB2312"/>
          <w:sz w:val="32"/>
          <w:szCs w:val="32"/>
          <w:lang w:val="en-US" w:eastAsia="zh-CN"/>
        </w:rPr>
      </w:pPr>
      <w:r>
        <w:rPr>
          <w:rFonts w:hint="eastAsia" w:eastAsia="仿宋_GB2312" w:cs="仿宋_GB2312"/>
          <w:sz w:val="32"/>
          <w:szCs w:val="32"/>
        </w:rPr>
        <w:t>三、支出决算情况说明</w:t>
      </w:r>
      <w:r>
        <w:rPr>
          <w:rFonts w:hint="eastAsia" w:eastAsia="仿宋_GB2312" w:cs="仿宋_GB2312"/>
          <w:sz w:val="32"/>
          <w:szCs w:val="32"/>
          <w:lang w:val="en-US" w:eastAsia="zh-CN"/>
        </w:rPr>
        <w:t>.....................................................4</w:t>
      </w:r>
      <w:r>
        <w:rPr>
          <w:rFonts w:hint="eastAsia" w:eastAsia="仿宋_GB2312" w:cs="仿宋_GB2312"/>
          <w:sz w:val="32"/>
          <w:szCs w:val="32"/>
        </w:rPr>
        <w:t>四、财政拨款收入支出决算总体情况说明</w:t>
      </w:r>
      <w:r>
        <w:rPr>
          <w:rFonts w:hint="eastAsia" w:eastAsia="仿宋_GB2312" w:cs="仿宋_GB2312"/>
          <w:sz w:val="32"/>
          <w:szCs w:val="32"/>
          <w:lang w:val="en-US" w:eastAsia="zh-CN"/>
        </w:rPr>
        <w:t>.....................5</w:t>
      </w:r>
    </w:p>
    <w:p w14:paraId="7104E4BA">
      <w:pPr>
        <w:pStyle w:val="14"/>
        <w:adjustRightInd w:val="0"/>
        <w:snapToGrid w:val="0"/>
        <w:spacing w:line="560" w:lineRule="exact"/>
        <w:ind w:left="638" w:leftChars="304" w:firstLine="0" w:firstLineChars="0"/>
        <w:jc w:val="left"/>
        <w:rPr>
          <w:rFonts w:hint="default" w:eastAsia="仿宋_GB2312" w:cs="仿宋_GB2312"/>
          <w:sz w:val="32"/>
          <w:szCs w:val="32"/>
          <w:lang w:val="en-US" w:eastAsia="zh-CN"/>
        </w:rPr>
      </w:pPr>
      <w:r>
        <w:rPr>
          <w:rFonts w:hint="eastAsia" w:eastAsia="仿宋_GB2312" w:cs="仿宋_GB2312"/>
          <w:sz w:val="32"/>
          <w:szCs w:val="32"/>
        </w:rPr>
        <w:t>五、一般公共预算财政拨款支出决算情况说明</w:t>
      </w:r>
      <w:r>
        <w:rPr>
          <w:rFonts w:hint="eastAsia" w:eastAsia="仿宋_GB2312" w:cs="仿宋_GB2312"/>
          <w:sz w:val="32"/>
          <w:szCs w:val="32"/>
          <w:lang w:val="en-US" w:eastAsia="zh-CN"/>
        </w:rPr>
        <w:t>.............6</w:t>
      </w:r>
      <w:r>
        <w:rPr>
          <w:rFonts w:hint="eastAsia" w:eastAsia="仿宋_GB2312" w:cs="仿宋_GB2312"/>
          <w:sz w:val="32"/>
          <w:szCs w:val="32"/>
        </w:rPr>
        <w:t>六、一般公共预算财政拨款基本支出决算情况说明</w:t>
      </w:r>
      <w:r>
        <w:rPr>
          <w:rFonts w:hint="eastAsia" w:eastAsia="仿宋_GB2312" w:cs="仿宋_GB2312"/>
          <w:sz w:val="32"/>
          <w:szCs w:val="32"/>
          <w:lang w:val="en-US" w:eastAsia="zh-CN"/>
        </w:rPr>
        <w:t>.....8</w:t>
      </w:r>
    </w:p>
    <w:p w14:paraId="5D81F823">
      <w:pPr>
        <w:pStyle w:val="14"/>
        <w:adjustRightInd w:val="0"/>
        <w:snapToGrid w:val="0"/>
        <w:spacing w:line="560" w:lineRule="exact"/>
        <w:ind w:left="638" w:leftChars="304" w:firstLine="0" w:firstLineChars="0"/>
        <w:jc w:val="left"/>
        <w:rPr>
          <w:rFonts w:hint="default" w:eastAsia="仿宋_GB2312" w:cs="仿宋_GB2312"/>
          <w:sz w:val="32"/>
          <w:szCs w:val="32"/>
          <w:lang w:val="en-US" w:eastAsia="zh-CN"/>
        </w:rPr>
      </w:pPr>
      <w:r>
        <w:rPr>
          <w:rFonts w:hint="eastAsia" w:eastAsia="仿宋_GB2312" w:cs="仿宋_GB2312"/>
          <w:sz w:val="32"/>
          <w:szCs w:val="32"/>
        </w:rPr>
        <w:t>七、财政拨款“三公”经费支出决算情况说明</w:t>
      </w:r>
      <w:r>
        <w:rPr>
          <w:rFonts w:hint="eastAsia" w:eastAsia="仿宋_GB2312" w:cs="仿宋_GB2312"/>
          <w:sz w:val="32"/>
          <w:szCs w:val="32"/>
          <w:lang w:val="en-US" w:eastAsia="zh-CN"/>
        </w:rPr>
        <w:t>.............9</w:t>
      </w:r>
      <w:r>
        <w:rPr>
          <w:rFonts w:hint="eastAsia" w:eastAsia="仿宋_GB2312" w:cs="仿宋_GB2312"/>
          <w:sz w:val="32"/>
          <w:szCs w:val="32"/>
        </w:rPr>
        <w:t>八、政府性基金预算支出决算情况说明</w:t>
      </w:r>
      <w:r>
        <w:rPr>
          <w:rFonts w:hint="eastAsia" w:eastAsia="仿宋_GB2312" w:cs="仿宋_GB2312"/>
          <w:sz w:val="32"/>
          <w:szCs w:val="32"/>
          <w:lang w:val="en-US" w:eastAsia="zh-CN"/>
        </w:rPr>
        <w:t>.......................10</w:t>
      </w:r>
    </w:p>
    <w:p w14:paraId="52ACCE15">
      <w:pPr>
        <w:pStyle w:val="14"/>
        <w:adjustRightInd w:val="0"/>
        <w:snapToGrid w:val="0"/>
        <w:spacing w:line="560" w:lineRule="exact"/>
        <w:ind w:left="638" w:leftChars="304" w:firstLine="0" w:firstLineChars="0"/>
        <w:jc w:val="left"/>
        <w:rPr>
          <w:rFonts w:hint="default" w:eastAsia="仿宋_GB2312" w:cs="仿宋_GB2312"/>
          <w:sz w:val="32"/>
          <w:szCs w:val="32"/>
          <w:lang w:val="en-US" w:eastAsia="zh-CN"/>
        </w:rPr>
      </w:pPr>
      <w:r>
        <w:rPr>
          <w:rFonts w:hint="eastAsia" w:eastAsia="仿宋_GB2312" w:cs="仿宋_GB2312"/>
          <w:sz w:val="32"/>
          <w:szCs w:val="32"/>
        </w:rPr>
        <w:t>九、国有资本经营预算支出决算情况说明</w:t>
      </w:r>
      <w:r>
        <w:rPr>
          <w:rFonts w:hint="eastAsia" w:eastAsia="仿宋_GB2312" w:cs="仿宋_GB2312"/>
          <w:sz w:val="32"/>
          <w:szCs w:val="32"/>
          <w:lang w:val="en-US" w:eastAsia="zh-CN"/>
        </w:rPr>
        <w:t>...................11</w:t>
      </w:r>
      <w:r>
        <w:rPr>
          <w:rFonts w:hint="eastAsia" w:eastAsia="仿宋_GB2312" w:cs="仿宋_GB2312"/>
          <w:sz w:val="32"/>
          <w:szCs w:val="32"/>
        </w:rPr>
        <w:t>十、其他重要事项的情况说明</w:t>
      </w:r>
      <w:r>
        <w:rPr>
          <w:rFonts w:hint="eastAsia" w:eastAsia="仿宋_GB2312" w:cs="仿宋_GB2312"/>
          <w:sz w:val="32"/>
          <w:szCs w:val="32"/>
          <w:lang w:val="en-US" w:eastAsia="zh-CN"/>
        </w:rPr>
        <w:t>.......................................11</w:t>
      </w:r>
    </w:p>
    <w:p w14:paraId="05F26F8A">
      <w:pPr>
        <w:pStyle w:val="13"/>
        <w:adjustRightInd w:val="0"/>
        <w:snapToGrid w:val="0"/>
        <w:spacing w:before="0" w:line="560" w:lineRule="exact"/>
        <w:jc w:val="left"/>
        <w:rPr>
          <w:rFonts w:hint="default" w:ascii="Times New Roman" w:hAnsi="Times New Roman" w:eastAsia="黑体" w:cs="黑体"/>
          <w:sz w:val="32"/>
          <w:szCs w:val="32"/>
          <w:lang w:val="en-US" w:eastAsia="zh-CN"/>
        </w:rPr>
      </w:pPr>
      <w:r>
        <w:rPr>
          <w:rFonts w:hint="eastAsia" w:ascii="Times New Roman" w:hAnsi="Times New Roman" w:eastAsia="黑体" w:cs="黑体"/>
          <w:sz w:val="32"/>
          <w:szCs w:val="32"/>
        </w:rPr>
        <w:t>第三部分 名词解释</w:t>
      </w:r>
      <w:r>
        <w:rPr>
          <w:rFonts w:hint="eastAsia" w:ascii="Times New Roman" w:hAnsi="Times New Roman" w:eastAsia="黑体" w:cs="黑体"/>
          <w:sz w:val="32"/>
          <w:szCs w:val="32"/>
          <w:lang w:val="en-US" w:eastAsia="zh-CN"/>
        </w:rPr>
        <w:t>.................................................................13</w:t>
      </w:r>
      <w:r>
        <w:rPr>
          <w:rFonts w:hint="eastAsia" w:ascii="Times New Roman" w:hAnsi="Times New Roman" w:eastAsia="黑体" w:cs="黑体"/>
          <w:sz w:val="32"/>
          <w:szCs w:val="32"/>
        </w:rPr>
        <w:t>第四部分 附件</w:t>
      </w:r>
      <w:r>
        <w:rPr>
          <w:rFonts w:hint="eastAsia" w:ascii="Times New Roman" w:hAnsi="Times New Roman" w:eastAsia="黑体" w:cs="黑体"/>
          <w:sz w:val="32"/>
          <w:szCs w:val="32"/>
          <w:lang w:val="en-US" w:eastAsia="zh-CN"/>
        </w:rPr>
        <w:t>.........................................................................17</w:t>
      </w:r>
      <w:r>
        <w:rPr>
          <w:rFonts w:hint="eastAsia" w:ascii="Times New Roman" w:hAnsi="Times New Roman" w:eastAsia="黑体" w:cs="黑体"/>
          <w:sz w:val="32"/>
          <w:szCs w:val="32"/>
        </w:rPr>
        <w:t>第五部分 附表</w:t>
      </w:r>
      <w:r>
        <w:rPr>
          <w:rFonts w:hint="eastAsia" w:ascii="Times New Roman" w:hAnsi="Times New Roman" w:eastAsia="黑体" w:cs="黑体"/>
          <w:sz w:val="32"/>
          <w:szCs w:val="32"/>
          <w:lang w:val="en-US" w:eastAsia="zh-CN"/>
        </w:rPr>
        <w:t>.........................................................................18</w:t>
      </w:r>
    </w:p>
    <w:p w14:paraId="07F3932A">
      <w:pPr>
        <w:pStyle w:val="14"/>
        <w:adjustRightInd w:val="0"/>
        <w:snapToGrid w:val="0"/>
        <w:spacing w:line="560" w:lineRule="exact"/>
        <w:ind w:left="638" w:leftChars="304" w:firstLine="0" w:firstLineChars="0"/>
        <w:jc w:val="left"/>
        <w:rPr>
          <w:rFonts w:hint="default" w:eastAsia="仿宋_GB2312" w:cs="仿宋_GB2312"/>
          <w:sz w:val="32"/>
          <w:szCs w:val="32"/>
          <w:lang w:val="en-US" w:eastAsia="zh-CN"/>
        </w:rPr>
      </w:pPr>
      <w:r>
        <w:rPr>
          <w:rFonts w:hint="eastAsia" w:eastAsia="仿宋_GB2312" w:cs="仿宋_GB2312"/>
          <w:sz w:val="32"/>
          <w:szCs w:val="32"/>
        </w:rPr>
        <w:t>一、收入支出决算总表</w:t>
      </w:r>
      <w:r>
        <w:rPr>
          <w:rFonts w:hint="eastAsia" w:eastAsia="仿宋_GB2312" w:cs="仿宋_GB2312"/>
          <w:sz w:val="32"/>
          <w:szCs w:val="32"/>
          <w:lang w:val="en-US" w:eastAsia="zh-CN"/>
        </w:rPr>
        <w:t>...................................................18</w:t>
      </w:r>
      <w:r>
        <w:rPr>
          <w:rFonts w:hint="eastAsia" w:eastAsia="仿宋_GB2312" w:cs="仿宋_GB2312"/>
          <w:sz w:val="32"/>
          <w:szCs w:val="32"/>
        </w:rPr>
        <w:t>二、收入决算表</w:t>
      </w:r>
      <w:r>
        <w:rPr>
          <w:rFonts w:hint="eastAsia" w:eastAsia="仿宋_GB2312" w:cs="仿宋_GB2312"/>
          <w:sz w:val="32"/>
          <w:szCs w:val="32"/>
          <w:lang w:val="en-US" w:eastAsia="zh-CN"/>
        </w:rPr>
        <w:t>...............................................................18</w:t>
      </w:r>
    </w:p>
    <w:p w14:paraId="20BCDF81">
      <w:pPr>
        <w:pStyle w:val="14"/>
        <w:adjustRightInd w:val="0"/>
        <w:snapToGrid w:val="0"/>
        <w:spacing w:line="560" w:lineRule="exact"/>
        <w:ind w:left="0" w:leftChars="0" w:firstLine="640" w:firstLineChars="200"/>
        <w:jc w:val="left"/>
        <w:rPr>
          <w:rFonts w:hint="eastAsia" w:eastAsia="仿宋_GB2312" w:cs="仿宋_GB2312"/>
          <w:sz w:val="32"/>
          <w:szCs w:val="32"/>
          <w:lang w:val="en-US" w:eastAsia="zh-CN"/>
        </w:rPr>
      </w:pPr>
      <w:r>
        <w:rPr>
          <w:rFonts w:hint="eastAsia" w:eastAsia="仿宋_GB2312" w:cs="仿宋_GB2312"/>
          <w:sz w:val="32"/>
          <w:szCs w:val="32"/>
        </w:rPr>
        <w:t>三、支出决算表</w:t>
      </w:r>
      <w:r>
        <w:rPr>
          <w:rFonts w:hint="eastAsia" w:eastAsia="仿宋_GB2312" w:cs="仿宋_GB2312"/>
          <w:sz w:val="32"/>
          <w:szCs w:val="32"/>
          <w:lang w:val="en-US" w:eastAsia="zh-CN"/>
        </w:rPr>
        <w:t xml:space="preserve">...............................................................18                                            </w:t>
      </w:r>
    </w:p>
    <w:p w14:paraId="61BA9227">
      <w:pPr>
        <w:pStyle w:val="14"/>
        <w:adjustRightInd w:val="0"/>
        <w:snapToGrid w:val="0"/>
        <w:spacing w:line="560" w:lineRule="exact"/>
        <w:ind w:left="0" w:leftChars="0" w:firstLine="640" w:firstLineChars="200"/>
        <w:jc w:val="left"/>
        <w:rPr>
          <w:rFonts w:hint="eastAsia" w:eastAsia="仿宋_GB2312" w:cs="仿宋_GB2312"/>
          <w:sz w:val="32"/>
          <w:szCs w:val="32"/>
          <w:lang w:val="en-US" w:eastAsia="zh-CN"/>
        </w:rPr>
        <w:sectPr>
          <w:footerReference r:id="rId7" w:type="first"/>
          <w:headerReference r:id="rId5" w:type="default"/>
          <w:footerReference r:id="rId6" w:type="default"/>
          <w:pgSz w:w="11906" w:h="16838"/>
          <w:pgMar w:top="1440" w:right="1800" w:bottom="1440" w:left="1800" w:header="851" w:footer="992" w:gutter="0"/>
          <w:pgNumType w:start="1"/>
          <w:cols w:space="425" w:num="1"/>
          <w:docGrid w:type="lines" w:linePitch="312" w:charSpace="0"/>
        </w:sectPr>
      </w:pPr>
    </w:p>
    <w:p w14:paraId="321310E9">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lang w:val="en-US" w:eastAsia="zh-CN"/>
        </w:rPr>
        <w:t>四、</w:t>
      </w:r>
      <w:r>
        <w:rPr>
          <w:rFonts w:hint="eastAsia" w:eastAsia="仿宋_GB2312" w:cs="仿宋_GB2312"/>
          <w:sz w:val="32"/>
          <w:szCs w:val="32"/>
        </w:rPr>
        <w:t>财政拨款收入支出决算表</w:t>
      </w:r>
      <w:r>
        <w:rPr>
          <w:rFonts w:hint="eastAsia" w:eastAsia="仿宋_GB2312" w:cs="仿宋_GB2312"/>
          <w:sz w:val="32"/>
          <w:szCs w:val="32"/>
          <w:lang w:val="en-US" w:eastAsia="zh-CN"/>
        </w:rPr>
        <w:t>........................................18</w:t>
      </w:r>
    </w:p>
    <w:p w14:paraId="6FD40035">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五、财政拨款支出决算明细表</w:t>
      </w:r>
      <w:r>
        <w:rPr>
          <w:rFonts w:hint="eastAsia" w:eastAsia="仿宋_GB2312" w:cs="仿宋_GB2312"/>
          <w:sz w:val="32"/>
          <w:szCs w:val="32"/>
          <w:lang w:val="en-US" w:eastAsia="zh-CN"/>
        </w:rPr>
        <w:t>........................................18</w:t>
      </w:r>
    </w:p>
    <w:p w14:paraId="129D3656">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六、一般公共预算财政拨款支出决算表</w:t>
      </w:r>
      <w:r>
        <w:rPr>
          <w:rFonts w:hint="eastAsia" w:eastAsia="仿宋_GB2312" w:cs="仿宋_GB2312"/>
          <w:sz w:val="32"/>
          <w:szCs w:val="32"/>
          <w:lang w:val="en-US" w:eastAsia="zh-CN"/>
        </w:rPr>
        <w:t>........................18</w:t>
      </w:r>
    </w:p>
    <w:p w14:paraId="676AA54E">
      <w:pPr>
        <w:pStyle w:val="14"/>
        <w:adjustRightInd w:val="0"/>
        <w:snapToGrid w:val="0"/>
        <w:spacing w:line="560" w:lineRule="exact"/>
        <w:ind w:left="638" w:leftChars="304" w:firstLine="0" w:firstLineChars="0"/>
        <w:jc w:val="left"/>
        <w:rPr>
          <w:rFonts w:hint="default" w:eastAsia="仿宋_GB2312" w:cs="仿宋_GB2312"/>
          <w:sz w:val="32"/>
          <w:szCs w:val="32"/>
          <w:lang w:val="en-US" w:eastAsia="zh-CN"/>
        </w:rPr>
      </w:pPr>
      <w:r>
        <w:rPr>
          <w:rFonts w:hint="eastAsia" w:eastAsia="仿宋_GB2312" w:cs="仿宋_GB2312"/>
          <w:sz w:val="32"/>
          <w:szCs w:val="32"/>
        </w:rPr>
        <w:t>七、一般公共预算财政拨款支出决算明细表</w:t>
      </w:r>
      <w:r>
        <w:rPr>
          <w:rFonts w:hint="eastAsia" w:eastAsia="仿宋_GB2312" w:cs="仿宋_GB2312"/>
          <w:sz w:val="32"/>
          <w:szCs w:val="32"/>
          <w:lang w:val="en-US" w:eastAsia="zh-CN"/>
        </w:rPr>
        <w:t>................18</w:t>
      </w:r>
      <w:r>
        <w:rPr>
          <w:rFonts w:hint="eastAsia" w:eastAsia="仿宋_GB2312" w:cs="仿宋_GB2312"/>
          <w:sz w:val="32"/>
          <w:szCs w:val="32"/>
        </w:rPr>
        <w:t>八、一般公共预算财政拨款基本支出决算明细表</w:t>
      </w:r>
      <w:r>
        <w:rPr>
          <w:rFonts w:hint="eastAsia" w:eastAsia="仿宋_GB2312" w:cs="仿宋_GB2312"/>
          <w:sz w:val="32"/>
          <w:szCs w:val="32"/>
          <w:lang w:val="en-US" w:eastAsia="zh-CN"/>
        </w:rPr>
        <w:t>........18</w:t>
      </w:r>
    </w:p>
    <w:p w14:paraId="0623FD44">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九、一般公共预算财政拨款项目支出决算表</w:t>
      </w:r>
      <w:r>
        <w:rPr>
          <w:rFonts w:hint="eastAsia" w:eastAsia="仿宋_GB2312" w:cs="仿宋_GB2312"/>
          <w:sz w:val="32"/>
          <w:szCs w:val="32"/>
          <w:lang w:val="en-US" w:eastAsia="zh-CN"/>
        </w:rPr>
        <w:t>................18</w:t>
      </w:r>
    </w:p>
    <w:p w14:paraId="3DB597E7">
      <w:pPr>
        <w:pStyle w:val="14"/>
        <w:adjustRightInd w:val="0"/>
        <w:snapToGrid w:val="0"/>
        <w:spacing w:line="560" w:lineRule="exact"/>
        <w:ind w:left="0" w:leftChars="0" w:firstLine="640" w:firstLineChars="200"/>
        <w:jc w:val="left"/>
        <w:rPr>
          <w:rFonts w:hint="default" w:eastAsia="仿宋_GB2312" w:cs="仿宋_GB2312"/>
          <w:sz w:val="32"/>
          <w:szCs w:val="32"/>
          <w:lang w:val="en-US" w:eastAsia="zh-CN"/>
        </w:rPr>
      </w:pPr>
      <w:r>
        <w:rPr>
          <w:rFonts w:hint="eastAsia" w:eastAsia="仿宋_GB2312" w:cs="仿宋_GB2312"/>
          <w:sz w:val="32"/>
          <w:szCs w:val="32"/>
        </w:rPr>
        <w:t>十、政府性基金预算财政拨款收入支出决算表</w:t>
      </w:r>
      <w:r>
        <w:rPr>
          <w:rFonts w:hint="eastAsia" w:eastAsia="仿宋_GB2312" w:cs="仿宋_GB2312"/>
          <w:sz w:val="32"/>
          <w:szCs w:val="32"/>
          <w:lang w:val="en-US" w:eastAsia="zh-CN"/>
        </w:rPr>
        <w:t>............18</w:t>
      </w:r>
    </w:p>
    <w:p w14:paraId="16C04708">
      <w:pPr>
        <w:pStyle w:val="14"/>
        <w:adjustRightInd w:val="0"/>
        <w:snapToGrid w:val="0"/>
        <w:spacing w:line="560" w:lineRule="exact"/>
        <w:ind w:left="638" w:leftChars="304" w:firstLine="0" w:firstLineChars="0"/>
        <w:jc w:val="left"/>
        <w:rPr>
          <w:rFonts w:hint="eastAsia" w:eastAsia="仿宋_GB2312" w:cs="仿宋_GB2312"/>
          <w:sz w:val="32"/>
          <w:szCs w:val="32"/>
          <w:lang w:val="en-US" w:eastAsia="zh-CN"/>
        </w:rPr>
      </w:pPr>
      <w:r>
        <w:rPr>
          <w:rFonts w:hint="eastAsia" w:eastAsia="仿宋_GB2312" w:cs="仿宋_GB2312"/>
          <w:sz w:val="32"/>
          <w:szCs w:val="32"/>
        </w:rPr>
        <w:t>十一、国有资本经营预算财政拨款收入支出决算表</w:t>
      </w:r>
      <w:bookmarkStart w:id="67" w:name="_GoBack"/>
      <w:r>
        <w:rPr>
          <w:rFonts w:hint="eastAsia" w:eastAsia="仿宋_GB2312" w:cs="仿宋_GB2312"/>
          <w:sz w:val="32"/>
          <w:szCs w:val="32"/>
          <w:lang w:val="en-US" w:eastAsia="zh-CN"/>
        </w:rPr>
        <w:t>....</w:t>
      </w:r>
      <w:bookmarkEnd w:id="67"/>
      <w:r>
        <w:rPr>
          <w:rFonts w:hint="eastAsia" w:eastAsia="仿宋_GB2312" w:cs="仿宋_GB2312"/>
          <w:sz w:val="32"/>
          <w:szCs w:val="32"/>
          <w:lang w:val="en-US" w:eastAsia="zh-CN"/>
        </w:rPr>
        <w:t>18</w:t>
      </w:r>
      <w:r>
        <w:rPr>
          <w:rFonts w:hint="eastAsia" w:eastAsia="仿宋_GB2312" w:cs="仿宋_GB2312"/>
          <w:sz w:val="32"/>
          <w:szCs w:val="32"/>
        </w:rPr>
        <w:t>十二、国有资本经营预算财政拨款支出决算表</w:t>
      </w:r>
      <w:r>
        <w:rPr>
          <w:rFonts w:hint="eastAsia" w:eastAsia="仿宋_GB2312" w:cs="仿宋_GB2312"/>
          <w:sz w:val="32"/>
          <w:szCs w:val="32"/>
          <w:lang w:val="en-US" w:eastAsia="zh-CN"/>
        </w:rPr>
        <w:t>.............18</w:t>
      </w:r>
      <w:r>
        <w:rPr>
          <w:rFonts w:hint="eastAsia" w:eastAsia="仿宋_GB2312" w:cs="仿宋_GB2312"/>
          <w:sz w:val="32"/>
          <w:szCs w:val="32"/>
        </w:rPr>
        <w:t>十三、财政拨款“三公”经费支出决算表</w:t>
      </w:r>
      <w:r>
        <w:rPr>
          <w:rFonts w:hint="eastAsia" w:eastAsia="仿宋_GB2312" w:cs="仿宋_GB2312"/>
          <w:sz w:val="32"/>
          <w:szCs w:val="32"/>
          <w:lang w:val="en-US" w:eastAsia="zh-CN"/>
        </w:rPr>
        <w:t>.....................18</w:t>
      </w:r>
    </w:p>
    <w:p w14:paraId="11CB6C3B">
      <w:pPr>
        <w:pStyle w:val="5"/>
        <w:jc w:val="center"/>
        <w:rPr>
          <w:rFonts w:hint="eastAsia" w:eastAsia="方正小标宋简体" w:cs="方正小标宋简体"/>
          <w:b w:val="0"/>
        </w:rPr>
        <w:sectPr>
          <w:footerReference r:id="rId8" w:type="default"/>
          <w:pgSz w:w="11906" w:h="16838"/>
          <w:pgMar w:top="1440" w:right="1800" w:bottom="1440" w:left="1800" w:header="851" w:footer="992" w:gutter="0"/>
          <w:pgNumType w:start="1"/>
          <w:cols w:space="425" w:num="1"/>
          <w:docGrid w:type="lines" w:linePitch="312" w:charSpace="0"/>
        </w:sectPr>
      </w:pPr>
    </w:p>
    <w:p w14:paraId="1E2D5118">
      <w:pPr>
        <w:pStyle w:val="5"/>
        <w:jc w:val="center"/>
        <w:rPr>
          <w:rStyle w:val="29"/>
          <w:rFonts w:eastAsia="方正小标宋简体" w:cs="方正小标宋简体"/>
          <w:b/>
          <w:bCs w:val="0"/>
        </w:rPr>
      </w:pPr>
      <w:r>
        <w:rPr>
          <w:rFonts w:hint="eastAsia" w:eastAsia="方正小标宋简体" w:cs="方正小标宋简体"/>
          <w:b w:val="0"/>
        </w:rPr>
        <w:t xml:space="preserve">第一部分  </w:t>
      </w:r>
      <w:r>
        <w:rPr>
          <w:rStyle w:val="29"/>
          <w:rFonts w:hint="eastAsia" w:eastAsia="方正小标宋简体" w:cs="方正小标宋简体"/>
          <w:b w:val="0"/>
          <w:bCs w:val="0"/>
        </w:rPr>
        <w:t>部门概况</w:t>
      </w:r>
      <w:bookmarkEnd w:id="12"/>
      <w:bookmarkEnd w:id="13"/>
    </w:p>
    <w:p w14:paraId="4DB69829">
      <w:pPr>
        <w:widowControl/>
        <w:jc w:val="left"/>
        <w:rPr>
          <w:rFonts w:eastAsia="黑体"/>
          <w:sz w:val="32"/>
          <w:szCs w:val="32"/>
        </w:rPr>
      </w:pPr>
    </w:p>
    <w:p w14:paraId="67653323">
      <w:pPr>
        <w:pStyle w:val="6"/>
        <w:numPr>
          <w:ilvl w:val="0"/>
          <w:numId w:val="1"/>
        </w:numPr>
        <w:rPr>
          <w:rFonts w:hint="eastAsia" w:ascii="Times New Roman" w:hAnsi="Times New Roman" w:eastAsia="黑体"/>
          <w:b w:val="0"/>
        </w:rPr>
      </w:pPr>
      <w:r>
        <w:rPr>
          <w:rFonts w:hint="eastAsia" w:ascii="Times New Roman" w:hAnsi="Times New Roman" w:eastAsia="黑体"/>
          <w:b w:val="0"/>
        </w:rPr>
        <w:t>部门职责</w:t>
      </w:r>
    </w:p>
    <w:p w14:paraId="33743E65">
      <w:pPr>
        <w:pStyle w:val="15"/>
        <w:shd w:val="clear" w:color="auto" w:fill="FFFFFF"/>
        <w:spacing w:line="560" w:lineRule="exact"/>
        <w:ind w:firstLine="640" w:firstLineChars="200"/>
      </w:pPr>
      <w:r>
        <w:rPr>
          <w:rFonts w:hint="eastAsia" w:ascii="仿宋" w:hAnsi="仿宋" w:eastAsia="仿宋"/>
          <w:bCs/>
          <w:color w:val="000000"/>
          <w:sz w:val="32"/>
          <w:szCs w:val="32"/>
        </w:rPr>
        <w:t>1、负责对全县各类广播电视机构进行业务指导和行业监管，会同有关部门对网络视听节目服务机构进行管理。监督管理全县性重大广播电视活动，组织查处重大违法违规行为。指导、协调广播电视全县性重大宣传活动，组织实施广播电视节目评价工作。指导、推进电视剧行业发展和创作生产。监督管理、审查广播电视和网络视听节目的内容和质量。指导、监管广播电视广告播放。2、负责文化、体育、旅游和广播电视行业安全生产工作的综合协调与监督管理，制定职责范围内的安全生产年度监督检查计划并组织实施。依法履行行业职业健康监管职责，承担职责范围内生态环境保护、公共机构节能减排、审批服务便民化等工作。3、完成县委、县政府交办的其他事项。</w:t>
      </w:r>
    </w:p>
    <w:p w14:paraId="76861A9E">
      <w:pPr>
        <w:numPr>
          <w:ilvl w:val="0"/>
          <w:numId w:val="0"/>
        </w:numPr>
      </w:pPr>
    </w:p>
    <w:p w14:paraId="6E04D234">
      <w:pPr>
        <w:pStyle w:val="6"/>
        <w:rPr>
          <w:rStyle w:val="30"/>
          <w:rFonts w:ascii="Times New Roman" w:hAnsi="Times New Roman"/>
          <w:b w:val="0"/>
          <w:bCs w:val="0"/>
        </w:rPr>
      </w:pPr>
      <w:bookmarkStart w:id="14" w:name="_Toc15396601"/>
      <w:bookmarkStart w:id="15" w:name="_Toc15377200"/>
      <w:r>
        <w:rPr>
          <w:rFonts w:hint="eastAsia" w:ascii="Times New Roman" w:hAnsi="Times New Roman" w:eastAsia="黑体"/>
          <w:b w:val="0"/>
        </w:rPr>
        <w:t>二、机</w:t>
      </w:r>
      <w:r>
        <w:rPr>
          <w:rStyle w:val="30"/>
          <w:rFonts w:hint="eastAsia" w:ascii="Times New Roman" w:hAnsi="Times New Roman" w:eastAsia="黑体"/>
          <w:b w:val="0"/>
          <w:bCs w:val="0"/>
        </w:rPr>
        <w:t>构设置</w:t>
      </w:r>
      <w:bookmarkEnd w:id="14"/>
      <w:bookmarkEnd w:id="15"/>
    </w:p>
    <w:p w14:paraId="4A00E380">
      <w:pPr>
        <w:ind w:firstLine="800" w:firstLineChars="250"/>
        <w:rPr>
          <w:rFonts w:eastAsia="仿宋_GB2312" w:cs="仿宋_GB2312"/>
          <w:sz w:val="32"/>
          <w:szCs w:val="32"/>
        </w:rPr>
      </w:pPr>
      <w:r>
        <w:rPr>
          <w:rFonts w:hint="eastAsia" w:ascii="仿宋_GB2312" w:hAnsi="仿宋_GB2312" w:eastAsia="仿宋_GB2312" w:cs="仿宋_GB2312"/>
          <w:sz w:val="32"/>
          <w:szCs w:val="32"/>
        </w:rPr>
        <w:t>阿坝州若尔盖县文化市场综合行政执法大队</w:t>
      </w:r>
      <w:r>
        <w:rPr>
          <w:rFonts w:hint="eastAsia" w:eastAsia="仿宋_GB2312" w:cs="仿宋_GB2312"/>
          <w:sz w:val="32"/>
          <w:szCs w:val="32"/>
        </w:rPr>
        <w:t>下属二级预算单位</w:t>
      </w:r>
      <w:r>
        <w:rPr>
          <w:rFonts w:hint="eastAsia" w:eastAsia="仿宋_GB2312" w:cs="仿宋_GB2312"/>
          <w:sz w:val="32"/>
          <w:szCs w:val="32"/>
          <w:lang w:val="en-US" w:eastAsia="zh-CN"/>
        </w:rPr>
        <w:t>0</w:t>
      </w:r>
      <w:r>
        <w:rPr>
          <w:rFonts w:hint="eastAsia" w:eastAsia="仿宋_GB2312" w:cs="仿宋_GB2312"/>
          <w:sz w:val="32"/>
          <w:szCs w:val="32"/>
        </w:rPr>
        <w:t>个，其中行政单位</w:t>
      </w:r>
      <w:r>
        <w:rPr>
          <w:rFonts w:hint="eastAsia" w:eastAsia="仿宋_GB2312" w:cs="仿宋_GB2312"/>
          <w:sz w:val="32"/>
          <w:szCs w:val="32"/>
          <w:lang w:val="en-US" w:eastAsia="zh-CN"/>
        </w:rPr>
        <w:t>0</w:t>
      </w:r>
      <w:r>
        <w:rPr>
          <w:rFonts w:hint="eastAsia" w:eastAsia="仿宋_GB2312" w:cs="仿宋_GB2312"/>
          <w:sz w:val="32"/>
          <w:szCs w:val="32"/>
        </w:rPr>
        <w:t>个，参照公务员法管理的事业单位</w:t>
      </w:r>
      <w:r>
        <w:rPr>
          <w:rFonts w:hint="eastAsia" w:eastAsia="仿宋_GB2312" w:cs="仿宋_GB2312"/>
          <w:bCs/>
          <w:sz w:val="32"/>
          <w:szCs w:val="32"/>
          <w:lang w:val="en-US" w:eastAsia="zh-CN"/>
        </w:rPr>
        <w:t>0</w:t>
      </w:r>
      <w:r>
        <w:rPr>
          <w:rFonts w:hint="eastAsia" w:eastAsia="仿宋_GB2312" w:cs="仿宋_GB2312"/>
          <w:sz w:val="32"/>
          <w:szCs w:val="32"/>
        </w:rPr>
        <w:t>个，其他事业单位</w:t>
      </w:r>
      <w:r>
        <w:rPr>
          <w:rFonts w:hint="eastAsia" w:eastAsia="仿宋_GB2312" w:cs="仿宋_GB2312"/>
          <w:sz w:val="32"/>
          <w:szCs w:val="32"/>
          <w:lang w:val="en-US" w:eastAsia="zh-CN"/>
        </w:rPr>
        <w:t>0</w:t>
      </w:r>
      <w:r>
        <w:rPr>
          <w:rFonts w:hint="eastAsia" w:eastAsia="仿宋_GB2312" w:cs="仿宋_GB2312"/>
          <w:sz w:val="32"/>
          <w:szCs w:val="32"/>
        </w:rPr>
        <w:t>个。</w:t>
      </w:r>
    </w:p>
    <w:p w14:paraId="05CF0CE6">
      <w:pPr>
        <w:pStyle w:val="8"/>
        <w:adjustRightInd w:val="0"/>
        <w:snapToGrid w:val="0"/>
        <w:spacing w:before="93" w:line="600" w:lineRule="exact"/>
        <w:ind w:firstLine="1120" w:firstLineChars="350"/>
        <w:rPr>
          <w:rFonts w:hint="eastAsia" w:ascii="Times New Roman" w:eastAsia="仿宋_GB2312" w:cs="仿宋_GB2312"/>
          <w:sz w:val="32"/>
          <w:szCs w:val="32"/>
          <w:lang w:val="en-US" w:eastAsia="zh-CN"/>
        </w:rPr>
      </w:pPr>
      <w:r>
        <w:rPr>
          <w:rFonts w:hint="eastAsia" w:ascii="Times New Roman" w:cs="仿宋_GB2312"/>
          <w:sz w:val="32"/>
          <w:szCs w:val="32"/>
        </w:rPr>
        <w:t>纳入</w:t>
      </w:r>
      <w:r>
        <w:rPr>
          <w:rFonts w:hint="eastAsia" w:hAnsi="仿宋_GB2312" w:cs="仿宋_GB2312"/>
          <w:sz w:val="32"/>
          <w:szCs w:val="32"/>
        </w:rPr>
        <w:t>阿坝州若尔盖县文化市场综合行政执法大队</w:t>
      </w:r>
      <w:r>
        <w:rPr>
          <w:rFonts w:hint="eastAsia" w:ascii="Times New Roman" w:cs="仿宋_GB2312"/>
          <w:sz w:val="32"/>
          <w:szCs w:val="32"/>
        </w:rPr>
        <w:t>2025年度部门决算编制范围的二级预算单位</w:t>
      </w:r>
      <w:r>
        <w:rPr>
          <w:rFonts w:hint="eastAsia" w:ascii="Times New Roman" w:cs="仿宋_GB2312"/>
          <w:sz w:val="32"/>
          <w:szCs w:val="32"/>
          <w:lang w:val="en-US" w:eastAsia="zh-CN"/>
        </w:rPr>
        <w:t>无。</w:t>
      </w:r>
    </w:p>
    <w:p w14:paraId="00F70765">
      <w:pPr>
        <w:widowControl/>
        <w:jc w:val="left"/>
        <w:rPr>
          <w:rFonts w:eastAsia="仿宋"/>
          <w:kern w:val="0"/>
          <w:sz w:val="32"/>
          <w:szCs w:val="32"/>
        </w:rPr>
      </w:pPr>
      <w:r>
        <w:rPr>
          <w:rFonts w:eastAsia="仿宋"/>
          <w:sz w:val="32"/>
          <w:szCs w:val="32"/>
        </w:rPr>
        <w:br w:type="page"/>
      </w:r>
    </w:p>
    <w:p w14:paraId="6EA382C2">
      <w:pPr>
        <w:pStyle w:val="5"/>
        <w:jc w:val="center"/>
        <w:rPr>
          <w:rFonts w:eastAsia="方正小标宋简体" w:cs="方正小标宋简体"/>
          <w:b w:val="0"/>
        </w:rPr>
      </w:pPr>
      <w:bookmarkStart w:id="16" w:name="_Toc15396602"/>
      <w:bookmarkStart w:id="17" w:name="_Toc15377204"/>
      <w:r>
        <w:rPr>
          <w:rFonts w:hint="eastAsia" w:eastAsia="方正小标宋简体" w:cs="方正小标宋简体"/>
          <w:b w:val="0"/>
        </w:rPr>
        <w:t>第二部分  2025年度部门决算情况说明</w:t>
      </w:r>
      <w:bookmarkEnd w:id="16"/>
      <w:bookmarkEnd w:id="17"/>
    </w:p>
    <w:p w14:paraId="6D62FA93"/>
    <w:p w14:paraId="62D21577">
      <w:pPr>
        <w:pStyle w:val="28"/>
        <w:spacing w:line="600" w:lineRule="exact"/>
        <w:ind w:firstLine="640"/>
        <w:outlineLvl w:val="1"/>
        <w:rPr>
          <w:rStyle w:val="30"/>
          <w:rFonts w:ascii="Times New Roman" w:hAnsi="Times New Roman" w:eastAsia="黑体"/>
          <w:b w:val="0"/>
        </w:rPr>
      </w:pPr>
      <w:bookmarkStart w:id="18" w:name="_Toc15396603"/>
      <w:bookmarkStart w:id="19" w:name="_Toc15377205"/>
      <w:r>
        <w:rPr>
          <w:rFonts w:hint="eastAsia" w:eastAsia="黑体"/>
          <w:sz w:val="32"/>
          <w:szCs w:val="32"/>
        </w:rPr>
        <w:t>一、收</w:t>
      </w:r>
      <w:r>
        <w:rPr>
          <w:rStyle w:val="30"/>
          <w:rFonts w:hint="eastAsia" w:ascii="Times New Roman" w:hAnsi="Times New Roman" w:eastAsia="黑体"/>
          <w:b w:val="0"/>
        </w:rPr>
        <w:t>入支出决算总体情况说明</w:t>
      </w:r>
      <w:bookmarkEnd w:id="18"/>
      <w:bookmarkEnd w:id="19"/>
    </w:p>
    <w:p w14:paraId="4FC5CA4D">
      <w:pPr>
        <w:pStyle w:val="28"/>
        <w:spacing w:line="600" w:lineRule="exact"/>
        <w:ind w:firstLine="640"/>
        <w:outlineLvl w:val="1"/>
        <w:rPr>
          <w:rFonts w:eastAsia="仿宋_GB2312" w:cs="仿宋_GB2312"/>
          <w:sz w:val="32"/>
          <w:szCs w:val="32"/>
        </w:rPr>
      </w:pPr>
      <w:r>
        <w:rPr>
          <w:rFonts w:hint="eastAsia" w:eastAsia="仿宋_GB2312" w:cs="仿宋_GB2312"/>
          <w:sz w:val="32"/>
          <w:szCs w:val="32"/>
        </w:rPr>
        <w:t>2025年度收入、支出总计均为</w:t>
      </w:r>
      <w:r>
        <w:rPr>
          <w:rFonts w:hint="eastAsia" w:ascii="仿宋_GB2312" w:hAnsi="仿宋_GB2312" w:eastAsia="仿宋_GB2312" w:cs="仿宋_GB2312"/>
          <w:sz w:val="32"/>
          <w:szCs w:val="32"/>
        </w:rPr>
        <w:t>426.68</w:t>
      </w:r>
      <w:r>
        <w:rPr>
          <w:rFonts w:hint="eastAsia" w:eastAsia="仿宋_GB2312" w:cs="仿宋_GB2312"/>
          <w:sz w:val="32"/>
          <w:szCs w:val="32"/>
        </w:rPr>
        <w:t>万元。与上年度相比，收入、支出总计各增加</w:t>
      </w:r>
      <w:r>
        <w:rPr>
          <w:rFonts w:hint="eastAsia" w:eastAsia="仿宋_GB2312" w:cs="仿宋_GB2312"/>
          <w:sz w:val="32"/>
          <w:szCs w:val="32"/>
          <w:lang w:val="en-US" w:eastAsia="zh-CN"/>
        </w:rPr>
        <w:t>153.77</w:t>
      </w:r>
      <w:r>
        <w:rPr>
          <w:rFonts w:hint="eastAsia" w:eastAsia="仿宋_GB2312" w:cs="仿宋_GB2312"/>
          <w:sz w:val="32"/>
          <w:szCs w:val="32"/>
        </w:rPr>
        <w:t>万元，增长</w:t>
      </w:r>
      <w:r>
        <w:rPr>
          <w:rFonts w:hint="eastAsia" w:eastAsia="仿宋_GB2312" w:cs="仿宋_GB2312"/>
          <w:sz w:val="32"/>
          <w:szCs w:val="32"/>
          <w:lang w:val="en-US" w:eastAsia="zh-CN"/>
        </w:rPr>
        <w:t>56.34</w:t>
      </w:r>
      <w:r>
        <w:rPr>
          <w:rFonts w:hint="eastAsia" w:eastAsia="仿宋_GB2312" w:cs="仿宋_GB2312"/>
          <w:sz w:val="32"/>
          <w:szCs w:val="32"/>
        </w:rPr>
        <w:t>%。主要变动原因是</w:t>
      </w:r>
      <w:r>
        <w:rPr>
          <w:rFonts w:hint="eastAsia" w:eastAsia="仿宋_GB2312" w:cs="仿宋_GB2312"/>
          <w:sz w:val="32"/>
          <w:szCs w:val="32"/>
          <w:lang w:val="en-US" w:eastAsia="zh-CN"/>
        </w:rPr>
        <w:t>人员变动，人员增加，人员经费增加。</w:t>
      </w:r>
      <w:r>
        <w:rPr>
          <w:rFonts w:hint="eastAsia" w:eastAsia="仿宋_GB2312" w:cs="仿宋_GB2312"/>
          <w:sz w:val="32"/>
          <w:szCs w:val="32"/>
        </w:rPr>
        <w:t>（图1：收入、支出决算总计变动情况图）（柱状图）</w:t>
      </w:r>
    </w:p>
    <w:p w14:paraId="039FE1D6">
      <w:pPr>
        <w:ind w:firstLine="640" w:firstLineChars="200"/>
        <w:rPr>
          <w:rFonts w:eastAsia="仿宋_GB2312" w:cs="仿宋_GB2312"/>
          <w:sz w:val="32"/>
          <w:szCs w:val="32"/>
        </w:rPr>
      </w:pPr>
      <w:r>
        <w:rPr>
          <w:rFonts w:hint="eastAsia" w:ascii="仿宋_GB2312" w:eastAsia="仿宋_GB2312"/>
          <w:sz w:val="32"/>
          <w:szCs w:val="32"/>
        </w:rPr>
        <w:drawing>
          <wp:inline distT="0" distB="0" distL="114300" distR="114300">
            <wp:extent cx="5080000" cy="3810000"/>
            <wp:effectExtent l="4445" t="4445" r="20955" b="1460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D83FF68">
      <w:pPr>
        <w:pStyle w:val="28"/>
        <w:spacing w:line="600" w:lineRule="exact"/>
        <w:ind w:firstLine="640"/>
        <w:outlineLvl w:val="1"/>
        <w:rPr>
          <w:rFonts w:eastAsia="黑体"/>
          <w:sz w:val="32"/>
          <w:szCs w:val="32"/>
        </w:rPr>
      </w:pPr>
      <w:bookmarkStart w:id="20" w:name="_Toc15377206"/>
      <w:bookmarkStart w:id="21" w:name="_Toc15396604"/>
      <w:r>
        <w:rPr>
          <w:rFonts w:hint="eastAsia" w:eastAsia="黑体"/>
          <w:sz w:val="32"/>
          <w:szCs w:val="32"/>
        </w:rPr>
        <w:t>二、收入决算情况说明</w:t>
      </w:r>
      <w:bookmarkEnd w:id="20"/>
      <w:bookmarkEnd w:id="21"/>
    </w:p>
    <w:p w14:paraId="525B3096">
      <w:pPr>
        <w:pStyle w:val="28"/>
        <w:spacing w:line="600" w:lineRule="exact"/>
        <w:ind w:firstLine="640"/>
        <w:outlineLvl w:val="1"/>
        <w:rPr>
          <w:rFonts w:eastAsia="仿宋_GB2312" w:cs="仿宋_GB2312"/>
          <w:sz w:val="32"/>
          <w:szCs w:val="32"/>
        </w:rPr>
      </w:pPr>
      <w:r>
        <w:rPr>
          <w:rFonts w:hint="eastAsia" w:eastAsia="仿宋_GB2312" w:cs="仿宋_GB2312"/>
          <w:sz w:val="32"/>
          <w:szCs w:val="32"/>
        </w:rPr>
        <w:t>2025年度本年收入合计</w:t>
      </w:r>
      <w:r>
        <w:rPr>
          <w:rFonts w:hint="eastAsia" w:ascii="仿宋_GB2312" w:hAnsi="仿宋_GB2312" w:eastAsia="仿宋_GB2312" w:cs="仿宋_GB2312"/>
          <w:sz w:val="32"/>
          <w:szCs w:val="32"/>
        </w:rPr>
        <w:t>426.68</w:t>
      </w:r>
      <w:r>
        <w:rPr>
          <w:rFonts w:hint="eastAsia" w:eastAsia="仿宋_GB2312" w:cs="仿宋_GB2312"/>
          <w:sz w:val="32"/>
          <w:szCs w:val="32"/>
        </w:rPr>
        <w:t>万元，其中：一般公共预算财政拨款收入</w:t>
      </w:r>
      <w:r>
        <w:rPr>
          <w:rFonts w:hint="eastAsia" w:ascii="仿宋_GB2312" w:hAnsi="仿宋_GB2312" w:eastAsia="仿宋_GB2312" w:cs="仿宋_GB2312"/>
          <w:sz w:val="32"/>
          <w:szCs w:val="32"/>
        </w:rPr>
        <w:t>426.68</w:t>
      </w:r>
      <w:r>
        <w:rPr>
          <w:rFonts w:hint="eastAsia" w:eastAsia="仿宋_GB2312" w:cs="仿宋_GB2312"/>
          <w:sz w:val="32"/>
          <w:szCs w:val="32"/>
        </w:rPr>
        <w:t>万元，占</w:t>
      </w:r>
      <w:r>
        <w:rPr>
          <w:rFonts w:hint="eastAsia" w:ascii="仿宋_GB2312" w:hAnsi="仿宋_GB2312" w:eastAsia="仿宋_GB2312" w:cs="仿宋_GB2312"/>
          <w:sz w:val="32"/>
          <w:szCs w:val="32"/>
        </w:rPr>
        <w:t>100</w:t>
      </w:r>
      <w:r>
        <w:rPr>
          <w:rFonts w:hint="eastAsia" w:eastAsia="仿宋_GB2312" w:cs="仿宋_GB2312"/>
          <w:sz w:val="32"/>
          <w:szCs w:val="32"/>
        </w:rPr>
        <w:t>%；政府性基金预算财政拨款收入</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%；国有资本经营预算财政拨款收入</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%；上级补助收入</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%；事业收入</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%；经营收入</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%；附属单位上缴收入</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%；其他收入</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%。（图2：收入决算结构图）（饼状图）</w:t>
      </w:r>
    </w:p>
    <w:p w14:paraId="3E331E62">
      <w:pPr>
        <w:ind w:firstLine="525" w:firstLineChars="250"/>
        <w:rPr>
          <w:rFonts w:eastAsia="仿宋_GB2312" w:cs="仿宋_GB2312"/>
          <w:sz w:val="32"/>
          <w:szCs w:val="32"/>
        </w:rPr>
      </w:pPr>
      <w:r>
        <w:rPr>
          <w:rFonts w:hint="eastAsia" w:eastAsia="仿宋_GB2312"/>
        </w:rPr>
        <w:drawing>
          <wp:inline distT="0" distB="0" distL="114300" distR="114300">
            <wp:extent cx="5080000" cy="3810000"/>
            <wp:effectExtent l="4445" t="4445" r="20955" b="1460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05308A1">
      <w:pPr>
        <w:pStyle w:val="28"/>
        <w:spacing w:line="600" w:lineRule="exact"/>
        <w:ind w:firstLine="640"/>
        <w:outlineLvl w:val="1"/>
        <w:rPr>
          <w:rStyle w:val="30"/>
          <w:rFonts w:ascii="Times New Roman" w:hAnsi="Times New Roman" w:eastAsia="黑体"/>
          <w:b w:val="0"/>
        </w:rPr>
      </w:pPr>
      <w:bookmarkStart w:id="22" w:name="_Toc15396605"/>
      <w:bookmarkStart w:id="23" w:name="_Toc15377207"/>
      <w:r>
        <w:rPr>
          <w:rFonts w:hint="eastAsia" w:eastAsia="黑体"/>
          <w:sz w:val="32"/>
          <w:szCs w:val="32"/>
        </w:rPr>
        <w:t>三、支</w:t>
      </w:r>
      <w:r>
        <w:rPr>
          <w:rStyle w:val="30"/>
          <w:rFonts w:hint="eastAsia" w:ascii="Times New Roman" w:hAnsi="Times New Roman" w:eastAsia="黑体"/>
          <w:b w:val="0"/>
        </w:rPr>
        <w:t>出决算情况说明</w:t>
      </w:r>
      <w:bookmarkEnd w:id="22"/>
      <w:bookmarkEnd w:id="23"/>
    </w:p>
    <w:p w14:paraId="70BCF660">
      <w:pPr>
        <w:pStyle w:val="28"/>
        <w:spacing w:line="600" w:lineRule="exact"/>
        <w:ind w:firstLine="640"/>
        <w:outlineLvl w:val="1"/>
        <w:rPr>
          <w:rFonts w:eastAsia="仿宋_GB2312" w:cs="仿宋_GB2312"/>
          <w:b/>
          <w:bCs/>
          <w:sz w:val="32"/>
          <w:szCs w:val="32"/>
        </w:rPr>
      </w:pPr>
      <w:r>
        <w:rPr>
          <w:rFonts w:hint="eastAsia" w:eastAsia="仿宋_GB2312" w:cs="仿宋_GB2312"/>
          <w:sz w:val="32"/>
          <w:szCs w:val="32"/>
        </w:rPr>
        <w:t>2025年度本年支出合计</w:t>
      </w:r>
      <w:r>
        <w:rPr>
          <w:rFonts w:hint="eastAsia" w:ascii="仿宋_GB2312" w:hAnsi="仿宋_GB2312" w:eastAsia="仿宋_GB2312" w:cs="仿宋_GB2312"/>
          <w:sz w:val="32"/>
          <w:szCs w:val="32"/>
        </w:rPr>
        <w:t>426.68</w:t>
      </w:r>
      <w:r>
        <w:rPr>
          <w:rFonts w:hint="eastAsia" w:eastAsia="仿宋_GB2312" w:cs="仿宋_GB2312"/>
          <w:sz w:val="32"/>
          <w:szCs w:val="32"/>
        </w:rPr>
        <w:t>万元，其中：基本支出</w:t>
      </w:r>
      <w:r>
        <w:rPr>
          <w:rFonts w:hint="eastAsia" w:ascii="仿宋_GB2312" w:hAnsi="仿宋_GB2312" w:eastAsia="仿宋_GB2312" w:cs="仿宋_GB2312"/>
          <w:sz w:val="32"/>
          <w:szCs w:val="32"/>
        </w:rPr>
        <w:t>426.68</w:t>
      </w:r>
      <w:r>
        <w:rPr>
          <w:rFonts w:hint="eastAsia" w:eastAsia="仿宋_GB2312" w:cs="仿宋_GB2312"/>
          <w:sz w:val="32"/>
          <w:szCs w:val="32"/>
        </w:rPr>
        <w:t>万元，占</w:t>
      </w:r>
      <w:r>
        <w:rPr>
          <w:rFonts w:hint="eastAsia" w:ascii="仿宋_GB2312" w:hAnsi="仿宋_GB2312" w:eastAsia="仿宋_GB2312" w:cs="仿宋_GB2312"/>
          <w:sz w:val="32"/>
          <w:szCs w:val="32"/>
        </w:rPr>
        <w:t>100</w:t>
      </w:r>
      <w:r>
        <w:rPr>
          <w:rFonts w:hint="eastAsia" w:eastAsia="仿宋_GB2312" w:cs="仿宋_GB2312"/>
          <w:sz w:val="32"/>
          <w:szCs w:val="32"/>
        </w:rPr>
        <w:t>%；项目支出</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%；上缴上级支出</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%；经营支出</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%；对附属单位补助支出</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ascii="仿宋_GB2312" w:hAnsi="仿宋_GB2312" w:eastAsia="仿宋_GB2312" w:cs="仿宋_GB2312"/>
          <w:sz w:val="32"/>
          <w:szCs w:val="32"/>
        </w:rPr>
        <w:t>0</w:t>
      </w:r>
      <w:r>
        <w:rPr>
          <w:rFonts w:hint="eastAsia" w:eastAsia="仿宋_GB2312" w:cs="仿宋_GB2312"/>
          <w:sz w:val="32"/>
          <w:szCs w:val="32"/>
        </w:rPr>
        <w:t>%。</w:t>
      </w:r>
      <w:r>
        <w:rPr>
          <w:rFonts w:hint="eastAsia" w:eastAsia="仿宋_GB2312" w:cs="仿宋_GB2312"/>
          <w:b/>
          <w:bCs/>
          <w:sz w:val="32"/>
          <w:szCs w:val="32"/>
        </w:rPr>
        <w:t>（注：仅罗列本部门涉及的支出）</w:t>
      </w:r>
    </w:p>
    <w:p w14:paraId="121EC083">
      <w:pPr>
        <w:pStyle w:val="28"/>
        <w:spacing w:line="600" w:lineRule="exact"/>
        <w:ind w:firstLine="640"/>
        <w:outlineLvl w:val="1"/>
        <w:rPr>
          <w:rFonts w:eastAsia="仿宋_GB2312" w:cs="仿宋_GB2312"/>
          <w:sz w:val="32"/>
          <w:szCs w:val="32"/>
        </w:rPr>
      </w:pPr>
      <w:r>
        <w:rPr>
          <w:rFonts w:hint="eastAsia" w:eastAsia="仿宋_GB2312" w:cs="仿宋_GB2312"/>
          <w:sz w:val="32"/>
          <w:szCs w:val="32"/>
        </w:rPr>
        <w:t>（图3：支出决算结构图）（饼状图）</w:t>
      </w:r>
    </w:p>
    <w:p w14:paraId="112B3E93">
      <w:pPr>
        <w:ind w:firstLine="525" w:firstLineChars="250"/>
        <w:rPr>
          <w:rFonts w:eastAsia="仿宋_GB2312" w:cs="仿宋_GB2312"/>
          <w:sz w:val="32"/>
          <w:szCs w:val="32"/>
        </w:rPr>
      </w:pPr>
      <w:r>
        <w:rPr>
          <w:rFonts w:hint="eastAsia" w:eastAsia="仿宋_GB2312"/>
        </w:rPr>
        <w:drawing>
          <wp:inline distT="0" distB="0" distL="114300" distR="114300">
            <wp:extent cx="5080000" cy="3810000"/>
            <wp:effectExtent l="4445" t="4445" r="20955" b="1460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8D1D42E">
      <w:pPr>
        <w:spacing w:line="600" w:lineRule="exact"/>
        <w:ind w:firstLine="640" w:firstLineChars="200"/>
        <w:outlineLvl w:val="1"/>
        <w:rPr>
          <w:rStyle w:val="30"/>
          <w:rFonts w:ascii="Times New Roman" w:hAnsi="Times New Roman" w:eastAsia="黑体"/>
          <w:b w:val="0"/>
        </w:rPr>
      </w:pPr>
      <w:bookmarkStart w:id="24" w:name="_Toc15377208"/>
      <w:bookmarkStart w:id="25" w:name="_Toc15396606"/>
      <w:r>
        <w:rPr>
          <w:rFonts w:hint="eastAsia" w:eastAsia="黑体"/>
          <w:sz w:val="32"/>
          <w:szCs w:val="32"/>
        </w:rPr>
        <w:t>四、财</w:t>
      </w:r>
      <w:r>
        <w:rPr>
          <w:rStyle w:val="30"/>
          <w:rFonts w:hint="eastAsia" w:ascii="Times New Roman" w:hAnsi="Times New Roman" w:eastAsia="黑体"/>
          <w:b w:val="0"/>
        </w:rPr>
        <w:t>政拨款收入支出决算总体情况说明</w:t>
      </w:r>
      <w:bookmarkEnd w:id="24"/>
      <w:bookmarkEnd w:id="25"/>
    </w:p>
    <w:p w14:paraId="02C4C9BF">
      <w:pPr>
        <w:spacing w:line="600" w:lineRule="exact"/>
        <w:ind w:firstLine="640"/>
        <w:rPr>
          <w:rFonts w:eastAsia="仿宋_GB2312" w:cs="仿宋_GB2312"/>
          <w:sz w:val="32"/>
          <w:szCs w:val="32"/>
        </w:rPr>
      </w:pPr>
      <w:r>
        <w:rPr>
          <w:rFonts w:hint="eastAsia" w:eastAsia="仿宋_GB2312" w:cs="仿宋_GB2312"/>
          <w:sz w:val="32"/>
          <w:szCs w:val="32"/>
        </w:rPr>
        <w:t>2025年度财政拨款收入、支出总计均为</w:t>
      </w:r>
      <w:r>
        <w:rPr>
          <w:rFonts w:hint="eastAsia" w:ascii="仿宋_GB2312" w:hAnsi="仿宋_GB2312" w:eastAsia="仿宋_GB2312" w:cs="仿宋_GB2312"/>
          <w:sz w:val="32"/>
          <w:szCs w:val="32"/>
        </w:rPr>
        <w:t>426.68</w:t>
      </w:r>
      <w:r>
        <w:rPr>
          <w:rFonts w:hint="eastAsia" w:eastAsia="仿宋_GB2312" w:cs="仿宋_GB2312"/>
          <w:sz w:val="32"/>
          <w:szCs w:val="32"/>
        </w:rPr>
        <w:t>万元。与上年度相比，财政拨款收入、支出总计各增加</w:t>
      </w:r>
      <w:r>
        <w:rPr>
          <w:rFonts w:hint="eastAsia" w:eastAsia="仿宋_GB2312" w:cs="仿宋_GB2312"/>
          <w:sz w:val="32"/>
          <w:szCs w:val="32"/>
          <w:lang w:val="en-US" w:eastAsia="zh-CN"/>
        </w:rPr>
        <w:t>153.77</w:t>
      </w:r>
      <w:r>
        <w:rPr>
          <w:rFonts w:hint="eastAsia" w:eastAsia="仿宋_GB2312" w:cs="仿宋_GB2312"/>
          <w:sz w:val="32"/>
          <w:szCs w:val="32"/>
        </w:rPr>
        <w:t>万元，增长</w:t>
      </w:r>
      <w:r>
        <w:rPr>
          <w:rFonts w:hint="eastAsia" w:eastAsia="仿宋_GB2312" w:cs="仿宋_GB2312"/>
          <w:sz w:val="32"/>
          <w:szCs w:val="32"/>
          <w:lang w:val="en-US" w:eastAsia="zh-CN"/>
        </w:rPr>
        <w:t>56.34</w:t>
      </w:r>
      <w:r>
        <w:rPr>
          <w:rFonts w:hint="eastAsia" w:eastAsia="仿宋_GB2312" w:cs="仿宋_GB2312"/>
          <w:sz w:val="32"/>
          <w:szCs w:val="32"/>
        </w:rPr>
        <w:t>%。主要变动原因是</w:t>
      </w:r>
      <w:r>
        <w:rPr>
          <w:rFonts w:hint="eastAsia" w:eastAsia="仿宋_GB2312" w:cs="仿宋_GB2312"/>
          <w:sz w:val="32"/>
          <w:szCs w:val="32"/>
          <w:lang w:val="en-US" w:eastAsia="zh-CN"/>
        </w:rPr>
        <w:t>人员变动，人员增加，人员经费增加。</w:t>
      </w:r>
    </w:p>
    <w:p w14:paraId="6F764DEC">
      <w:pPr>
        <w:spacing w:line="600" w:lineRule="exact"/>
        <w:ind w:firstLine="640" w:firstLineChars="200"/>
        <w:rPr>
          <w:rFonts w:eastAsia="仿宋_GB2312" w:cs="仿宋_GB2312"/>
          <w:sz w:val="32"/>
          <w:szCs w:val="32"/>
        </w:rPr>
      </w:pPr>
      <w:r>
        <w:rPr>
          <w:rFonts w:hint="eastAsia" w:ascii="仿宋_GB2312" w:eastAsia="仿宋_GB2312"/>
          <w:sz w:val="32"/>
          <w:szCs w:val="32"/>
        </w:rPr>
        <w:drawing>
          <wp:anchor distT="0" distB="0" distL="114300" distR="114300" simplePos="0" relativeHeight="251659264" behindDoc="0" locked="0" layoutInCell="1" allowOverlap="1">
            <wp:simplePos x="0" y="0"/>
            <wp:positionH relativeFrom="column">
              <wp:posOffset>352425</wp:posOffset>
            </wp:positionH>
            <wp:positionV relativeFrom="paragraph">
              <wp:posOffset>489585</wp:posOffset>
            </wp:positionV>
            <wp:extent cx="5080000" cy="2924810"/>
            <wp:effectExtent l="4445" t="4445" r="20955" b="23495"/>
            <wp:wrapTopAndBottom/>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rFonts w:hint="eastAsia" w:eastAsia="仿宋_GB2312" w:cs="仿宋_GB2312"/>
          <w:sz w:val="32"/>
          <w:szCs w:val="32"/>
        </w:rPr>
        <w:t>（图4：财政拨款收、支决算总计变动情况）（柱状图）</w:t>
      </w:r>
    </w:p>
    <w:p w14:paraId="37353C9B">
      <w:pPr>
        <w:spacing w:line="600" w:lineRule="exact"/>
        <w:ind w:firstLine="640"/>
        <w:rPr>
          <w:rFonts w:eastAsia="仿宋_GB2312" w:cs="仿宋_GB2312"/>
          <w:sz w:val="32"/>
          <w:szCs w:val="32"/>
        </w:rPr>
      </w:pPr>
    </w:p>
    <w:p w14:paraId="6B9E6065">
      <w:pPr>
        <w:spacing w:line="600" w:lineRule="exact"/>
        <w:ind w:firstLine="640" w:firstLineChars="200"/>
        <w:outlineLvl w:val="1"/>
        <w:rPr>
          <w:rStyle w:val="30"/>
          <w:rFonts w:ascii="Times New Roman" w:hAnsi="Times New Roman" w:eastAsia="黑体"/>
          <w:b w:val="0"/>
        </w:rPr>
      </w:pPr>
      <w:bookmarkStart w:id="26" w:name="_Toc15377209"/>
      <w:bookmarkStart w:id="27" w:name="_Toc15396607"/>
      <w:r>
        <w:rPr>
          <w:rFonts w:hint="eastAsia" w:eastAsia="黑体"/>
          <w:sz w:val="32"/>
          <w:szCs w:val="32"/>
        </w:rPr>
        <w:t>五、</w:t>
      </w:r>
      <w:r>
        <w:rPr>
          <w:rFonts w:hint="eastAsia" w:eastAsia="黑体"/>
          <w:b/>
          <w:sz w:val="32"/>
          <w:szCs w:val="32"/>
        </w:rPr>
        <w:t>一</w:t>
      </w:r>
      <w:r>
        <w:rPr>
          <w:rStyle w:val="30"/>
          <w:rFonts w:hint="eastAsia" w:ascii="Times New Roman" w:hAnsi="Times New Roman" w:eastAsia="黑体"/>
          <w:b w:val="0"/>
        </w:rPr>
        <w:t>般公共预算财政拨款支出决算情况说明</w:t>
      </w:r>
      <w:bookmarkEnd w:id="26"/>
      <w:bookmarkEnd w:id="27"/>
    </w:p>
    <w:p w14:paraId="4154B769">
      <w:pPr>
        <w:spacing w:line="600" w:lineRule="exact"/>
        <w:ind w:firstLine="643" w:firstLineChars="200"/>
        <w:outlineLvl w:val="2"/>
        <w:rPr>
          <w:rFonts w:eastAsia="楷体_GB2312" w:cs="楷体_GB2312"/>
          <w:b/>
          <w:sz w:val="32"/>
          <w:szCs w:val="32"/>
        </w:rPr>
      </w:pPr>
      <w:bookmarkStart w:id="28" w:name="_Toc15377210"/>
      <w:r>
        <w:rPr>
          <w:rFonts w:hint="eastAsia" w:eastAsia="楷体_GB2312" w:cs="楷体_GB2312"/>
          <w:b/>
          <w:sz w:val="32"/>
          <w:szCs w:val="32"/>
        </w:rPr>
        <w:t>（一）一般公共预算财政拨款支出决算总体情况</w:t>
      </w:r>
      <w:bookmarkEnd w:id="28"/>
    </w:p>
    <w:p w14:paraId="0398CAC9">
      <w:pPr>
        <w:spacing w:line="600" w:lineRule="exact"/>
        <w:ind w:firstLine="640"/>
        <w:rPr>
          <w:rFonts w:eastAsia="仿宋_GB2312" w:cs="仿宋_GB2312"/>
          <w:sz w:val="32"/>
          <w:szCs w:val="32"/>
        </w:rPr>
      </w:pPr>
      <w:r>
        <w:rPr>
          <w:rFonts w:hint="eastAsia" w:eastAsia="仿宋_GB2312" w:cs="仿宋_GB2312"/>
          <w:sz w:val="32"/>
          <w:szCs w:val="32"/>
        </w:rPr>
        <w:t>2025年度一般公共预算财政拨款支出</w:t>
      </w:r>
      <w:r>
        <w:rPr>
          <w:rFonts w:hint="eastAsia" w:ascii="仿宋_GB2312" w:hAnsi="仿宋_GB2312" w:eastAsia="仿宋_GB2312" w:cs="仿宋_GB2312"/>
          <w:sz w:val="32"/>
          <w:szCs w:val="32"/>
        </w:rPr>
        <w:t>426.68</w:t>
      </w:r>
      <w:r>
        <w:rPr>
          <w:rFonts w:hint="eastAsia" w:eastAsia="仿宋_GB2312" w:cs="仿宋_GB2312"/>
          <w:sz w:val="32"/>
          <w:szCs w:val="32"/>
        </w:rPr>
        <w:t>万元，占本年支出合计的</w:t>
      </w:r>
      <w:r>
        <w:rPr>
          <w:rFonts w:hint="eastAsia" w:ascii="仿宋_GB2312" w:hAnsi="仿宋_GB2312" w:eastAsia="仿宋_GB2312" w:cs="仿宋_GB2312"/>
          <w:sz w:val="32"/>
          <w:szCs w:val="32"/>
        </w:rPr>
        <w:t>100</w:t>
      </w:r>
      <w:r>
        <w:rPr>
          <w:rFonts w:hint="eastAsia" w:eastAsia="仿宋_GB2312" w:cs="仿宋_GB2312"/>
          <w:sz w:val="32"/>
          <w:szCs w:val="32"/>
        </w:rPr>
        <w:t>%。与上年度相比，一般公共预算财政拨款支出增加</w:t>
      </w:r>
      <w:r>
        <w:rPr>
          <w:rFonts w:hint="eastAsia" w:eastAsia="仿宋_GB2312" w:cs="仿宋_GB2312"/>
          <w:sz w:val="32"/>
          <w:szCs w:val="32"/>
          <w:lang w:val="en-US" w:eastAsia="zh-CN"/>
        </w:rPr>
        <w:t>153.77</w:t>
      </w:r>
      <w:r>
        <w:rPr>
          <w:rFonts w:hint="eastAsia" w:eastAsia="仿宋_GB2312" w:cs="仿宋_GB2312"/>
          <w:sz w:val="32"/>
          <w:szCs w:val="32"/>
        </w:rPr>
        <w:t>万元，增长</w:t>
      </w:r>
      <w:r>
        <w:rPr>
          <w:rFonts w:hint="eastAsia" w:eastAsia="仿宋_GB2312" w:cs="仿宋_GB2312"/>
          <w:sz w:val="32"/>
          <w:szCs w:val="32"/>
          <w:lang w:val="en-US" w:eastAsia="zh-CN"/>
        </w:rPr>
        <w:t>56.34</w:t>
      </w:r>
      <w:r>
        <w:rPr>
          <w:rFonts w:hint="eastAsia" w:eastAsia="仿宋_GB2312" w:cs="仿宋_GB2312"/>
          <w:sz w:val="32"/>
          <w:szCs w:val="32"/>
        </w:rPr>
        <w:t>%。主要变动原因是</w:t>
      </w:r>
      <w:r>
        <w:rPr>
          <w:rFonts w:hint="eastAsia" w:eastAsia="仿宋_GB2312" w:cs="仿宋_GB2312"/>
          <w:sz w:val="32"/>
          <w:szCs w:val="32"/>
          <w:lang w:val="en-US" w:eastAsia="zh-CN"/>
        </w:rPr>
        <w:t>人员变动，人员增加，人员经费增加。</w:t>
      </w:r>
      <w:r>
        <w:rPr>
          <w:rFonts w:hint="eastAsia" w:eastAsia="仿宋_GB2312" w:cs="仿宋_GB2312"/>
          <w:sz w:val="32"/>
          <w:szCs w:val="32"/>
        </w:rPr>
        <w:t>（图5：一般公共预算财政拨款支出决算变动情况）（柱状图）</w:t>
      </w:r>
    </w:p>
    <w:p w14:paraId="2CEB2B8C">
      <w:pPr>
        <w:spacing w:line="600" w:lineRule="exact"/>
        <w:ind w:firstLine="640"/>
        <w:rPr>
          <w:rFonts w:eastAsia="仿宋_GB2312" w:cs="仿宋_GB2312"/>
          <w:sz w:val="32"/>
          <w:szCs w:val="32"/>
        </w:rPr>
      </w:pPr>
      <w:r>
        <w:rPr>
          <w:rFonts w:hint="eastAsia" w:ascii="仿宋_GB2312" w:eastAsia="仿宋_GB2312"/>
          <w:sz w:val="32"/>
          <w:szCs w:val="32"/>
        </w:rPr>
        <w:drawing>
          <wp:anchor distT="0" distB="0" distL="114300" distR="114300" simplePos="0" relativeHeight="251660288" behindDoc="0" locked="0" layoutInCell="1" allowOverlap="1">
            <wp:simplePos x="0" y="0"/>
            <wp:positionH relativeFrom="column">
              <wp:posOffset>314325</wp:posOffset>
            </wp:positionH>
            <wp:positionV relativeFrom="paragraph">
              <wp:posOffset>152400</wp:posOffset>
            </wp:positionV>
            <wp:extent cx="5080000" cy="2324735"/>
            <wp:effectExtent l="4445" t="4445" r="20955" b="13970"/>
            <wp:wrapTopAndBottom/>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6F70EEA6">
      <w:pPr>
        <w:spacing w:line="600" w:lineRule="exact"/>
        <w:ind w:firstLine="643" w:firstLineChars="200"/>
        <w:outlineLvl w:val="2"/>
        <w:rPr>
          <w:rFonts w:eastAsia="楷体_GB2312" w:cs="楷体_GB2312"/>
          <w:b/>
          <w:sz w:val="32"/>
          <w:szCs w:val="32"/>
        </w:rPr>
      </w:pPr>
      <w:bookmarkStart w:id="29" w:name="_Toc15377211"/>
      <w:r>
        <w:rPr>
          <w:rFonts w:hint="eastAsia" w:eastAsia="楷体_GB2312" w:cs="楷体_GB2312"/>
          <w:b/>
          <w:sz w:val="32"/>
          <w:szCs w:val="32"/>
        </w:rPr>
        <w:t>（二）一般公共预算财政拨款支出决算结构情况</w:t>
      </w:r>
      <w:bookmarkEnd w:id="29"/>
    </w:p>
    <w:p w14:paraId="1EFF08E3">
      <w:pPr>
        <w:spacing w:line="600" w:lineRule="exact"/>
        <w:ind w:firstLine="640"/>
        <w:rPr>
          <w:rFonts w:hint="eastAsia" w:eastAsia="仿宋_GB2312" w:cs="仿宋_GB2312"/>
          <w:sz w:val="32"/>
          <w:szCs w:val="32"/>
          <w:lang w:eastAsia="zh-CN"/>
        </w:rPr>
      </w:pPr>
      <w:r>
        <w:rPr>
          <w:rFonts w:hint="eastAsia" w:eastAsia="仿宋_GB2312" w:cs="仿宋_GB2312"/>
          <w:sz w:val="32"/>
          <w:szCs w:val="32"/>
        </w:rPr>
        <w:t>2025年度一般公共预算财政拨款支出</w:t>
      </w:r>
      <w:r>
        <w:rPr>
          <w:rFonts w:hint="eastAsia" w:ascii="仿宋_GB2312" w:hAnsi="仿宋_GB2312" w:eastAsia="仿宋_GB2312" w:cs="仿宋_GB2312"/>
          <w:sz w:val="32"/>
          <w:szCs w:val="32"/>
        </w:rPr>
        <w:t>426.68</w:t>
      </w:r>
      <w:r>
        <w:rPr>
          <w:rFonts w:hint="eastAsia" w:eastAsia="仿宋_GB2312" w:cs="仿宋_GB2312"/>
          <w:sz w:val="32"/>
          <w:szCs w:val="32"/>
        </w:rPr>
        <w:t>万元，主要用于以下方面：一般公共服务支出</w:t>
      </w:r>
      <w:r>
        <w:rPr>
          <w:rFonts w:hint="eastAsia" w:eastAsia="仿宋_GB2312" w:cs="仿宋_GB2312"/>
          <w:sz w:val="32"/>
          <w:szCs w:val="32"/>
          <w:lang w:val="en-US" w:eastAsia="zh-CN"/>
        </w:rPr>
        <w:t>0</w:t>
      </w:r>
      <w:r>
        <w:rPr>
          <w:rFonts w:hint="eastAsia" w:eastAsia="仿宋_GB2312" w:cs="仿宋_GB2312"/>
          <w:sz w:val="32"/>
          <w:szCs w:val="32"/>
        </w:rPr>
        <w:t>万元，占</w:t>
      </w:r>
      <w:r>
        <w:rPr>
          <w:rFonts w:hint="eastAsia" w:eastAsia="仿宋_GB2312" w:cs="仿宋_GB2312"/>
          <w:sz w:val="32"/>
          <w:szCs w:val="32"/>
          <w:lang w:val="en-US" w:eastAsia="zh-CN"/>
        </w:rPr>
        <w:t>0</w:t>
      </w:r>
      <w:r>
        <w:rPr>
          <w:rFonts w:hint="eastAsia" w:eastAsia="仿宋_GB2312" w:cs="仿宋_GB2312"/>
          <w:sz w:val="32"/>
          <w:szCs w:val="32"/>
        </w:rPr>
        <w:t>%；教育支出</w:t>
      </w:r>
      <w:r>
        <w:rPr>
          <w:rFonts w:hint="eastAsia" w:eastAsia="仿宋_GB2312" w:cs="仿宋_GB2312"/>
          <w:sz w:val="32"/>
          <w:szCs w:val="32"/>
          <w:lang w:val="en-US" w:eastAsia="zh-CN"/>
        </w:rPr>
        <w:t>0</w:t>
      </w:r>
      <w:r>
        <w:rPr>
          <w:rFonts w:hint="eastAsia" w:eastAsia="仿宋_GB2312" w:cs="仿宋_GB2312"/>
          <w:sz w:val="32"/>
          <w:szCs w:val="32"/>
        </w:rPr>
        <w:t>万元，占</w:t>
      </w:r>
      <w:r>
        <w:rPr>
          <w:rFonts w:hint="eastAsia" w:eastAsia="仿宋_GB2312" w:cs="仿宋_GB2312"/>
          <w:sz w:val="32"/>
          <w:szCs w:val="32"/>
          <w:lang w:val="en-US" w:eastAsia="zh-CN"/>
        </w:rPr>
        <w:t>0</w:t>
      </w:r>
      <w:r>
        <w:rPr>
          <w:rFonts w:hint="eastAsia" w:eastAsia="仿宋_GB2312" w:cs="仿宋_GB2312"/>
          <w:sz w:val="32"/>
          <w:szCs w:val="32"/>
        </w:rPr>
        <w:t>%；科学技术支出</w:t>
      </w:r>
      <w:r>
        <w:rPr>
          <w:rFonts w:hint="eastAsia" w:eastAsia="仿宋_GB2312" w:cs="仿宋_GB2312"/>
          <w:sz w:val="32"/>
          <w:szCs w:val="32"/>
          <w:lang w:val="en-US" w:eastAsia="zh-CN"/>
        </w:rPr>
        <w:t>0</w:t>
      </w:r>
      <w:r>
        <w:rPr>
          <w:rFonts w:hint="eastAsia" w:eastAsia="仿宋_GB2312" w:cs="仿宋_GB2312"/>
          <w:sz w:val="32"/>
          <w:szCs w:val="32"/>
        </w:rPr>
        <w:t>万元，占</w:t>
      </w:r>
      <w:r>
        <w:rPr>
          <w:rFonts w:hint="eastAsia" w:eastAsia="仿宋_GB2312" w:cs="仿宋_GB2312"/>
          <w:sz w:val="32"/>
          <w:szCs w:val="32"/>
          <w:lang w:val="en-US" w:eastAsia="zh-CN"/>
        </w:rPr>
        <w:t>0</w:t>
      </w:r>
      <w:r>
        <w:rPr>
          <w:rFonts w:hint="eastAsia" w:eastAsia="仿宋_GB2312" w:cs="仿宋_GB2312"/>
          <w:sz w:val="32"/>
          <w:szCs w:val="32"/>
        </w:rPr>
        <w:t>%；文化旅游体育与传媒支出</w:t>
      </w:r>
      <w:r>
        <w:rPr>
          <w:rFonts w:hint="eastAsia" w:eastAsia="仿宋_GB2312" w:cs="仿宋_GB2312"/>
          <w:sz w:val="32"/>
          <w:szCs w:val="32"/>
          <w:lang w:val="en-US" w:eastAsia="zh-CN"/>
        </w:rPr>
        <w:t>320.03</w:t>
      </w:r>
      <w:r>
        <w:rPr>
          <w:rFonts w:hint="eastAsia" w:eastAsia="仿宋_GB2312" w:cs="仿宋_GB2312"/>
          <w:sz w:val="32"/>
          <w:szCs w:val="32"/>
        </w:rPr>
        <w:t>万元，占</w:t>
      </w:r>
      <w:r>
        <w:rPr>
          <w:rFonts w:hint="eastAsia" w:eastAsia="仿宋_GB2312" w:cs="仿宋_GB2312"/>
          <w:sz w:val="32"/>
          <w:szCs w:val="32"/>
          <w:lang w:val="en-US" w:eastAsia="zh-CN"/>
        </w:rPr>
        <w:t>75</w:t>
      </w:r>
      <w:r>
        <w:rPr>
          <w:rFonts w:hint="eastAsia" w:eastAsia="仿宋_GB2312" w:cs="仿宋_GB2312"/>
          <w:sz w:val="32"/>
          <w:szCs w:val="32"/>
        </w:rPr>
        <w:t>%；社会保障和就业支出</w:t>
      </w:r>
      <w:r>
        <w:rPr>
          <w:rFonts w:hint="eastAsia" w:eastAsia="仿宋_GB2312" w:cs="仿宋_GB2312"/>
          <w:sz w:val="32"/>
          <w:szCs w:val="32"/>
          <w:lang w:val="en-US" w:eastAsia="zh-CN"/>
        </w:rPr>
        <w:t>56.86</w:t>
      </w:r>
      <w:r>
        <w:rPr>
          <w:rFonts w:hint="eastAsia" w:eastAsia="仿宋_GB2312" w:cs="仿宋_GB2312"/>
          <w:sz w:val="32"/>
          <w:szCs w:val="32"/>
        </w:rPr>
        <w:t>万元，占</w:t>
      </w:r>
      <w:r>
        <w:rPr>
          <w:rFonts w:hint="eastAsia" w:eastAsia="仿宋_GB2312" w:cs="仿宋_GB2312"/>
          <w:sz w:val="32"/>
          <w:szCs w:val="32"/>
          <w:lang w:val="en-US" w:eastAsia="zh-CN"/>
        </w:rPr>
        <w:t>13.33</w:t>
      </w:r>
      <w:r>
        <w:rPr>
          <w:rFonts w:hint="eastAsia" w:eastAsia="仿宋_GB2312" w:cs="仿宋_GB2312"/>
          <w:sz w:val="32"/>
          <w:szCs w:val="32"/>
        </w:rPr>
        <w:t>%；卫生健康支出</w:t>
      </w:r>
      <w:r>
        <w:rPr>
          <w:rFonts w:hint="eastAsia" w:eastAsia="仿宋_GB2312" w:cs="仿宋_GB2312"/>
          <w:sz w:val="32"/>
          <w:szCs w:val="32"/>
          <w:lang w:val="en-US" w:eastAsia="zh-CN"/>
        </w:rPr>
        <w:t>18.3</w:t>
      </w:r>
      <w:r>
        <w:rPr>
          <w:rFonts w:hint="eastAsia" w:eastAsia="仿宋_GB2312" w:cs="仿宋_GB2312"/>
          <w:sz w:val="32"/>
          <w:szCs w:val="32"/>
        </w:rPr>
        <w:t>万元，占</w:t>
      </w:r>
      <w:r>
        <w:rPr>
          <w:rFonts w:hint="eastAsia" w:eastAsia="仿宋_GB2312" w:cs="仿宋_GB2312"/>
          <w:sz w:val="32"/>
          <w:szCs w:val="32"/>
          <w:lang w:val="en-US" w:eastAsia="zh-CN"/>
        </w:rPr>
        <w:t>4.29</w:t>
      </w:r>
      <w:r>
        <w:rPr>
          <w:rFonts w:hint="eastAsia" w:eastAsia="仿宋_GB2312" w:cs="仿宋_GB2312"/>
          <w:sz w:val="32"/>
          <w:szCs w:val="32"/>
        </w:rPr>
        <w:t>%；住房保障支出</w:t>
      </w:r>
      <w:r>
        <w:rPr>
          <w:rFonts w:hint="eastAsia" w:eastAsia="仿宋_GB2312" w:cs="仿宋_GB2312"/>
          <w:sz w:val="32"/>
          <w:szCs w:val="32"/>
          <w:lang w:val="en-US" w:eastAsia="zh-CN"/>
        </w:rPr>
        <w:t>31.5</w:t>
      </w:r>
      <w:r>
        <w:rPr>
          <w:rFonts w:hint="eastAsia" w:eastAsia="仿宋_GB2312" w:cs="仿宋_GB2312"/>
          <w:sz w:val="32"/>
          <w:szCs w:val="32"/>
        </w:rPr>
        <w:t>万元，占</w:t>
      </w:r>
      <w:r>
        <w:rPr>
          <w:rFonts w:hint="eastAsia" w:eastAsia="仿宋_GB2312" w:cs="仿宋_GB2312"/>
          <w:sz w:val="32"/>
          <w:szCs w:val="32"/>
          <w:lang w:val="en-US" w:eastAsia="zh-CN"/>
        </w:rPr>
        <w:t>7.38</w:t>
      </w:r>
      <w:r>
        <w:rPr>
          <w:rFonts w:hint="eastAsia" w:eastAsia="仿宋_GB2312" w:cs="仿宋_GB2312"/>
          <w:sz w:val="32"/>
          <w:szCs w:val="32"/>
        </w:rPr>
        <w:t>%</w:t>
      </w:r>
      <w:r>
        <w:rPr>
          <w:rFonts w:hint="eastAsia" w:eastAsia="仿宋_GB2312" w:cs="仿宋_GB2312"/>
          <w:sz w:val="32"/>
          <w:szCs w:val="32"/>
          <w:lang w:eastAsia="zh-CN"/>
        </w:rPr>
        <w:t>。</w:t>
      </w:r>
    </w:p>
    <w:p w14:paraId="7039CFC2">
      <w:pPr>
        <w:spacing w:line="600" w:lineRule="exact"/>
        <w:ind w:firstLine="640"/>
        <w:rPr>
          <w:rFonts w:eastAsia="仿宋_GB2312" w:cs="仿宋_GB2312"/>
          <w:sz w:val="32"/>
          <w:szCs w:val="32"/>
        </w:rPr>
      </w:pPr>
      <w:r>
        <w:rPr>
          <w:rFonts w:hint="eastAsia" w:eastAsia="仿宋_GB2312" w:cs="仿宋_GB2312"/>
          <w:sz w:val="32"/>
          <w:szCs w:val="32"/>
        </w:rPr>
        <w:t>（图6：一般公共预算财政拨款支出决算结构）（饼状图）</w:t>
      </w:r>
    </w:p>
    <w:p w14:paraId="04FA3E7C">
      <w:pPr>
        <w:spacing w:line="600" w:lineRule="exact"/>
        <w:ind w:firstLine="640"/>
        <w:rPr>
          <w:rFonts w:eastAsia="仿宋_GB2312" w:cs="仿宋_GB2312"/>
          <w:sz w:val="32"/>
          <w:szCs w:val="32"/>
        </w:rPr>
      </w:pPr>
      <w:r>
        <w:rPr>
          <w:rFonts w:hint="eastAsia" w:eastAsia="仿宋"/>
        </w:rPr>
        <w:drawing>
          <wp:anchor distT="0" distB="0" distL="114300" distR="114300" simplePos="0" relativeHeight="251661312" behindDoc="0" locked="0" layoutInCell="1" allowOverlap="1">
            <wp:simplePos x="0" y="0"/>
            <wp:positionH relativeFrom="column">
              <wp:posOffset>299720</wp:posOffset>
            </wp:positionH>
            <wp:positionV relativeFrom="paragraph">
              <wp:posOffset>80010</wp:posOffset>
            </wp:positionV>
            <wp:extent cx="5080000" cy="3810000"/>
            <wp:effectExtent l="4445" t="4445" r="20955" b="14605"/>
            <wp:wrapTopAndBottom/>
            <wp:docPr id="16" name="图表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007C11B0">
      <w:pPr>
        <w:spacing w:line="600" w:lineRule="exact"/>
        <w:ind w:firstLine="643" w:firstLineChars="200"/>
        <w:outlineLvl w:val="2"/>
        <w:rPr>
          <w:rFonts w:eastAsia="楷体_GB2312" w:cs="楷体_GB2312"/>
          <w:b/>
          <w:sz w:val="32"/>
          <w:szCs w:val="32"/>
        </w:rPr>
      </w:pPr>
      <w:bookmarkStart w:id="30" w:name="_Toc15377212"/>
      <w:r>
        <w:rPr>
          <w:rFonts w:hint="eastAsia" w:eastAsia="楷体_GB2312" w:cs="楷体_GB2312"/>
          <w:b/>
          <w:sz w:val="32"/>
          <w:szCs w:val="32"/>
        </w:rPr>
        <w:t>（三）一般公共预算财政拨款支出决算具体情况</w:t>
      </w:r>
      <w:bookmarkEnd w:id="30"/>
    </w:p>
    <w:p w14:paraId="48D73E99">
      <w:pPr>
        <w:spacing w:line="600" w:lineRule="exact"/>
        <w:ind w:firstLine="640"/>
        <w:rPr>
          <w:rFonts w:eastAsia="仿宋_GB2312" w:cs="仿宋_GB2312"/>
          <w:sz w:val="32"/>
          <w:szCs w:val="32"/>
        </w:rPr>
      </w:pPr>
      <w:bookmarkStart w:id="31" w:name="_Toc15377213"/>
      <w:bookmarkStart w:id="32" w:name="_Toc15377444"/>
      <w:bookmarkStart w:id="33" w:name="_Toc15378460"/>
      <w:r>
        <w:rPr>
          <w:rFonts w:hint="eastAsia" w:eastAsia="仿宋_GB2312" w:cs="仿宋_GB2312"/>
          <w:sz w:val="32"/>
          <w:szCs w:val="32"/>
        </w:rPr>
        <w:t>2025年度一般公共预算支出决算数为</w:t>
      </w:r>
      <w:r>
        <w:rPr>
          <w:rFonts w:hint="eastAsia" w:ascii="仿宋_GB2312" w:hAnsi="仿宋_GB2312" w:eastAsia="仿宋_GB2312" w:cs="仿宋_GB2312"/>
          <w:sz w:val="32"/>
          <w:szCs w:val="32"/>
        </w:rPr>
        <w:t>426.68</w:t>
      </w:r>
      <w:r>
        <w:rPr>
          <w:rFonts w:hint="eastAsia" w:eastAsia="仿宋_GB2312" w:cs="仿宋_GB2312"/>
          <w:sz w:val="32"/>
          <w:szCs w:val="32"/>
        </w:rPr>
        <w:t>，完成预算</w:t>
      </w:r>
      <w:r>
        <w:rPr>
          <w:rFonts w:hint="eastAsia" w:eastAsia="仿宋_GB2312" w:cs="仿宋_GB2312"/>
          <w:sz w:val="32"/>
          <w:szCs w:val="32"/>
          <w:lang w:val="en-US" w:eastAsia="zh-CN"/>
        </w:rPr>
        <w:t>100</w:t>
      </w:r>
      <w:r>
        <w:rPr>
          <w:rFonts w:hint="eastAsia" w:eastAsia="仿宋_GB2312" w:cs="仿宋_GB2312"/>
          <w:sz w:val="32"/>
          <w:szCs w:val="32"/>
        </w:rPr>
        <w:t>%。其中：</w:t>
      </w:r>
      <w:bookmarkEnd w:id="31"/>
      <w:bookmarkEnd w:id="32"/>
      <w:bookmarkEnd w:id="33"/>
    </w:p>
    <w:p w14:paraId="19737741">
      <w:pPr>
        <w:numPr>
          <w:ilvl w:val="0"/>
          <w:numId w:val="2"/>
        </w:numPr>
        <w:spacing w:line="600" w:lineRule="exact"/>
        <w:ind w:firstLine="640"/>
        <w:rPr>
          <w:rFonts w:hint="eastAsia" w:eastAsia="仿宋_GB2312" w:cs="仿宋_GB2312"/>
          <w:sz w:val="32"/>
          <w:szCs w:val="32"/>
        </w:rPr>
      </w:pPr>
      <w:r>
        <w:rPr>
          <w:rFonts w:hint="eastAsia" w:eastAsia="仿宋_GB2312" w:cs="仿宋_GB2312"/>
          <w:sz w:val="32"/>
          <w:szCs w:val="32"/>
        </w:rPr>
        <w:t>一般公共服务（类）</w:t>
      </w:r>
      <w:r>
        <w:rPr>
          <w:rFonts w:hint="eastAsia" w:eastAsia="仿宋_GB2312" w:cs="仿宋_GB2312"/>
          <w:sz w:val="32"/>
          <w:szCs w:val="32"/>
          <w:lang w:val="en-US" w:eastAsia="zh-CN"/>
        </w:rPr>
        <w:t>201</w:t>
      </w:r>
      <w:r>
        <w:rPr>
          <w:rFonts w:hint="eastAsia" w:eastAsia="仿宋_GB2312" w:cs="仿宋_GB2312"/>
          <w:sz w:val="32"/>
          <w:szCs w:val="32"/>
        </w:rPr>
        <w:t>（款）</w:t>
      </w:r>
      <w:r>
        <w:rPr>
          <w:rFonts w:hint="eastAsia" w:eastAsia="仿宋_GB2312" w:cs="仿宋_GB2312"/>
          <w:sz w:val="32"/>
          <w:szCs w:val="32"/>
          <w:lang w:val="en-US" w:eastAsia="zh-CN"/>
        </w:rPr>
        <w:t>01</w:t>
      </w:r>
      <w:r>
        <w:rPr>
          <w:rFonts w:hint="eastAsia" w:eastAsia="仿宋_GB2312" w:cs="仿宋_GB2312"/>
          <w:sz w:val="32"/>
          <w:szCs w:val="32"/>
        </w:rPr>
        <w:t>（项）：支出决算为</w:t>
      </w:r>
      <w:r>
        <w:rPr>
          <w:rFonts w:hint="eastAsia" w:eastAsia="仿宋_GB2312" w:cs="仿宋_GB2312"/>
          <w:sz w:val="32"/>
          <w:szCs w:val="32"/>
          <w:lang w:val="en-US" w:eastAsia="zh-CN"/>
        </w:rPr>
        <w:t>0</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%，决算数等于预算数</w:t>
      </w:r>
    </w:p>
    <w:p w14:paraId="6136CA86">
      <w:pPr>
        <w:numPr>
          <w:ilvl w:val="0"/>
          <w:numId w:val="0"/>
        </w:numPr>
        <w:spacing w:line="600" w:lineRule="exact"/>
        <w:ind w:firstLine="640" w:firstLineChars="200"/>
        <w:rPr>
          <w:rFonts w:hint="eastAsia" w:eastAsia="仿宋_GB2312" w:cs="仿宋_GB2312"/>
          <w:sz w:val="32"/>
          <w:szCs w:val="32"/>
          <w:lang w:eastAsia="zh-CN"/>
        </w:rPr>
      </w:pPr>
      <w:r>
        <w:rPr>
          <w:rFonts w:hint="eastAsia" w:eastAsia="仿宋_GB2312" w:cs="仿宋_GB2312"/>
          <w:sz w:val="32"/>
          <w:szCs w:val="32"/>
        </w:rPr>
        <w:t>2.教育（类）</w:t>
      </w:r>
      <w:r>
        <w:rPr>
          <w:rFonts w:hint="eastAsia" w:eastAsia="仿宋_GB2312" w:cs="仿宋_GB2312"/>
          <w:sz w:val="32"/>
          <w:szCs w:val="32"/>
          <w:lang w:val="en-US" w:eastAsia="zh-CN"/>
        </w:rPr>
        <w:t>205</w:t>
      </w:r>
      <w:r>
        <w:rPr>
          <w:rFonts w:hint="eastAsia" w:eastAsia="仿宋_GB2312" w:cs="仿宋_GB2312"/>
          <w:sz w:val="32"/>
          <w:szCs w:val="32"/>
        </w:rPr>
        <w:t>（款）</w:t>
      </w:r>
      <w:r>
        <w:rPr>
          <w:rFonts w:hint="eastAsia" w:eastAsia="仿宋_GB2312" w:cs="仿宋_GB2312"/>
          <w:sz w:val="32"/>
          <w:szCs w:val="32"/>
          <w:lang w:val="en-US" w:eastAsia="zh-CN"/>
        </w:rPr>
        <w:t>01</w:t>
      </w:r>
      <w:r>
        <w:rPr>
          <w:rFonts w:hint="eastAsia" w:eastAsia="仿宋_GB2312" w:cs="仿宋_GB2312"/>
          <w:sz w:val="32"/>
          <w:szCs w:val="32"/>
        </w:rPr>
        <w:t>（项）</w:t>
      </w:r>
      <w:r>
        <w:rPr>
          <w:rFonts w:hint="eastAsia" w:eastAsia="仿宋_GB2312" w:cs="仿宋_GB2312"/>
          <w:sz w:val="32"/>
          <w:szCs w:val="32"/>
          <w:lang w:eastAsia="zh-CN"/>
        </w:rPr>
        <w:t>：</w:t>
      </w:r>
      <w:r>
        <w:rPr>
          <w:rFonts w:hint="eastAsia" w:eastAsia="仿宋_GB2312" w:cs="仿宋_GB2312"/>
          <w:sz w:val="32"/>
          <w:szCs w:val="32"/>
        </w:rPr>
        <w:t xml:space="preserve"> 支出决算为</w:t>
      </w:r>
      <w:r>
        <w:rPr>
          <w:rFonts w:hint="eastAsia" w:eastAsia="仿宋_GB2312" w:cs="仿宋_GB2312"/>
          <w:sz w:val="32"/>
          <w:szCs w:val="32"/>
          <w:lang w:val="en-US" w:eastAsia="zh-CN"/>
        </w:rPr>
        <w:t>0</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%，决算数等于预算数</w:t>
      </w:r>
      <w:r>
        <w:rPr>
          <w:rFonts w:hint="eastAsia" w:eastAsia="仿宋_GB2312" w:cs="仿宋_GB2312"/>
          <w:sz w:val="32"/>
          <w:szCs w:val="32"/>
          <w:lang w:eastAsia="zh-CN"/>
        </w:rPr>
        <w:t>。</w:t>
      </w:r>
    </w:p>
    <w:p w14:paraId="585646E0">
      <w:pPr>
        <w:spacing w:line="600" w:lineRule="exact"/>
        <w:ind w:firstLine="640"/>
        <w:rPr>
          <w:rFonts w:hint="eastAsia" w:eastAsia="仿宋_GB2312" w:cs="仿宋_GB2312"/>
          <w:sz w:val="32"/>
          <w:szCs w:val="32"/>
          <w:lang w:eastAsia="zh-CN"/>
        </w:rPr>
      </w:pPr>
      <w:r>
        <w:rPr>
          <w:rFonts w:hint="eastAsia" w:eastAsia="仿宋_GB2312" w:cs="仿宋_GB2312"/>
          <w:sz w:val="32"/>
          <w:szCs w:val="32"/>
        </w:rPr>
        <w:t>3.科学技术（类）</w:t>
      </w:r>
      <w:r>
        <w:rPr>
          <w:rFonts w:hint="eastAsia" w:eastAsia="仿宋_GB2312" w:cs="仿宋_GB2312"/>
          <w:sz w:val="32"/>
          <w:szCs w:val="32"/>
          <w:lang w:val="en-US" w:eastAsia="zh-CN"/>
        </w:rPr>
        <w:t>206</w:t>
      </w:r>
      <w:r>
        <w:rPr>
          <w:rFonts w:hint="eastAsia" w:eastAsia="仿宋_GB2312" w:cs="仿宋_GB2312"/>
          <w:sz w:val="32"/>
          <w:szCs w:val="32"/>
        </w:rPr>
        <w:t>（款）</w:t>
      </w:r>
      <w:r>
        <w:rPr>
          <w:rFonts w:hint="eastAsia" w:eastAsia="仿宋_GB2312" w:cs="仿宋_GB2312"/>
          <w:sz w:val="32"/>
          <w:szCs w:val="32"/>
          <w:lang w:val="en-US" w:eastAsia="zh-CN"/>
        </w:rPr>
        <w:t>01</w:t>
      </w:r>
      <w:r>
        <w:rPr>
          <w:rFonts w:hint="eastAsia" w:eastAsia="仿宋_GB2312" w:cs="仿宋_GB2312"/>
          <w:sz w:val="32"/>
          <w:szCs w:val="32"/>
        </w:rPr>
        <w:t>（项）：支出决算为</w:t>
      </w:r>
      <w:r>
        <w:rPr>
          <w:rFonts w:hint="eastAsia" w:eastAsia="仿宋_GB2312" w:cs="仿宋_GB2312"/>
          <w:sz w:val="32"/>
          <w:szCs w:val="32"/>
          <w:lang w:val="en-US" w:eastAsia="zh-CN"/>
        </w:rPr>
        <w:t>0</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%，决算数等于预算数</w:t>
      </w:r>
      <w:r>
        <w:rPr>
          <w:rFonts w:hint="eastAsia" w:eastAsia="仿宋_GB2312" w:cs="仿宋_GB2312"/>
          <w:sz w:val="32"/>
          <w:szCs w:val="32"/>
          <w:lang w:eastAsia="zh-CN"/>
        </w:rPr>
        <w:t>。</w:t>
      </w:r>
    </w:p>
    <w:p w14:paraId="0BF8627F">
      <w:pPr>
        <w:spacing w:line="600" w:lineRule="exact"/>
        <w:ind w:firstLine="640"/>
        <w:rPr>
          <w:rFonts w:hint="eastAsia" w:eastAsia="仿宋_GB2312" w:cs="仿宋_GB2312"/>
          <w:sz w:val="32"/>
          <w:szCs w:val="32"/>
          <w:lang w:eastAsia="zh-CN"/>
        </w:rPr>
      </w:pPr>
      <w:r>
        <w:rPr>
          <w:rFonts w:hint="eastAsia" w:eastAsia="仿宋_GB2312" w:cs="仿宋_GB2312"/>
          <w:sz w:val="32"/>
          <w:szCs w:val="32"/>
        </w:rPr>
        <w:t>4.文化旅游体育与传媒（类）</w:t>
      </w:r>
      <w:r>
        <w:rPr>
          <w:rFonts w:hint="eastAsia" w:eastAsia="仿宋_GB2312" w:cs="仿宋_GB2312"/>
          <w:sz w:val="32"/>
          <w:szCs w:val="32"/>
          <w:lang w:val="en-US" w:eastAsia="zh-CN"/>
        </w:rPr>
        <w:t>207</w:t>
      </w:r>
      <w:r>
        <w:rPr>
          <w:rFonts w:hint="eastAsia" w:eastAsia="仿宋_GB2312" w:cs="仿宋_GB2312"/>
          <w:sz w:val="32"/>
          <w:szCs w:val="32"/>
        </w:rPr>
        <w:t>（款）</w:t>
      </w:r>
      <w:r>
        <w:rPr>
          <w:rFonts w:hint="eastAsia" w:eastAsia="仿宋_GB2312" w:cs="仿宋_GB2312"/>
          <w:sz w:val="32"/>
          <w:szCs w:val="32"/>
          <w:lang w:val="en-US" w:eastAsia="zh-CN"/>
        </w:rPr>
        <w:t>03</w:t>
      </w:r>
      <w:r>
        <w:rPr>
          <w:rFonts w:hint="eastAsia" w:eastAsia="仿宋_GB2312" w:cs="仿宋_GB2312"/>
          <w:sz w:val="32"/>
          <w:szCs w:val="32"/>
        </w:rPr>
        <w:t>（项）：支出决算为</w:t>
      </w:r>
      <w:r>
        <w:rPr>
          <w:rFonts w:hint="eastAsia" w:eastAsia="仿宋_GB2312" w:cs="仿宋_GB2312"/>
          <w:sz w:val="32"/>
          <w:szCs w:val="32"/>
          <w:lang w:val="en-US" w:eastAsia="zh-CN"/>
        </w:rPr>
        <w:t>320.03</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%，决算数等于预算数</w:t>
      </w:r>
      <w:r>
        <w:rPr>
          <w:rFonts w:hint="eastAsia" w:eastAsia="仿宋_GB2312" w:cs="仿宋_GB2312"/>
          <w:sz w:val="32"/>
          <w:szCs w:val="32"/>
          <w:lang w:eastAsia="zh-CN"/>
        </w:rPr>
        <w:t>。</w:t>
      </w:r>
    </w:p>
    <w:p w14:paraId="086DBD89">
      <w:pPr>
        <w:spacing w:line="600" w:lineRule="exact"/>
        <w:ind w:firstLine="640"/>
        <w:rPr>
          <w:rFonts w:hint="eastAsia" w:eastAsia="仿宋_GB2312" w:cs="仿宋_GB2312"/>
          <w:sz w:val="32"/>
          <w:szCs w:val="32"/>
          <w:lang w:eastAsia="zh-CN"/>
        </w:rPr>
      </w:pPr>
      <w:r>
        <w:rPr>
          <w:rFonts w:hint="eastAsia" w:eastAsia="仿宋_GB2312" w:cs="仿宋_GB2312"/>
          <w:sz w:val="32"/>
          <w:szCs w:val="32"/>
        </w:rPr>
        <w:t>5.社会保障和就业（类）</w:t>
      </w:r>
      <w:r>
        <w:rPr>
          <w:rFonts w:hint="eastAsia" w:eastAsia="仿宋_GB2312" w:cs="仿宋_GB2312"/>
          <w:sz w:val="32"/>
          <w:szCs w:val="32"/>
          <w:lang w:val="en-US" w:eastAsia="zh-CN"/>
        </w:rPr>
        <w:t>208</w:t>
      </w:r>
      <w:r>
        <w:rPr>
          <w:rFonts w:hint="eastAsia" w:eastAsia="仿宋_GB2312" w:cs="仿宋_GB2312"/>
          <w:sz w:val="32"/>
          <w:szCs w:val="32"/>
        </w:rPr>
        <w:t>（款）</w:t>
      </w:r>
      <w:r>
        <w:rPr>
          <w:rFonts w:hint="eastAsia" w:eastAsia="仿宋_GB2312" w:cs="仿宋_GB2312"/>
          <w:sz w:val="32"/>
          <w:szCs w:val="32"/>
          <w:lang w:val="en-US" w:eastAsia="zh-CN"/>
        </w:rPr>
        <w:t>05</w:t>
      </w:r>
      <w:r>
        <w:rPr>
          <w:rFonts w:hint="eastAsia" w:eastAsia="仿宋_GB2312" w:cs="仿宋_GB2312"/>
          <w:sz w:val="32"/>
          <w:szCs w:val="32"/>
        </w:rPr>
        <w:t>（项）：支出决算为</w:t>
      </w:r>
      <w:r>
        <w:rPr>
          <w:rFonts w:hint="eastAsia" w:eastAsia="仿宋_GB2312" w:cs="仿宋_GB2312"/>
          <w:sz w:val="32"/>
          <w:szCs w:val="32"/>
          <w:lang w:val="en-US" w:eastAsia="zh-CN"/>
        </w:rPr>
        <w:t>56.86</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%，决算数等于预算数</w:t>
      </w:r>
      <w:r>
        <w:rPr>
          <w:rFonts w:hint="eastAsia" w:eastAsia="仿宋_GB2312" w:cs="仿宋_GB2312"/>
          <w:sz w:val="32"/>
          <w:szCs w:val="32"/>
          <w:lang w:eastAsia="zh-CN"/>
        </w:rPr>
        <w:t>。</w:t>
      </w:r>
    </w:p>
    <w:p w14:paraId="7114F72B">
      <w:pPr>
        <w:spacing w:line="600" w:lineRule="exact"/>
        <w:ind w:firstLine="640"/>
        <w:rPr>
          <w:rFonts w:hint="eastAsia" w:eastAsia="仿宋_GB2312" w:cs="仿宋_GB2312"/>
          <w:sz w:val="32"/>
          <w:szCs w:val="32"/>
          <w:lang w:eastAsia="zh-CN"/>
        </w:rPr>
      </w:pPr>
      <w:r>
        <w:rPr>
          <w:rFonts w:hint="eastAsia" w:eastAsia="仿宋_GB2312" w:cs="仿宋_GB2312"/>
          <w:sz w:val="32"/>
          <w:szCs w:val="32"/>
        </w:rPr>
        <w:t>6.卫生健康（类）</w:t>
      </w:r>
      <w:r>
        <w:rPr>
          <w:rFonts w:hint="eastAsia" w:eastAsia="仿宋_GB2312" w:cs="仿宋_GB2312"/>
          <w:sz w:val="32"/>
          <w:szCs w:val="32"/>
          <w:lang w:val="en-US" w:eastAsia="zh-CN"/>
        </w:rPr>
        <w:t>210</w:t>
      </w:r>
      <w:r>
        <w:rPr>
          <w:rFonts w:hint="eastAsia" w:eastAsia="仿宋_GB2312" w:cs="仿宋_GB2312"/>
          <w:sz w:val="32"/>
          <w:szCs w:val="32"/>
        </w:rPr>
        <w:t>（款）</w:t>
      </w:r>
      <w:r>
        <w:rPr>
          <w:rFonts w:hint="eastAsia" w:eastAsia="仿宋_GB2312" w:cs="仿宋_GB2312"/>
          <w:sz w:val="32"/>
          <w:szCs w:val="32"/>
          <w:lang w:val="en-US" w:eastAsia="zh-CN"/>
        </w:rPr>
        <w:t>11</w:t>
      </w:r>
      <w:r>
        <w:rPr>
          <w:rFonts w:hint="eastAsia" w:eastAsia="仿宋_GB2312" w:cs="仿宋_GB2312"/>
          <w:sz w:val="32"/>
          <w:szCs w:val="32"/>
        </w:rPr>
        <w:t>（项）：支出决算为</w:t>
      </w:r>
      <w:r>
        <w:rPr>
          <w:rFonts w:hint="eastAsia" w:eastAsia="仿宋_GB2312" w:cs="仿宋_GB2312"/>
          <w:sz w:val="32"/>
          <w:szCs w:val="32"/>
          <w:lang w:val="en-US" w:eastAsia="zh-CN"/>
        </w:rPr>
        <w:t>18.3</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%，决算数等于预算数</w:t>
      </w:r>
      <w:r>
        <w:rPr>
          <w:rFonts w:hint="eastAsia" w:eastAsia="仿宋_GB2312" w:cs="仿宋_GB2312"/>
          <w:sz w:val="32"/>
          <w:szCs w:val="32"/>
          <w:lang w:eastAsia="zh-CN"/>
        </w:rPr>
        <w:t>。</w:t>
      </w:r>
    </w:p>
    <w:p w14:paraId="4D8D60EC">
      <w:pPr>
        <w:spacing w:line="600" w:lineRule="exact"/>
        <w:ind w:firstLine="643" w:firstLineChars="200"/>
        <w:rPr>
          <w:rFonts w:eastAsia="仿宋_GB2312" w:cs="仿宋_GB2312"/>
          <w:sz w:val="32"/>
          <w:szCs w:val="32"/>
        </w:rPr>
      </w:pPr>
      <w:r>
        <w:rPr>
          <w:rStyle w:val="18"/>
          <w:rFonts w:hint="eastAsia" w:ascii="仿宋" w:hAnsi="仿宋" w:eastAsia="仿宋"/>
          <w:bCs/>
          <w:sz w:val="32"/>
          <w:szCs w:val="32"/>
        </w:rPr>
        <w:t>7</w:t>
      </w:r>
      <w:r>
        <w:rPr>
          <w:rStyle w:val="18"/>
          <w:rFonts w:ascii="仿宋" w:hAnsi="仿宋" w:eastAsia="仿宋"/>
          <w:bCs/>
          <w:sz w:val="32"/>
          <w:szCs w:val="32"/>
        </w:rPr>
        <w:t>.</w:t>
      </w:r>
      <w:r>
        <w:rPr>
          <w:rFonts w:hint="eastAsia" w:ascii="Times New Roman" w:hAnsi="Times New Roman" w:eastAsia="仿宋_GB2312" w:cs="仿宋_GB2312"/>
          <w:sz w:val="32"/>
          <w:szCs w:val="32"/>
        </w:rPr>
        <w:t>住</w:t>
      </w:r>
      <w:r>
        <w:rPr>
          <w:rFonts w:hint="eastAsia" w:ascii="Times New Roman" w:hAnsi="Times New Roman" w:eastAsia="仿宋_GB2312" w:cs="仿宋_GB2312"/>
          <w:sz w:val="32"/>
          <w:szCs w:val="32"/>
          <w:lang w:eastAsia="zh-CN"/>
        </w:rPr>
        <w:t>房保障（</w:t>
      </w:r>
      <w:r>
        <w:rPr>
          <w:rFonts w:hint="eastAsia" w:ascii="Times New Roman" w:hAnsi="Times New Roman" w:eastAsia="仿宋_GB2312" w:cs="仿宋_GB2312"/>
          <w:sz w:val="32"/>
          <w:szCs w:val="32"/>
        </w:rPr>
        <w:t>类）</w:t>
      </w:r>
      <w:r>
        <w:rPr>
          <w:rStyle w:val="18"/>
          <w:rFonts w:hint="eastAsia" w:ascii="仿宋" w:hAnsi="仿宋" w:eastAsia="仿宋"/>
          <w:bCs/>
          <w:sz w:val="32"/>
          <w:szCs w:val="32"/>
        </w:rPr>
        <w:t>221</w:t>
      </w:r>
      <w:r>
        <w:rPr>
          <w:rFonts w:hint="eastAsia" w:ascii="Times New Roman" w:hAnsi="Times New Roman" w:eastAsia="仿宋_GB2312" w:cs="仿宋_GB2312"/>
          <w:sz w:val="32"/>
          <w:szCs w:val="32"/>
        </w:rPr>
        <w:t>（款）</w:t>
      </w:r>
      <w:r>
        <w:rPr>
          <w:rStyle w:val="18"/>
          <w:rFonts w:hint="eastAsia" w:ascii="仿宋" w:hAnsi="仿宋" w:eastAsia="仿宋"/>
          <w:bCs/>
          <w:sz w:val="32"/>
          <w:szCs w:val="32"/>
        </w:rPr>
        <w:t>02</w:t>
      </w:r>
      <w:r>
        <w:rPr>
          <w:rStyle w:val="18"/>
          <w:rFonts w:hint="eastAsia" w:ascii="仿宋" w:hAnsi="仿宋" w:eastAsia="仿宋"/>
          <w:b w:val="0"/>
          <w:bCs w:val="0"/>
          <w:sz w:val="32"/>
          <w:szCs w:val="32"/>
        </w:rPr>
        <w:t>（</w:t>
      </w:r>
      <w:r>
        <w:rPr>
          <w:rFonts w:hint="eastAsia" w:ascii="Times New Roman" w:hAnsi="Times New Roman" w:eastAsia="仿宋_GB2312" w:cs="仿宋_GB2312"/>
          <w:sz w:val="32"/>
          <w:szCs w:val="32"/>
        </w:rPr>
        <w:t>项）</w:t>
      </w:r>
      <w:r>
        <w:rPr>
          <w:rFonts w:hint="eastAsia" w:eastAsia="仿宋_GB2312" w:cs="仿宋_GB2312"/>
          <w:sz w:val="32"/>
          <w:szCs w:val="32"/>
          <w:lang w:eastAsia="zh-CN"/>
        </w:rPr>
        <w:t>：</w:t>
      </w:r>
      <w:r>
        <w:rPr>
          <w:rStyle w:val="18"/>
          <w:rFonts w:hint="eastAsia" w:ascii="仿宋" w:hAnsi="仿宋" w:eastAsia="仿宋"/>
          <w:b w:val="0"/>
          <w:bCs/>
          <w:sz w:val="32"/>
          <w:szCs w:val="32"/>
        </w:rPr>
        <w:t>支出决算为</w:t>
      </w:r>
      <w:r>
        <w:rPr>
          <w:rStyle w:val="18"/>
          <w:rFonts w:hint="eastAsia" w:ascii="仿宋" w:hAnsi="仿宋" w:eastAsia="仿宋"/>
          <w:b w:val="0"/>
          <w:bCs/>
          <w:sz w:val="32"/>
          <w:szCs w:val="32"/>
          <w:lang w:val="en-US" w:eastAsia="zh-CN"/>
        </w:rPr>
        <w:t>31.5</w:t>
      </w:r>
      <w:r>
        <w:rPr>
          <w:rStyle w:val="18"/>
          <w:rFonts w:hint="eastAsia" w:ascii="仿宋" w:hAnsi="仿宋" w:eastAsia="仿宋"/>
          <w:b w:val="0"/>
          <w:bCs/>
          <w:sz w:val="32"/>
          <w:szCs w:val="32"/>
        </w:rPr>
        <w:t>万元，完成预算100</w:t>
      </w:r>
      <w:r>
        <w:rPr>
          <w:rStyle w:val="18"/>
          <w:rFonts w:ascii="仿宋" w:hAnsi="仿宋" w:eastAsia="仿宋"/>
          <w:b w:val="0"/>
          <w:bCs/>
          <w:sz w:val="32"/>
          <w:szCs w:val="32"/>
        </w:rPr>
        <w:t>%</w:t>
      </w:r>
      <w:r>
        <w:rPr>
          <w:rStyle w:val="18"/>
          <w:rFonts w:hint="eastAsia" w:ascii="仿宋" w:hAnsi="仿宋" w:eastAsia="仿宋"/>
          <w:b w:val="0"/>
          <w:bCs/>
          <w:sz w:val="32"/>
          <w:szCs w:val="32"/>
        </w:rPr>
        <w:t>，决算数等于预算数。</w:t>
      </w:r>
    </w:p>
    <w:p w14:paraId="1FA26325">
      <w:pPr>
        <w:tabs>
          <w:tab w:val="right" w:pos="8306"/>
        </w:tabs>
        <w:spacing w:line="600" w:lineRule="exact"/>
        <w:ind w:firstLine="640"/>
        <w:outlineLvl w:val="1"/>
        <w:rPr>
          <w:rStyle w:val="30"/>
          <w:rFonts w:ascii="Times New Roman" w:hAnsi="Times New Roman"/>
        </w:rPr>
      </w:pPr>
      <w:bookmarkStart w:id="34" w:name="_Toc15396608"/>
      <w:bookmarkStart w:id="35" w:name="_Toc15377214"/>
      <w:r>
        <w:rPr>
          <w:rFonts w:hint="eastAsia" w:eastAsia="黑体"/>
          <w:sz w:val="32"/>
          <w:szCs w:val="32"/>
        </w:rPr>
        <w:t>六</w:t>
      </w:r>
      <w:r>
        <w:rPr>
          <w:rFonts w:hint="eastAsia" w:eastAsia="黑体"/>
          <w:b/>
          <w:sz w:val="32"/>
          <w:szCs w:val="32"/>
        </w:rPr>
        <w:t>、一</w:t>
      </w:r>
      <w:r>
        <w:rPr>
          <w:rStyle w:val="30"/>
          <w:rFonts w:hint="eastAsia" w:ascii="Times New Roman" w:hAnsi="Times New Roman" w:eastAsia="黑体"/>
          <w:b w:val="0"/>
        </w:rPr>
        <w:t>般公共预算财政拨款基本支出决算情况说明</w:t>
      </w:r>
      <w:bookmarkEnd w:id="34"/>
      <w:bookmarkEnd w:id="35"/>
      <w:r>
        <w:rPr>
          <w:rStyle w:val="30"/>
          <w:rFonts w:ascii="Times New Roman" w:hAnsi="Times New Roman" w:eastAsia="黑体"/>
          <w:b w:val="0"/>
        </w:rPr>
        <w:tab/>
      </w:r>
    </w:p>
    <w:p w14:paraId="5386B9F8">
      <w:pPr>
        <w:spacing w:line="600" w:lineRule="exact"/>
        <w:ind w:firstLine="640"/>
        <w:rPr>
          <w:rFonts w:eastAsia="仿宋_GB2312" w:cs="仿宋_GB2312"/>
          <w:sz w:val="32"/>
          <w:szCs w:val="32"/>
        </w:rPr>
      </w:pPr>
      <w:r>
        <w:rPr>
          <w:rFonts w:hint="eastAsia" w:eastAsia="仿宋_GB2312" w:cs="仿宋_GB2312"/>
          <w:sz w:val="32"/>
          <w:szCs w:val="32"/>
        </w:rPr>
        <w:t>2025年度一般公共预算财政拨款基本支出</w:t>
      </w:r>
      <w:r>
        <w:rPr>
          <w:rFonts w:hint="eastAsia" w:ascii="仿宋_GB2312" w:hAnsi="仿宋_GB2312" w:eastAsia="仿宋_GB2312" w:cs="仿宋_GB2312"/>
          <w:sz w:val="32"/>
          <w:szCs w:val="32"/>
        </w:rPr>
        <w:t>426.68</w:t>
      </w:r>
      <w:r>
        <w:rPr>
          <w:rFonts w:hint="eastAsia" w:eastAsia="仿宋_GB2312" w:cs="仿宋_GB2312"/>
          <w:sz w:val="32"/>
          <w:szCs w:val="32"/>
        </w:rPr>
        <w:t>万元，其中：</w:t>
      </w:r>
    </w:p>
    <w:p w14:paraId="2027AD1E">
      <w:pPr>
        <w:spacing w:line="600" w:lineRule="exact"/>
        <w:ind w:firstLine="640"/>
        <w:rPr>
          <w:rFonts w:eastAsia="仿宋_GB2312" w:cs="仿宋_GB2312"/>
          <w:sz w:val="32"/>
          <w:szCs w:val="32"/>
        </w:rPr>
      </w:pPr>
      <w:r>
        <w:rPr>
          <w:rFonts w:hint="eastAsia" w:eastAsia="仿宋_GB2312" w:cs="仿宋_GB2312"/>
          <w:sz w:val="32"/>
          <w:szCs w:val="32"/>
        </w:rPr>
        <w:t>人员经费</w:t>
      </w:r>
      <w:r>
        <w:rPr>
          <w:rFonts w:hint="eastAsia" w:ascii="仿宋_GB2312" w:hAnsi="仿宋_GB2312" w:eastAsia="仿宋_GB2312" w:cs="仿宋_GB2312"/>
          <w:sz w:val="32"/>
          <w:szCs w:val="32"/>
        </w:rPr>
        <w:t>407.33</w:t>
      </w:r>
      <w:r>
        <w:rPr>
          <w:rFonts w:hint="eastAsia" w:eastAsia="仿宋_GB2312" w:cs="仿宋_GB2312"/>
          <w:sz w:val="32"/>
          <w:szCs w:val="32"/>
        </w:rPr>
        <w:t>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hint="eastAsia" w:eastAsia="仿宋_GB2312" w:cs="仿宋_GB2312"/>
          <w:sz w:val="32"/>
          <w:szCs w:val="32"/>
        </w:rPr>
        <w:br w:type="textWrapping"/>
      </w:r>
      <w:r>
        <w:rPr>
          <w:rFonts w:hint="eastAsia" w:eastAsia="仿宋_GB2312" w:cs="仿宋_GB2312"/>
          <w:sz w:val="32"/>
          <w:szCs w:val="32"/>
        </w:rPr>
        <w:t>　　公用经费</w:t>
      </w:r>
      <w:r>
        <w:rPr>
          <w:rFonts w:hint="eastAsia" w:ascii="仿宋_GB2312" w:hAnsi="仿宋_GB2312" w:eastAsia="仿宋_GB2312" w:cs="仿宋_GB2312"/>
          <w:sz w:val="32"/>
          <w:szCs w:val="32"/>
        </w:rPr>
        <w:t>19.35</w:t>
      </w:r>
      <w:r>
        <w:rPr>
          <w:rFonts w:hint="eastAsia" w:eastAsia="仿宋_GB2312" w:cs="仿宋_GB2312"/>
          <w:sz w:val="32"/>
          <w:szCs w:val="32"/>
        </w:rPr>
        <w:t>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14:paraId="5B043669">
      <w:pPr>
        <w:spacing w:line="600" w:lineRule="exact"/>
        <w:ind w:firstLine="640"/>
        <w:rPr>
          <w:rFonts w:eastAsia="仿宋_GB2312" w:cs="仿宋_GB2312"/>
          <w:sz w:val="32"/>
          <w:szCs w:val="32"/>
        </w:rPr>
      </w:pPr>
    </w:p>
    <w:p w14:paraId="3CC08737">
      <w:pPr>
        <w:spacing w:line="600" w:lineRule="exact"/>
        <w:ind w:firstLine="640"/>
        <w:outlineLvl w:val="1"/>
        <w:rPr>
          <w:rFonts w:hint="eastAsia" w:eastAsia="黑体"/>
          <w:sz w:val="32"/>
          <w:szCs w:val="32"/>
        </w:rPr>
      </w:pPr>
      <w:bookmarkStart w:id="36" w:name="_Toc15396609"/>
      <w:bookmarkStart w:id="37" w:name="_Toc15377215"/>
    </w:p>
    <w:p w14:paraId="0FC25A32">
      <w:pPr>
        <w:spacing w:line="600" w:lineRule="exact"/>
        <w:ind w:firstLine="640"/>
        <w:outlineLvl w:val="1"/>
        <w:rPr>
          <w:rStyle w:val="30"/>
          <w:rFonts w:ascii="Times New Roman" w:hAnsi="Times New Roman" w:eastAsia="黑体"/>
          <w:b w:val="0"/>
        </w:rPr>
      </w:pPr>
      <w:r>
        <w:rPr>
          <w:rFonts w:hint="eastAsia" w:eastAsia="黑体"/>
          <w:sz w:val="32"/>
          <w:szCs w:val="32"/>
        </w:rPr>
        <w:t>七、</w:t>
      </w:r>
      <w:r>
        <w:rPr>
          <w:rStyle w:val="30"/>
          <w:rFonts w:hint="eastAsia" w:ascii="Times New Roman" w:hAnsi="Times New Roman" w:eastAsia="黑体"/>
          <w:b w:val="0"/>
        </w:rPr>
        <w:t>财政拨款</w:t>
      </w:r>
      <w:r>
        <w:rPr>
          <w:rStyle w:val="30"/>
          <w:rFonts w:hint="eastAsia" w:ascii="Times New Roman" w:hAnsi="Times New Roman" w:eastAsia="黑体"/>
        </w:rPr>
        <w:t>“</w:t>
      </w:r>
      <w:r>
        <w:rPr>
          <w:rStyle w:val="30"/>
          <w:rFonts w:hint="eastAsia" w:ascii="Times New Roman" w:hAnsi="Times New Roman" w:eastAsia="黑体"/>
          <w:b w:val="0"/>
        </w:rPr>
        <w:t>三公”经费支出决算情况说明</w:t>
      </w:r>
      <w:bookmarkEnd w:id="36"/>
      <w:bookmarkEnd w:id="37"/>
    </w:p>
    <w:p w14:paraId="4AE10A27">
      <w:pPr>
        <w:spacing w:line="600" w:lineRule="exact"/>
        <w:ind w:firstLine="643" w:firstLineChars="200"/>
        <w:outlineLvl w:val="2"/>
        <w:rPr>
          <w:rFonts w:eastAsia="楷体_GB2312" w:cs="楷体_GB2312"/>
          <w:b/>
          <w:sz w:val="32"/>
          <w:szCs w:val="32"/>
        </w:rPr>
      </w:pPr>
      <w:bookmarkStart w:id="38" w:name="_Toc15377216"/>
      <w:r>
        <w:rPr>
          <w:rFonts w:hint="eastAsia" w:eastAsia="楷体_GB2312" w:cs="楷体_GB2312"/>
          <w:b/>
          <w:sz w:val="32"/>
          <w:szCs w:val="32"/>
        </w:rPr>
        <w:t>（一）财政拨款“三公”经费支出决算总体情况说明</w:t>
      </w:r>
      <w:bookmarkEnd w:id="38"/>
    </w:p>
    <w:p w14:paraId="08055458">
      <w:pPr>
        <w:spacing w:line="600" w:lineRule="exact"/>
        <w:ind w:firstLine="640"/>
        <w:rPr>
          <w:rFonts w:eastAsia="仿宋_GB2312" w:cs="仿宋_GB2312"/>
          <w:b/>
          <w:bCs/>
          <w:sz w:val="32"/>
          <w:szCs w:val="32"/>
        </w:rPr>
      </w:pPr>
      <w:r>
        <w:rPr>
          <w:rFonts w:hint="eastAsia" w:eastAsia="仿宋_GB2312" w:cs="仿宋_GB2312"/>
          <w:sz w:val="32"/>
          <w:szCs w:val="32"/>
        </w:rPr>
        <w:t>2025年度财政拨款“三公”经费支出决算为</w:t>
      </w:r>
      <w:r>
        <w:rPr>
          <w:rFonts w:hint="eastAsia" w:ascii="仿宋_GB2312" w:hAnsi="仿宋_GB2312" w:eastAsia="仿宋_GB2312" w:cs="仿宋_GB2312"/>
          <w:sz w:val="32"/>
          <w:szCs w:val="32"/>
        </w:rPr>
        <w:t>5</w:t>
      </w:r>
      <w:r>
        <w:rPr>
          <w:rFonts w:hint="eastAsia" w:eastAsia="仿宋_GB2312" w:cs="仿宋_GB2312"/>
          <w:sz w:val="32"/>
          <w:szCs w:val="32"/>
        </w:rPr>
        <w:t>万元，完成预算</w:t>
      </w:r>
      <w:r>
        <w:rPr>
          <w:rFonts w:hint="eastAsia" w:ascii="仿宋_GB2312" w:hAnsi="仿宋_GB2312" w:eastAsia="仿宋_GB2312" w:cs="仿宋_GB2312"/>
          <w:sz w:val="32"/>
          <w:szCs w:val="32"/>
        </w:rPr>
        <w:t>100</w:t>
      </w:r>
      <w:r>
        <w:rPr>
          <w:rFonts w:hint="eastAsia" w:eastAsia="仿宋_GB2312" w:cs="仿宋_GB2312"/>
          <w:sz w:val="32"/>
          <w:szCs w:val="32"/>
        </w:rPr>
        <w:t>%，较上年度增加</w:t>
      </w:r>
      <w:r>
        <w:rPr>
          <w:rFonts w:hint="eastAsia" w:eastAsia="仿宋_GB2312" w:cs="仿宋_GB2312"/>
          <w:sz w:val="32"/>
          <w:szCs w:val="32"/>
          <w:lang w:val="en-US" w:eastAsia="zh-CN"/>
        </w:rPr>
        <w:t>0</w:t>
      </w:r>
      <w:r>
        <w:rPr>
          <w:rFonts w:hint="eastAsia" w:eastAsia="仿宋_GB2312" w:cs="仿宋_GB2312"/>
          <w:sz w:val="32"/>
          <w:szCs w:val="32"/>
        </w:rPr>
        <w:t>万元，增长</w:t>
      </w:r>
      <w:r>
        <w:rPr>
          <w:rFonts w:hint="eastAsia" w:eastAsia="仿宋_GB2312" w:cs="仿宋_GB2312"/>
          <w:sz w:val="32"/>
          <w:szCs w:val="32"/>
          <w:lang w:val="en-US" w:eastAsia="zh-CN"/>
        </w:rPr>
        <w:t>0</w:t>
      </w:r>
      <w:r>
        <w:rPr>
          <w:rFonts w:hint="eastAsia" w:eastAsia="仿宋_GB2312" w:cs="仿宋_GB2312"/>
          <w:sz w:val="32"/>
          <w:szCs w:val="32"/>
        </w:rPr>
        <w:t>%。决算数与预算数持平</w:t>
      </w:r>
      <w:r>
        <w:rPr>
          <w:rFonts w:hint="eastAsia" w:eastAsia="仿宋_GB2312" w:cs="仿宋_GB2312"/>
          <w:sz w:val="32"/>
          <w:szCs w:val="32"/>
          <w:lang w:eastAsia="zh-CN"/>
        </w:rPr>
        <w:t>。</w:t>
      </w:r>
    </w:p>
    <w:p w14:paraId="5B9E4FC7">
      <w:pPr>
        <w:spacing w:line="600" w:lineRule="exact"/>
        <w:ind w:firstLine="643" w:firstLineChars="200"/>
        <w:outlineLvl w:val="2"/>
        <w:rPr>
          <w:rFonts w:eastAsia="楷体_GB2312" w:cs="楷体_GB2312"/>
          <w:b/>
          <w:sz w:val="32"/>
          <w:szCs w:val="32"/>
        </w:rPr>
      </w:pPr>
      <w:bookmarkStart w:id="39" w:name="_Toc15377217"/>
      <w:r>
        <w:rPr>
          <w:rFonts w:hint="eastAsia" w:eastAsia="楷体_GB2312" w:cs="楷体_GB2312"/>
          <w:b/>
          <w:sz w:val="32"/>
          <w:szCs w:val="32"/>
        </w:rPr>
        <w:t>（二）财政拨款“三公”经费支出决算具体情况说明</w:t>
      </w:r>
      <w:bookmarkEnd w:id="39"/>
    </w:p>
    <w:p w14:paraId="755C6C98">
      <w:pPr>
        <w:spacing w:line="600" w:lineRule="exact"/>
        <w:ind w:firstLine="640"/>
        <w:rPr>
          <w:rFonts w:eastAsia="仿宋_GB2312" w:cs="仿宋_GB2312"/>
          <w:sz w:val="32"/>
          <w:szCs w:val="32"/>
        </w:rPr>
      </w:pPr>
      <w:r>
        <w:rPr>
          <w:rFonts w:hint="eastAsia" w:eastAsia="仿宋_GB2312" w:cs="仿宋_GB2312"/>
          <w:sz w:val="32"/>
          <w:szCs w:val="32"/>
        </w:rPr>
        <w:t>2025年度财政拨款“三公”经费支出决算中，因公出国（境）费支出决算</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eastAsia="仿宋_GB2312" w:cs="仿宋_GB2312"/>
          <w:sz w:val="32"/>
          <w:szCs w:val="32"/>
          <w:lang w:val="en-US" w:eastAsia="zh-CN"/>
        </w:rPr>
        <w:t>0</w:t>
      </w:r>
      <w:r>
        <w:rPr>
          <w:rFonts w:hint="eastAsia" w:eastAsia="仿宋_GB2312" w:cs="仿宋_GB2312"/>
          <w:sz w:val="32"/>
          <w:szCs w:val="32"/>
        </w:rPr>
        <w:t>%；公务用车购置及运行维护费支出决算</w:t>
      </w:r>
      <w:r>
        <w:rPr>
          <w:rFonts w:hint="eastAsia" w:ascii="仿宋_GB2312" w:hAnsi="仿宋_GB2312" w:eastAsia="仿宋_GB2312" w:cs="仿宋_GB2312"/>
          <w:sz w:val="32"/>
          <w:szCs w:val="32"/>
        </w:rPr>
        <w:t>5</w:t>
      </w:r>
      <w:r>
        <w:rPr>
          <w:rFonts w:hint="eastAsia" w:eastAsia="仿宋_GB2312" w:cs="仿宋_GB2312"/>
          <w:sz w:val="32"/>
          <w:szCs w:val="32"/>
        </w:rPr>
        <w:t>万元，占</w:t>
      </w:r>
      <w:r>
        <w:rPr>
          <w:rFonts w:hint="eastAsia" w:eastAsia="仿宋_GB2312" w:cs="仿宋_GB2312"/>
          <w:sz w:val="32"/>
          <w:szCs w:val="32"/>
          <w:lang w:val="en-US" w:eastAsia="zh-CN"/>
        </w:rPr>
        <w:t>100</w:t>
      </w:r>
      <w:r>
        <w:rPr>
          <w:rFonts w:hint="eastAsia" w:eastAsia="仿宋_GB2312" w:cs="仿宋_GB2312"/>
          <w:sz w:val="32"/>
          <w:szCs w:val="32"/>
        </w:rPr>
        <w:t>%；公务接待费支出决算</w:t>
      </w:r>
      <w:r>
        <w:rPr>
          <w:rFonts w:hint="eastAsia" w:ascii="仿宋_GB2312" w:hAnsi="仿宋_GB2312" w:eastAsia="仿宋_GB2312" w:cs="仿宋_GB2312"/>
          <w:sz w:val="32"/>
          <w:szCs w:val="32"/>
        </w:rPr>
        <w:t>0</w:t>
      </w:r>
      <w:r>
        <w:rPr>
          <w:rFonts w:hint="eastAsia" w:eastAsia="仿宋_GB2312" w:cs="仿宋_GB2312"/>
          <w:sz w:val="32"/>
          <w:szCs w:val="32"/>
        </w:rPr>
        <w:t>万元，占</w:t>
      </w:r>
      <w:r>
        <w:rPr>
          <w:rFonts w:hint="eastAsia" w:eastAsia="仿宋_GB2312" w:cs="仿宋_GB2312"/>
          <w:sz w:val="32"/>
          <w:szCs w:val="32"/>
          <w:lang w:val="en-US" w:eastAsia="zh-CN"/>
        </w:rPr>
        <w:t>0</w:t>
      </w:r>
      <w:r>
        <w:rPr>
          <w:rFonts w:hint="eastAsia" w:eastAsia="仿宋_GB2312" w:cs="仿宋_GB2312"/>
          <w:sz w:val="32"/>
          <w:szCs w:val="32"/>
        </w:rPr>
        <w:t>%。具体情况如下：</w:t>
      </w:r>
    </w:p>
    <w:p w14:paraId="24D42A95">
      <w:pPr>
        <w:spacing w:line="600" w:lineRule="exact"/>
        <w:ind w:firstLine="640"/>
        <w:rPr>
          <w:rFonts w:hint="eastAsia" w:eastAsia="仿宋_GB2312" w:cs="仿宋_GB2312"/>
          <w:sz w:val="32"/>
          <w:szCs w:val="32"/>
        </w:rPr>
      </w:pPr>
      <w:r>
        <w:rPr>
          <w:rFonts w:hint="eastAsia" w:eastAsia="仿宋_GB2312" w:cs="仿宋_GB2312"/>
          <w:sz w:val="32"/>
          <w:szCs w:val="32"/>
        </w:rPr>
        <w:t>（图7：财政拨款“三公”经费支出结构）（饼状图）</w:t>
      </w:r>
    </w:p>
    <w:p w14:paraId="0DD947D6">
      <w:pPr>
        <w:pStyle w:val="2"/>
      </w:pPr>
      <w:r>
        <w:rPr>
          <w:rFonts w:hint="eastAsia" w:eastAsia="仿宋_GB2312" w:cs="仿宋_GB2312"/>
          <w:sz w:val="32"/>
          <w:szCs w:val="32"/>
          <w:lang w:eastAsia="zh-CN"/>
        </w:rPr>
        <w:drawing>
          <wp:anchor distT="0" distB="0" distL="114300" distR="114300" simplePos="0" relativeHeight="251662336" behindDoc="0" locked="0" layoutInCell="1" allowOverlap="1">
            <wp:simplePos x="0" y="0"/>
            <wp:positionH relativeFrom="column">
              <wp:posOffset>71755</wp:posOffset>
            </wp:positionH>
            <wp:positionV relativeFrom="paragraph">
              <wp:posOffset>109220</wp:posOffset>
            </wp:positionV>
            <wp:extent cx="5256530" cy="2988310"/>
            <wp:effectExtent l="5080" t="4445" r="15240" b="17145"/>
            <wp:wrapTopAndBottom/>
            <wp:docPr id="17" name="图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14:paraId="2403BB7F">
      <w:pPr>
        <w:spacing w:line="600" w:lineRule="exact"/>
        <w:ind w:firstLine="640"/>
        <w:rPr>
          <w:rFonts w:eastAsia="仿宋_GB2312" w:cs="仿宋_GB2312"/>
          <w:sz w:val="32"/>
          <w:szCs w:val="32"/>
        </w:rPr>
      </w:pPr>
      <w:r>
        <w:rPr>
          <w:rFonts w:hint="eastAsia" w:eastAsia="仿宋_GB2312" w:cs="仿宋_GB2312"/>
          <w:b/>
          <w:bCs/>
          <w:sz w:val="32"/>
          <w:szCs w:val="32"/>
        </w:rPr>
        <w:t>1.因公出国（境）经费支出</w:t>
      </w:r>
      <w:r>
        <w:rPr>
          <w:rFonts w:hint="eastAsia" w:ascii="仿宋_GB2312" w:hAnsi="仿宋_GB2312" w:eastAsia="仿宋_GB2312" w:cs="仿宋_GB2312"/>
          <w:sz w:val="32"/>
          <w:szCs w:val="32"/>
        </w:rPr>
        <w:t>0</w:t>
      </w:r>
      <w:r>
        <w:rPr>
          <w:rFonts w:hint="eastAsia" w:eastAsia="仿宋_GB2312" w:cs="仿宋_GB2312"/>
          <w:b/>
          <w:bCs/>
          <w:sz w:val="32"/>
          <w:szCs w:val="32"/>
        </w:rPr>
        <w:t>万元，完成预算</w:t>
      </w:r>
      <w:r>
        <w:rPr>
          <w:rFonts w:hint="eastAsia" w:eastAsia="仿宋_GB2312" w:cs="仿宋_GB2312"/>
          <w:b/>
          <w:bCs/>
          <w:sz w:val="32"/>
          <w:szCs w:val="32"/>
          <w:lang w:val="en-US" w:eastAsia="zh-CN"/>
        </w:rPr>
        <w:t>100</w:t>
      </w:r>
      <w:r>
        <w:rPr>
          <w:rFonts w:hint="eastAsia" w:eastAsia="仿宋_GB2312" w:cs="仿宋_GB2312"/>
          <w:b/>
          <w:bCs/>
          <w:sz w:val="32"/>
          <w:szCs w:val="32"/>
        </w:rPr>
        <w:t>%。</w:t>
      </w:r>
      <w:r>
        <w:rPr>
          <w:rFonts w:hint="eastAsia" w:eastAsia="仿宋_GB2312" w:cs="仿宋_GB2312"/>
          <w:sz w:val="32"/>
          <w:szCs w:val="32"/>
        </w:rPr>
        <w:t>全年安排因公出国（境）团组</w:t>
      </w:r>
      <w:r>
        <w:rPr>
          <w:rFonts w:hint="eastAsia" w:ascii="仿宋_GB2312" w:hAnsi="仿宋_GB2312" w:eastAsia="仿宋_GB2312" w:cs="仿宋_GB2312"/>
          <w:sz w:val="32"/>
          <w:szCs w:val="32"/>
        </w:rPr>
        <w:t>0</w:t>
      </w:r>
      <w:r>
        <w:rPr>
          <w:rFonts w:hint="eastAsia" w:eastAsia="仿宋_GB2312" w:cs="仿宋_GB2312"/>
          <w:sz w:val="32"/>
          <w:szCs w:val="32"/>
        </w:rPr>
        <w:t>次，出国（境）</w:t>
      </w:r>
      <w:r>
        <w:rPr>
          <w:rFonts w:hint="eastAsia" w:ascii="仿宋_GB2312" w:hAnsi="仿宋_GB2312" w:eastAsia="仿宋_GB2312" w:cs="仿宋_GB2312"/>
          <w:sz w:val="32"/>
          <w:szCs w:val="32"/>
        </w:rPr>
        <w:t>0</w:t>
      </w:r>
      <w:r>
        <w:rPr>
          <w:rFonts w:hint="eastAsia" w:eastAsia="仿宋_GB2312" w:cs="仿宋_GB2312"/>
          <w:sz w:val="32"/>
          <w:szCs w:val="32"/>
        </w:rPr>
        <w:t>人。因公出国（境）支出决算比上年度增加</w:t>
      </w:r>
      <w:r>
        <w:rPr>
          <w:rFonts w:hint="eastAsia" w:eastAsia="仿宋_GB2312" w:cs="仿宋_GB2312"/>
          <w:sz w:val="32"/>
          <w:szCs w:val="32"/>
          <w:lang w:val="en-US" w:eastAsia="zh-CN"/>
        </w:rPr>
        <w:t>0</w:t>
      </w:r>
      <w:r>
        <w:rPr>
          <w:rFonts w:hint="eastAsia" w:eastAsia="仿宋_GB2312" w:cs="仿宋_GB2312"/>
          <w:sz w:val="32"/>
          <w:szCs w:val="32"/>
        </w:rPr>
        <w:t>万元，增长</w:t>
      </w:r>
      <w:r>
        <w:rPr>
          <w:rFonts w:hint="eastAsia" w:eastAsia="仿宋_GB2312" w:cs="仿宋_GB2312"/>
          <w:sz w:val="32"/>
          <w:szCs w:val="32"/>
          <w:lang w:val="en-US" w:eastAsia="zh-CN"/>
        </w:rPr>
        <w:t>0</w:t>
      </w:r>
      <w:r>
        <w:rPr>
          <w:rFonts w:hint="eastAsia" w:eastAsia="仿宋_GB2312" w:cs="仿宋_GB2312"/>
          <w:sz w:val="32"/>
          <w:szCs w:val="32"/>
        </w:rPr>
        <w:t>%。</w:t>
      </w:r>
    </w:p>
    <w:p w14:paraId="168D1E0A">
      <w:pPr>
        <w:spacing w:line="600" w:lineRule="exact"/>
        <w:ind w:firstLine="640"/>
        <w:rPr>
          <w:rFonts w:hint="eastAsia" w:eastAsia="仿宋_GB2312" w:cs="仿宋_GB2312"/>
          <w:sz w:val="32"/>
          <w:szCs w:val="32"/>
          <w:lang w:val="en-US" w:eastAsia="zh-CN"/>
        </w:rPr>
      </w:pPr>
      <w:r>
        <w:rPr>
          <w:rFonts w:hint="eastAsia" w:eastAsia="仿宋_GB2312" w:cs="仿宋_GB2312"/>
          <w:b/>
          <w:bCs/>
          <w:sz w:val="32"/>
          <w:szCs w:val="32"/>
        </w:rPr>
        <w:t>2.公务用车购置及运行维护费支出</w:t>
      </w:r>
      <w:r>
        <w:rPr>
          <w:rFonts w:hint="eastAsia" w:ascii="仿宋_GB2312" w:hAnsi="仿宋_GB2312" w:eastAsia="仿宋_GB2312" w:cs="仿宋_GB2312"/>
          <w:b/>
          <w:bCs/>
          <w:sz w:val="32"/>
          <w:szCs w:val="32"/>
        </w:rPr>
        <w:t>5</w:t>
      </w:r>
      <w:r>
        <w:rPr>
          <w:rFonts w:hint="eastAsia" w:eastAsia="仿宋_GB2312" w:cs="仿宋_GB2312"/>
          <w:b/>
          <w:bCs/>
          <w:sz w:val="32"/>
          <w:szCs w:val="32"/>
        </w:rPr>
        <w:t>万元，完成预算</w:t>
      </w:r>
      <w:r>
        <w:rPr>
          <w:rFonts w:hint="eastAsia" w:eastAsia="仿宋_GB2312" w:cs="仿宋_GB2312"/>
          <w:b/>
          <w:bCs/>
          <w:sz w:val="32"/>
          <w:szCs w:val="32"/>
          <w:lang w:val="en-US" w:eastAsia="zh-CN"/>
        </w:rPr>
        <w:t>100</w:t>
      </w:r>
      <w:r>
        <w:rPr>
          <w:rFonts w:hint="eastAsia" w:eastAsia="仿宋_GB2312" w:cs="仿宋_GB2312"/>
          <w:b/>
          <w:bCs/>
          <w:sz w:val="32"/>
          <w:szCs w:val="32"/>
        </w:rPr>
        <w:t>%。</w:t>
      </w:r>
      <w:r>
        <w:rPr>
          <w:rFonts w:hint="eastAsia" w:eastAsia="仿宋_GB2312" w:cs="仿宋_GB2312"/>
          <w:sz w:val="32"/>
          <w:szCs w:val="32"/>
        </w:rPr>
        <w:t>公务用车购置及运行维护费支出决算比上年度增加</w:t>
      </w:r>
      <w:r>
        <w:rPr>
          <w:rFonts w:hint="eastAsia" w:eastAsia="仿宋_GB2312" w:cs="仿宋_GB2312"/>
          <w:sz w:val="32"/>
          <w:szCs w:val="32"/>
          <w:lang w:val="en-US" w:eastAsia="zh-CN"/>
        </w:rPr>
        <w:t>0</w:t>
      </w:r>
      <w:r>
        <w:rPr>
          <w:rFonts w:hint="eastAsia" w:eastAsia="仿宋_GB2312" w:cs="仿宋_GB2312"/>
          <w:sz w:val="32"/>
          <w:szCs w:val="32"/>
        </w:rPr>
        <w:t>万元，增长</w:t>
      </w:r>
      <w:r>
        <w:rPr>
          <w:rFonts w:hint="eastAsia" w:eastAsia="仿宋_GB2312" w:cs="仿宋_GB2312"/>
          <w:sz w:val="32"/>
          <w:szCs w:val="32"/>
          <w:lang w:val="en-US" w:eastAsia="zh-CN"/>
        </w:rPr>
        <w:t>0</w:t>
      </w:r>
      <w:r>
        <w:rPr>
          <w:rFonts w:hint="eastAsia" w:eastAsia="仿宋_GB2312" w:cs="仿宋_GB2312"/>
          <w:sz w:val="32"/>
          <w:szCs w:val="32"/>
        </w:rPr>
        <w:t>%。</w:t>
      </w:r>
      <w:r>
        <w:rPr>
          <w:rFonts w:hint="eastAsia" w:eastAsia="仿宋_GB2312" w:cs="仿宋_GB2312"/>
          <w:sz w:val="32"/>
          <w:szCs w:val="32"/>
          <w:lang w:val="en-US" w:eastAsia="zh-CN"/>
        </w:rPr>
        <w:t>主要原因2025年无变动。</w:t>
      </w:r>
    </w:p>
    <w:p w14:paraId="25C9C6B8">
      <w:pPr>
        <w:spacing w:line="600" w:lineRule="exact"/>
        <w:ind w:firstLine="640"/>
        <w:rPr>
          <w:rFonts w:eastAsia="仿宋_GB2312" w:cs="仿宋_GB2312"/>
          <w:sz w:val="32"/>
          <w:szCs w:val="32"/>
        </w:rPr>
      </w:pPr>
      <w:r>
        <w:rPr>
          <w:rFonts w:hint="eastAsia" w:eastAsia="仿宋_GB2312" w:cs="仿宋_GB2312"/>
          <w:sz w:val="32"/>
          <w:szCs w:val="32"/>
        </w:rPr>
        <w:t>其中：公务用车购置支出</w:t>
      </w:r>
      <w:r>
        <w:rPr>
          <w:rFonts w:hint="eastAsia" w:ascii="仿宋_GB2312" w:hAnsi="仿宋_GB2312" w:eastAsia="仿宋_GB2312" w:cs="仿宋_GB2312"/>
          <w:sz w:val="32"/>
          <w:szCs w:val="32"/>
        </w:rPr>
        <w:t>0</w:t>
      </w:r>
      <w:r>
        <w:rPr>
          <w:rFonts w:hint="eastAsia" w:eastAsia="仿宋_GB2312" w:cs="仿宋_GB2312"/>
          <w:sz w:val="32"/>
          <w:szCs w:val="32"/>
        </w:rPr>
        <w:t>万元。全年按规定更新购置公务用车</w:t>
      </w:r>
      <w:r>
        <w:rPr>
          <w:rFonts w:hint="eastAsia" w:eastAsia="仿宋_GB2312" w:cs="仿宋_GB2312"/>
          <w:sz w:val="32"/>
          <w:szCs w:val="32"/>
          <w:lang w:val="en-US" w:eastAsia="zh-CN"/>
        </w:rPr>
        <w:t>0</w:t>
      </w:r>
      <w:r>
        <w:rPr>
          <w:rFonts w:hint="eastAsia" w:eastAsia="仿宋_GB2312" w:cs="仿宋_GB2312"/>
          <w:sz w:val="32"/>
          <w:szCs w:val="32"/>
        </w:rPr>
        <w:t>辆，其中：轿车</w:t>
      </w:r>
      <w:r>
        <w:rPr>
          <w:rFonts w:hint="eastAsia" w:eastAsia="仿宋_GB2312" w:cs="仿宋_GB2312"/>
          <w:sz w:val="32"/>
          <w:szCs w:val="32"/>
          <w:lang w:val="en-US" w:eastAsia="zh-CN"/>
        </w:rPr>
        <w:t>0</w:t>
      </w:r>
      <w:r>
        <w:rPr>
          <w:rFonts w:hint="eastAsia" w:eastAsia="仿宋_GB2312" w:cs="仿宋_GB2312"/>
          <w:sz w:val="32"/>
          <w:szCs w:val="32"/>
        </w:rPr>
        <w:t>辆、金额</w:t>
      </w:r>
      <w:r>
        <w:rPr>
          <w:rFonts w:hint="eastAsia" w:eastAsia="仿宋_GB2312" w:cs="仿宋_GB2312"/>
          <w:sz w:val="32"/>
          <w:szCs w:val="32"/>
          <w:lang w:val="en-US" w:eastAsia="zh-CN"/>
        </w:rPr>
        <w:t>0</w:t>
      </w:r>
      <w:r>
        <w:rPr>
          <w:rFonts w:hint="eastAsia" w:eastAsia="仿宋_GB2312" w:cs="仿宋_GB2312"/>
          <w:sz w:val="32"/>
          <w:szCs w:val="32"/>
        </w:rPr>
        <w:t>万元，越野车</w:t>
      </w:r>
      <w:r>
        <w:rPr>
          <w:rFonts w:hint="eastAsia" w:eastAsia="仿宋_GB2312" w:cs="仿宋_GB2312"/>
          <w:sz w:val="32"/>
          <w:szCs w:val="32"/>
          <w:lang w:val="en-US" w:eastAsia="zh-CN"/>
        </w:rPr>
        <w:t>0</w:t>
      </w:r>
      <w:r>
        <w:rPr>
          <w:rFonts w:hint="eastAsia" w:eastAsia="仿宋_GB2312" w:cs="仿宋_GB2312"/>
          <w:sz w:val="32"/>
          <w:szCs w:val="32"/>
        </w:rPr>
        <w:t>辆、金额</w:t>
      </w:r>
      <w:r>
        <w:rPr>
          <w:rFonts w:hint="eastAsia" w:eastAsia="仿宋_GB2312" w:cs="仿宋_GB2312"/>
          <w:sz w:val="32"/>
          <w:szCs w:val="32"/>
          <w:lang w:val="en-US" w:eastAsia="zh-CN"/>
        </w:rPr>
        <w:t>0</w:t>
      </w:r>
      <w:r>
        <w:rPr>
          <w:rFonts w:hint="eastAsia" w:eastAsia="仿宋_GB2312" w:cs="仿宋_GB2312"/>
          <w:sz w:val="32"/>
          <w:szCs w:val="32"/>
        </w:rPr>
        <w:t>万元，载客汽车</w:t>
      </w:r>
      <w:r>
        <w:rPr>
          <w:rFonts w:hint="eastAsia" w:eastAsia="仿宋_GB2312" w:cs="仿宋_GB2312"/>
          <w:sz w:val="32"/>
          <w:szCs w:val="32"/>
          <w:lang w:val="en-US" w:eastAsia="zh-CN"/>
        </w:rPr>
        <w:t>0</w:t>
      </w:r>
      <w:r>
        <w:rPr>
          <w:rFonts w:hint="eastAsia" w:eastAsia="仿宋_GB2312" w:cs="仿宋_GB2312"/>
          <w:sz w:val="32"/>
          <w:szCs w:val="32"/>
        </w:rPr>
        <w:t>辆、金额</w:t>
      </w:r>
      <w:r>
        <w:rPr>
          <w:rFonts w:hint="eastAsia" w:eastAsia="仿宋_GB2312" w:cs="仿宋_GB2312"/>
          <w:sz w:val="32"/>
          <w:szCs w:val="32"/>
          <w:lang w:val="en-US" w:eastAsia="zh-CN"/>
        </w:rPr>
        <w:t>0</w:t>
      </w:r>
      <w:r>
        <w:rPr>
          <w:rFonts w:hint="eastAsia" w:eastAsia="仿宋_GB2312" w:cs="仿宋_GB2312"/>
          <w:sz w:val="32"/>
          <w:szCs w:val="32"/>
        </w:rPr>
        <w:t>万元。截至2025年12月31日，单位共有公务用车</w:t>
      </w:r>
      <w:r>
        <w:rPr>
          <w:rFonts w:hint="eastAsia" w:eastAsia="仿宋_GB2312" w:cs="仿宋_GB2312"/>
          <w:sz w:val="32"/>
          <w:szCs w:val="32"/>
          <w:lang w:val="en-US" w:eastAsia="zh-CN"/>
        </w:rPr>
        <w:t>1</w:t>
      </w:r>
      <w:r>
        <w:rPr>
          <w:rFonts w:hint="eastAsia" w:eastAsia="仿宋_GB2312" w:cs="仿宋_GB2312"/>
          <w:sz w:val="32"/>
          <w:szCs w:val="32"/>
        </w:rPr>
        <w:t>辆，其中：轿车</w:t>
      </w:r>
      <w:r>
        <w:rPr>
          <w:rFonts w:hint="eastAsia" w:eastAsia="仿宋_GB2312" w:cs="仿宋_GB2312"/>
          <w:sz w:val="32"/>
          <w:szCs w:val="32"/>
          <w:lang w:val="en-US" w:eastAsia="zh-CN"/>
        </w:rPr>
        <w:t>0</w:t>
      </w:r>
      <w:r>
        <w:rPr>
          <w:rFonts w:hint="eastAsia" w:eastAsia="仿宋_GB2312" w:cs="仿宋_GB2312"/>
          <w:sz w:val="32"/>
          <w:szCs w:val="32"/>
        </w:rPr>
        <w:t>辆、越野车</w:t>
      </w:r>
      <w:r>
        <w:rPr>
          <w:rFonts w:hint="eastAsia" w:eastAsia="仿宋_GB2312" w:cs="仿宋_GB2312"/>
          <w:sz w:val="32"/>
          <w:szCs w:val="32"/>
          <w:lang w:val="en-US" w:eastAsia="zh-CN"/>
        </w:rPr>
        <w:t>1</w:t>
      </w:r>
      <w:r>
        <w:rPr>
          <w:rFonts w:hint="eastAsia" w:eastAsia="仿宋_GB2312" w:cs="仿宋_GB2312"/>
          <w:sz w:val="32"/>
          <w:szCs w:val="32"/>
        </w:rPr>
        <w:t>辆、载客汽车</w:t>
      </w:r>
      <w:r>
        <w:rPr>
          <w:rFonts w:hint="eastAsia" w:eastAsia="仿宋_GB2312" w:cs="仿宋_GB2312"/>
          <w:sz w:val="32"/>
          <w:szCs w:val="32"/>
          <w:lang w:val="en-US" w:eastAsia="zh-CN"/>
        </w:rPr>
        <w:t>0</w:t>
      </w:r>
      <w:r>
        <w:rPr>
          <w:rFonts w:hint="eastAsia" w:eastAsia="仿宋_GB2312" w:cs="仿宋_GB2312"/>
          <w:sz w:val="32"/>
          <w:szCs w:val="32"/>
        </w:rPr>
        <w:t>辆。</w:t>
      </w:r>
    </w:p>
    <w:p w14:paraId="106257FF">
      <w:pPr>
        <w:spacing w:line="600" w:lineRule="exact"/>
        <w:ind w:firstLine="640"/>
        <w:rPr>
          <w:rFonts w:hint="eastAsia" w:eastAsia="仿宋_GB2312" w:cs="仿宋_GB2312"/>
          <w:sz w:val="32"/>
          <w:szCs w:val="32"/>
        </w:rPr>
      </w:pPr>
      <w:r>
        <w:rPr>
          <w:rFonts w:hint="eastAsia" w:eastAsia="仿宋_GB2312" w:cs="仿宋_GB2312"/>
          <w:sz w:val="32"/>
          <w:szCs w:val="32"/>
        </w:rPr>
        <w:t>公务用车运行维护费支出</w:t>
      </w:r>
      <w:r>
        <w:rPr>
          <w:rFonts w:hint="eastAsia" w:ascii="仿宋_GB2312" w:hAnsi="仿宋_GB2312" w:eastAsia="仿宋_GB2312" w:cs="仿宋_GB2312"/>
          <w:sz w:val="32"/>
          <w:szCs w:val="32"/>
        </w:rPr>
        <w:t>5</w:t>
      </w:r>
      <w:r>
        <w:rPr>
          <w:rFonts w:hint="eastAsia" w:eastAsia="仿宋_GB2312" w:cs="仿宋_GB2312"/>
          <w:sz w:val="32"/>
          <w:szCs w:val="32"/>
        </w:rPr>
        <w:t>万元。主要用于</w:t>
      </w:r>
      <w:r>
        <w:rPr>
          <w:rFonts w:hint="eastAsia" w:eastAsia="仿宋_GB2312" w:cs="仿宋_GB2312"/>
          <w:sz w:val="32"/>
          <w:szCs w:val="32"/>
          <w:lang w:val="en-US" w:eastAsia="zh-CN"/>
        </w:rPr>
        <w:t>因公出差</w:t>
      </w:r>
      <w:r>
        <w:rPr>
          <w:rFonts w:hint="eastAsia" w:eastAsia="仿宋_GB2312" w:cs="仿宋_GB2312"/>
          <w:sz w:val="32"/>
          <w:szCs w:val="32"/>
        </w:rPr>
        <w:t>所需的公务用车燃料费、维修费、过路过桥费、保险费等支出。</w:t>
      </w:r>
      <w:r>
        <w:rPr>
          <w:rFonts w:hint="eastAsia" w:eastAsia="仿宋_GB2312" w:cs="仿宋_GB2312"/>
          <w:b/>
          <w:bCs/>
          <w:sz w:val="32"/>
          <w:szCs w:val="32"/>
        </w:rPr>
        <w:t>3.公务接待费支出</w:t>
      </w:r>
      <w:r>
        <w:rPr>
          <w:rFonts w:hint="eastAsia" w:ascii="仿宋_GB2312" w:hAnsi="仿宋_GB2312" w:eastAsia="仿宋_GB2312" w:cs="仿宋_GB2312"/>
          <w:b/>
          <w:bCs/>
          <w:sz w:val="32"/>
          <w:szCs w:val="32"/>
        </w:rPr>
        <w:t>0</w:t>
      </w:r>
      <w:r>
        <w:rPr>
          <w:rFonts w:hint="eastAsia" w:eastAsia="仿宋_GB2312" w:cs="仿宋_GB2312"/>
          <w:b/>
          <w:bCs/>
          <w:sz w:val="32"/>
          <w:szCs w:val="32"/>
        </w:rPr>
        <w:t>万元，完成预算</w:t>
      </w:r>
      <w:r>
        <w:rPr>
          <w:rFonts w:hint="eastAsia" w:eastAsia="仿宋_GB2312" w:cs="仿宋_GB2312"/>
          <w:b/>
          <w:bCs/>
          <w:sz w:val="32"/>
          <w:szCs w:val="32"/>
          <w:lang w:val="en-US" w:eastAsia="zh-CN"/>
        </w:rPr>
        <w:t>100</w:t>
      </w:r>
      <w:r>
        <w:rPr>
          <w:rFonts w:hint="eastAsia" w:eastAsia="仿宋_GB2312" w:cs="仿宋_GB2312"/>
          <w:b/>
          <w:bCs/>
          <w:sz w:val="32"/>
          <w:szCs w:val="32"/>
        </w:rPr>
        <w:t>%。</w:t>
      </w:r>
      <w:r>
        <w:rPr>
          <w:rFonts w:hint="eastAsia" w:eastAsia="仿宋_GB2312" w:cs="仿宋_GB2312"/>
          <w:sz w:val="32"/>
          <w:szCs w:val="32"/>
        </w:rPr>
        <w:t>公务接待费支出决算比上年度增加</w:t>
      </w:r>
      <w:r>
        <w:rPr>
          <w:rFonts w:hint="eastAsia" w:eastAsia="仿宋_GB2312" w:cs="仿宋_GB2312"/>
          <w:sz w:val="32"/>
          <w:szCs w:val="32"/>
          <w:lang w:val="en-US" w:eastAsia="zh-CN"/>
        </w:rPr>
        <w:t>0</w:t>
      </w:r>
      <w:r>
        <w:rPr>
          <w:rFonts w:hint="eastAsia" w:eastAsia="仿宋_GB2312" w:cs="仿宋_GB2312"/>
          <w:sz w:val="32"/>
          <w:szCs w:val="32"/>
        </w:rPr>
        <w:t>万元，增长</w:t>
      </w:r>
      <w:r>
        <w:rPr>
          <w:rFonts w:hint="eastAsia" w:eastAsia="仿宋_GB2312" w:cs="仿宋_GB2312"/>
          <w:sz w:val="32"/>
          <w:szCs w:val="32"/>
          <w:lang w:val="en-US" w:eastAsia="zh-CN"/>
        </w:rPr>
        <w:t>0</w:t>
      </w:r>
      <w:r>
        <w:rPr>
          <w:rFonts w:hint="eastAsia" w:eastAsia="仿宋_GB2312" w:cs="仿宋_GB2312"/>
          <w:sz w:val="32"/>
          <w:szCs w:val="32"/>
        </w:rPr>
        <w:t>%。</w:t>
      </w:r>
    </w:p>
    <w:p w14:paraId="25A4E8F0">
      <w:pPr>
        <w:spacing w:line="600" w:lineRule="exact"/>
        <w:ind w:firstLine="640"/>
        <w:rPr>
          <w:rFonts w:eastAsia="仿宋_GB2312" w:cs="仿宋_GB2312"/>
          <w:sz w:val="32"/>
          <w:szCs w:val="32"/>
        </w:rPr>
      </w:pPr>
      <w:r>
        <w:rPr>
          <w:rFonts w:hint="eastAsia" w:eastAsia="仿宋_GB2312" w:cs="仿宋_GB2312"/>
          <w:sz w:val="32"/>
          <w:szCs w:val="32"/>
        </w:rPr>
        <w:t>其中：</w:t>
      </w:r>
    </w:p>
    <w:p w14:paraId="42950DA1">
      <w:pPr>
        <w:spacing w:line="600" w:lineRule="exact"/>
        <w:ind w:firstLine="640"/>
        <w:rPr>
          <w:rFonts w:eastAsia="仿宋_GB2312" w:cs="仿宋_GB2312"/>
          <w:sz w:val="32"/>
          <w:szCs w:val="32"/>
        </w:rPr>
      </w:pPr>
      <w:r>
        <w:rPr>
          <w:rFonts w:hint="eastAsia" w:eastAsia="仿宋_GB2312" w:cs="仿宋_GB2312"/>
          <w:sz w:val="32"/>
          <w:szCs w:val="32"/>
        </w:rPr>
        <w:t>国内公务接待支出</w:t>
      </w:r>
      <w:r>
        <w:rPr>
          <w:rFonts w:hint="eastAsia" w:ascii="仿宋_GB2312" w:hAnsi="仿宋_GB2312" w:eastAsia="仿宋_GB2312" w:cs="仿宋_GB2312"/>
          <w:sz w:val="32"/>
          <w:szCs w:val="32"/>
        </w:rPr>
        <w:t>0</w:t>
      </w:r>
      <w:r>
        <w:rPr>
          <w:rFonts w:hint="eastAsia" w:eastAsia="仿宋_GB2312" w:cs="仿宋_GB2312"/>
          <w:sz w:val="32"/>
          <w:szCs w:val="32"/>
        </w:rPr>
        <w:t>万元。国内公务接待</w:t>
      </w:r>
      <w:r>
        <w:rPr>
          <w:rFonts w:hint="eastAsia" w:ascii="仿宋_GB2312" w:hAnsi="仿宋_GB2312" w:eastAsia="仿宋_GB2312" w:cs="仿宋_GB2312"/>
          <w:sz w:val="32"/>
          <w:szCs w:val="32"/>
        </w:rPr>
        <w:t>0</w:t>
      </w:r>
      <w:r>
        <w:rPr>
          <w:rFonts w:hint="eastAsia" w:eastAsia="仿宋_GB2312" w:cs="仿宋_GB2312"/>
          <w:sz w:val="32"/>
          <w:szCs w:val="32"/>
        </w:rPr>
        <w:t>批次，</w:t>
      </w:r>
      <w:r>
        <w:rPr>
          <w:rFonts w:hint="eastAsia" w:ascii="仿宋_GB2312" w:hAnsi="仿宋_GB2312" w:eastAsia="仿宋_GB2312" w:cs="仿宋_GB2312"/>
          <w:sz w:val="32"/>
          <w:szCs w:val="32"/>
        </w:rPr>
        <w:t>0</w:t>
      </w:r>
      <w:r>
        <w:rPr>
          <w:rFonts w:hint="eastAsia" w:eastAsia="仿宋_GB2312" w:cs="仿宋_GB2312"/>
          <w:sz w:val="32"/>
          <w:szCs w:val="32"/>
        </w:rPr>
        <w:t>人次（不包括陪同人员），共计支出</w:t>
      </w:r>
      <w:r>
        <w:rPr>
          <w:rFonts w:hint="eastAsia" w:eastAsia="仿宋_GB2312" w:cs="仿宋_GB2312"/>
          <w:sz w:val="32"/>
          <w:szCs w:val="32"/>
          <w:lang w:val="en-US" w:eastAsia="zh-CN"/>
        </w:rPr>
        <w:t>0</w:t>
      </w:r>
      <w:r>
        <w:rPr>
          <w:rFonts w:hint="eastAsia" w:eastAsia="仿宋_GB2312" w:cs="仿宋_GB2312"/>
          <w:sz w:val="32"/>
          <w:szCs w:val="32"/>
        </w:rPr>
        <w:t>万元。</w:t>
      </w:r>
    </w:p>
    <w:p w14:paraId="32A3FCCA">
      <w:pPr>
        <w:spacing w:line="600" w:lineRule="exact"/>
        <w:ind w:firstLine="640"/>
        <w:rPr>
          <w:rFonts w:eastAsia="仿宋_GB2312" w:cs="仿宋_GB2312"/>
          <w:sz w:val="32"/>
          <w:szCs w:val="32"/>
        </w:rPr>
      </w:pPr>
      <w:r>
        <w:rPr>
          <w:rFonts w:hint="eastAsia" w:eastAsia="仿宋_GB2312" w:cs="仿宋_GB2312"/>
          <w:sz w:val="32"/>
          <w:szCs w:val="32"/>
        </w:rPr>
        <w:t>外事接待支出</w:t>
      </w:r>
      <w:r>
        <w:rPr>
          <w:rFonts w:hint="eastAsia" w:ascii="仿宋_GB2312" w:hAnsi="仿宋_GB2312" w:eastAsia="仿宋_GB2312" w:cs="仿宋_GB2312"/>
          <w:sz w:val="32"/>
          <w:szCs w:val="32"/>
        </w:rPr>
        <w:t>0</w:t>
      </w:r>
      <w:r>
        <w:rPr>
          <w:rFonts w:hint="eastAsia" w:eastAsia="仿宋_GB2312" w:cs="仿宋_GB2312"/>
          <w:sz w:val="32"/>
          <w:szCs w:val="32"/>
        </w:rPr>
        <w:t>万元。外事接待</w:t>
      </w:r>
      <w:r>
        <w:rPr>
          <w:rFonts w:hint="eastAsia" w:ascii="仿宋_GB2312" w:hAnsi="仿宋_GB2312" w:eastAsia="仿宋_GB2312" w:cs="仿宋_GB2312"/>
          <w:sz w:val="32"/>
          <w:szCs w:val="32"/>
        </w:rPr>
        <w:t>0</w:t>
      </w:r>
      <w:r>
        <w:rPr>
          <w:rFonts w:hint="eastAsia" w:eastAsia="仿宋_GB2312" w:cs="仿宋_GB2312"/>
          <w:sz w:val="32"/>
          <w:szCs w:val="32"/>
        </w:rPr>
        <w:t>批次，</w:t>
      </w:r>
      <w:r>
        <w:rPr>
          <w:rFonts w:hint="eastAsia" w:ascii="仿宋_GB2312" w:hAnsi="仿宋_GB2312" w:eastAsia="仿宋_GB2312" w:cs="仿宋_GB2312"/>
          <w:sz w:val="32"/>
          <w:szCs w:val="32"/>
        </w:rPr>
        <w:t>0</w:t>
      </w:r>
      <w:r>
        <w:rPr>
          <w:rFonts w:hint="eastAsia" w:eastAsia="仿宋_GB2312" w:cs="仿宋_GB2312"/>
          <w:sz w:val="32"/>
          <w:szCs w:val="32"/>
        </w:rPr>
        <w:t>人次（不包括陪同人员），共计支出</w:t>
      </w:r>
      <w:r>
        <w:rPr>
          <w:rFonts w:hint="eastAsia" w:eastAsia="仿宋_GB2312" w:cs="仿宋_GB2312"/>
          <w:sz w:val="32"/>
          <w:szCs w:val="32"/>
          <w:lang w:val="en-US" w:eastAsia="zh-CN"/>
        </w:rPr>
        <w:t>0</w:t>
      </w:r>
      <w:r>
        <w:rPr>
          <w:rFonts w:hint="eastAsia" w:eastAsia="仿宋_GB2312" w:cs="仿宋_GB2312"/>
          <w:sz w:val="32"/>
          <w:szCs w:val="32"/>
        </w:rPr>
        <w:t>万元。</w:t>
      </w:r>
    </w:p>
    <w:p w14:paraId="23A0FC63">
      <w:pPr>
        <w:spacing w:line="600" w:lineRule="exact"/>
        <w:ind w:firstLine="640"/>
        <w:rPr>
          <w:rFonts w:eastAsia="仿宋_GB2312" w:cs="仿宋_GB2312"/>
          <w:sz w:val="32"/>
          <w:szCs w:val="32"/>
        </w:rPr>
      </w:pPr>
      <w:bookmarkStart w:id="40" w:name="_Toc15377218"/>
      <w:bookmarkStart w:id="41" w:name="_Toc15396610"/>
    </w:p>
    <w:p w14:paraId="0B804CEA">
      <w:pPr>
        <w:spacing w:line="600" w:lineRule="exact"/>
        <w:ind w:firstLine="640"/>
        <w:outlineLvl w:val="1"/>
        <w:rPr>
          <w:rStyle w:val="30"/>
          <w:rFonts w:ascii="Times New Roman" w:hAnsi="Times New Roman" w:eastAsia="黑体"/>
        </w:rPr>
      </w:pPr>
      <w:r>
        <w:rPr>
          <w:rFonts w:hint="eastAsia" w:eastAsia="黑体"/>
          <w:sz w:val="32"/>
          <w:szCs w:val="32"/>
        </w:rPr>
        <w:t>八、</w:t>
      </w:r>
      <w:r>
        <w:rPr>
          <w:rStyle w:val="30"/>
          <w:rFonts w:hint="eastAsia" w:ascii="Times New Roman" w:hAnsi="Times New Roman" w:eastAsia="黑体"/>
          <w:b w:val="0"/>
        </w:rPr>
        <w:t>政府性基金预算支出决算情况说明</w:t>
      </w:r>
      <w:bookmarkEnd w:id="40"/>
      <w:bookmarkEnd w:id="41"/>
    </w:p>
    <w:p w14:paraId="194A9864">
      <w:pPr>
        <w:spacing w:line="600" w:lineRule="exact"/>
        <w:ind w:firstLine="640"/>
        <w:rPr>
          <w:rFonts w:eastAsia="仿宋_GB2312" w:cs="仿宋_GB2312"/>
          <w:sz w:val="32"/>
          <w:szCs w:val="32"/>
        </w:rPr>
      </w:pPr>
      <w:r>
        <w:rPr>
          <w:rFonts w:hint="eastAsia" w:eastAsia="仿宋_GB2312" w:cs="仿宋_GB2312"/>
          <w:sz w:val="32"/>
          <w:szCs w:val="32"/>
        </w:rPr>
        <w:t>2025年度政府性基金预算财政拨款支出</w:t>
      </w:r>
      <w:r>
        <w:rPr>
          <w:rFonts w:hint="eastAsia" w:ascii="仿宋_GB2312" w:hAnsi="仿宋_GB2312" w:eastAsia="仿宋_GB2312" w:cs="仿宋_GB2312"/>
          <w:sz w:val="32"/>
          <w:szCs w:val="32"/>
        </w:rPr>
        <w:t>0</w:t>
      </w:r>
      <w:r>
        <w:rPr>
          <w:rFonts w:hint="eastAsia" w:eastAsia="仿宋_GB2312" w:cs="仿宋_GB2312"/>
          <w:sz w:val="32"/>
          <w:szCs w:val="32"/>
        </w:rPr>
        <w:t>万元，占本年支出合计的</w:t>
      </w:r>
      <w:r>
        <w:rPr>
          <w:rFonts w:hint="eastAsia" w:ascii="仿宋_GB2312" w:hAnsi="仿宋_GB2312" w:eastAsia="仿宋_GB2312" w:cs="仿宋_GB2312"/>
          <w:sz w:val="32"/>
          <w:szCs w:val="32"/>
        </w:rPr>
        <w:t>0</w:t>
      </w:r>
      <w:r>
        <w:rPr>
          <w:rFonts w:hint="eastAsia" w:eastAsia="仿宋_GB2312" w:cs="仿宋_GB2312"/>
          <w:sz w:val="32"/>
          <w:szCs w:val="32"/>
        </w:rPr>
        <w:t>%。与上年度相比，政府性基金预算财政拨款支出增加</w:t>
      </w:r>
      <w:r>
        <w:rPr>
          <w:rFonts w:hint="eastAsia" w:eastAsia="仿宋_GB2312" w:cs="仿宋_GB2312"/>
          <w:sz w:val="32"/>
          <w:szCs w:val="32"/>
          <w:lang w:val="en-US" w:eastAsia="zh-CN"/>
        </w:rPr>
        <w:t>0</w:t>
      </w:r>
      <w:r>
        <w:rPr>
          <w:rFonts w:hint="eastAsia" w:eastAsia="仿宋_GB2312" w:cs="仿宋_GB2312"/>
          <w:sz w:val="32"/>
          <w:szCs w:val="32"/>
        </w:rPr>
        <w:t>万元，增长</w:t>
      </w:r>
      <w:r>
        <w:rPr>
          <w:rFonts w:hint="eastAsia" w:eastAsia="仿宋_GB2312" w:cs="仿宋_GB2312"/>
          <w:sz w:val="32"/>
          <w:szCs w:val="32"/>
          <w:lang w:val="en-US" w:eastAsia="zh-CN"/>
        </w:rPr>
        <w:t>0</w:t>
      </w:r>
      <w:r>
        <w:rPr>
          <w:rFonts w:hint="eastAsia" w:eastAsia="仿宋_GB2312" w:cs="仿宋_GB2312"/>
          <w:sz w:val="32"/>
          <w:szCs w:val="32"/>
        </w:rPr>
        <w:t>%。</w:t>
      </w:r>
    </w:p>
    <w:p w14:paraId="0CE37C48">
      <w:pPr>
        <w:spacing w:line="600" w:lineRule="exact"/>
        <w:ind w:left="630"/>
        <w:outlineLvl w:val="1"/>
        <w:rPr>
          <w:rStyle w:val="30"/>
          <w:rFonts w:hint="eastAsia" w:ascii="Times New Roman" w:hAnsi="Times New Roman" w:eastAsia="黑体"/>
          <w:b w:val="0"/>
        </w:rPr>
      </w:pPr>
      <w:bookmarkStart w:id="42" w:name="_Toc15377219"/>
      <w:bookmarkStart w:id="43" w:name="_Toc15396611"/>
    </w:p>
    <w:p w14:paraId="2190FDBE">
      <w:pPr>
        <w:spacing w:line="600" w:lineRule="exact"/>
        <w:ind w:left="630"/>
        <w:outlineLvl w:val="1"/>
        <w:rPr>
          <w:rStyle w:val="30"/>
          <w:rFonts w:ascii="Times New Roman" w:hAnsi="Times New Roman" w:eastAsia="黑体"/>
          <w:b w:val="0"/>
        </w:rPr>
      </w:pPr>
      <w:r>
        <w:rPr>
          <w:rStyle w:val="30"/>
          <w:rFonts w:hint="eastAsia" w:ascii="Times New Roman" w:hAnsi="Times New Roman" w:eastAsia="黑体"/>
          <w:b w:val="0"/>
        </w:rPr>
        <w:t>九、国有资本经营预算支出决算情况说明</w:t>
      </w:r>
      <w:bookmarkEnd w:id="42"/>
      <w:bookmarkEnd w:id="43"/>
    </w:p>
    <w:p w14:paraId="1C2EEFA0">
      <w:pPr>
        <w:spacing w:line="600" w:lineRule="exact"/>
        <w:ind w:firstLine="640"/>
        <w:rPr>
          <w:rFonts w:eastAsia="仿宋_GB2312" w:cs="仿宋_GB2312"/>
          <w:sz w:val="32"/>
          <w:szCs w:val="32"/>
        </w:rPr>
      </w:pPr>
      <w:r>
        <w:rPr>
          <w:rFonts w:hint="eastAsia" w:eastAsia="仿宋_GB2312" w:cs="仿宋_GB2312"/>
          <w:sz w:val="32"/>
          <w:szCs w:val="32"/>
        </w:rPr>
        <w:t>2025年度国有资本经营预算财政拨款支出</w:t>
      </w:r>
      <w:r>
        <w:rPr>
          <w:rFonts w:hint="eastAsia" w:ascii="仿宋_GB2312" w:hAnsi="仿宋_GB2312" w:eastAsia="仿宋_GB2312" w:cs="仿宋_GB2312"/>
          <w:sz w:val="32"/>
          <w:szCs w:val="32"/>
        </w:rPr>
        <w:t>0</w:t>
      </w:r>
      <w:r>
        <w:rPr>
          <w:rFonts w:hint="eastAsia" w:eastAsia="仿宋_GB2312" w:cs="仿宋_GB2312"/>
          <w:sz w:val="32"/>
          <w:szCs w:val="32"/>
        </w:rPr>
        <w:t>万元，占本年支出合计的</w:t>
      </w:r>
      <w:r>
        <w:rPr>
          <w:rFonts w:hint="eastAsia" w:ascii="仿宋_GB2312" w:hAnsi="仿宋_GB2312" w:eastAsia="仿宋_GB2312" w:cs="仿宋_GB2312"/>
          <w:sz w:val="32"/>
          <w:szCs w:val="32"/>
        </w:rPr>
        <w:t>0</w:t>
      </w:r>
      <w:r>
        <w:rPr>
          <w:rFonts w:hint="eastAsia" w:eastAsia="仿宋_GB2312" w:cs="仿宋_GB2312"/>
          <w:sz w:val="32"/>
          <w:szCs w:val="32"/>
        </w:rPr>
        <w:t>%。与上年度相比，国有资本经营预算财政拨款支出增加</w:t>
      </w:r>
      <w:r>
        <w:rPr>
          <w:rFonts w:hint="eastAsia" w:eastAsia="仿宋_GB2312" w:cs="仿宋_GB2312"/>
          <w:sz w:val="32"/>
          <w:szCs w:val="32"/>
          <w:lang w:val="en-US" w:eastAsia="zh-CN"/>
        </w:rPr>
        <w:t>0</w:t>
      </w:r>
      <w:r>
        <w:rPr>
          <w:rFonts w:hint="eastAsia" w:eastAsia="仿宋_GB2312" w:cs="仿宋_GB2312"/>
          <w:sz w:val="32"/>
          <w:szCs w:val="32"/>
        </w:rPr>
        <w:t>万元，增长</w:t>
      </w:r>
      <w:r>
        <w:rPr>
          <w:rFonts w:hint="eastAsia" w:eastAsia="仿宋_GB2312" w:cs="仿宋_GB2312"/>
          <w:sz w:val="32"/>
          <w:szCs w:val="32"/>
          <w:lang w:val="en-US" w:eastAsia="zh-CN"/>
        </w:rPr>
        <w:t>0</w:t>
      </w:r>
      <w:r>
        <w:rPr>
          <w:rFonts w:hint="eastAsia" w:eastAsia="仿宋_GB2312" w:cs="仿宋_GB2312"/>
          <w:sz w:val="32"/>
          <w:szCs w:val="32"/>
        </w:rPr>
        <w:t>%。</w:t>
      </w:r>
    </w:p>
    <w:p w14:paraId="77CAFC5E">
      <w:pPr>
        <w:spacing w:line="600" w:lineRule="exact"/>
        <w:ind w:left="630"/>
        <w:outlineLvl w:val="1"/>
        <w:rPr>
          <w:rStyle w:val="30"/>
          <w:rFonts w:ascii="Times New Roman" w:hAnsi="Times New Roman" w:eastAsia="黑体"/>
          <w:b w:val="0"/>
        </w:rPr>
      </w:pPr>
      <w:bookmarkStart w:id="44" w:name="_Toc15396612"/>
      <w:bookmarkStart w:id="45" w:name="_Toc15377221"/>
      <w:r>
        <w:rPr>
          <w:rStyle w:val="30"/>
          <w:rFonts w:hint="eastAsia" w:ascii="Times New Roman" w:hAnsi="Times New Roman" w:eastAsia="黑体"/>
          <w:b w:val="0"/>
        </w:rPr>
        <w:t>十、其他重要事项的情况说明</w:t>
      </w:r>
      <w:bookmarkEnd w:id="44"/>
      <w:bookmarkEnd w:id="45"/>
    </w:p>
    <w:p w14:paraId="5F558570">
      <w:pPr>
        <w:spacing w:line="600" w:lineRule="exact"/>
        <w:ind w:firstLine="643" w:firstLineChars="200"/>
        <w:outlineLvl w:val="2"/>
        <w:rPr>
          <w:rFonts w:eastAsia="楷体_GB2312" w:cs="楷体_GB2312"/>
          <w:b/>
          <w:sz w:val="32"/>
          <w:szCs w:val="32"/>
        </w:rPr>
      </w:pPr>
      <w:bookmarkStart w:id="46" w:name="_Toc15377222"/>
      <w:r>
        <w:rPr>
          <w:rFonts w:hint="eastAsia" w:eastAsia="楷体_GB2312" w:cs="楷体_GB2312"/>
          <w:b/>
          <w:sz w:val="32"/>
          <w:szCs w:val="32"/>
        </w:rPr>
        <w:t>（一）机关运行经费支出情况</w:t>
      </w:r>
      <w:bookmarkEnd w:id="46"/>
    </w:p>
    <w:p w14:paraId="05857C28">
      <w:pPr>
        <w:spacing w:line="600" w:lineRule="exact"/>
        <w:ind w:firstLine="640"/>
        <w:rPr>
          <w:rFonts w:eastAsia="仿宋_GB2312" w:cs="仿宋_GB2312"/>
          <w:sz w:val="32"/>
          <w:szCs w:val="32"/>
        </w:rPr>
      </w:pPr>
      <w:r>
        <w:rPr>
          <w:rFonts w:hint="eastAsia" w:eastAsia="仿宋_GB2312" w:cs="仿宋_GB2312"/>
          <w:sz w:val="32"/>
          <w:szCs w:val="32"/>
        </w:rPr>
        <w:t>2025年度，</w:t>
      </w:r>
      <w:r>
        <w:rPr>
          <w:rFonts w:hint="eastAsia" w:ascii="仿宋_GB2312" w:hAnsi="仿宋_GB2312" w:eastAsia="仿宋_GB2312" w:cs="仿宋_GB2312"/>
          <w:sz w:val="32"/>
          <w:szCs w:val="32"/>
        </w:rPr>
        <w:t>阿坝州若尔盖县文化市场综合行政执法大队</w:t>
      </w:r>
      <w:r>
        <w:rPr>
          <w:rFonts w:hint="eastAsia" w:eastAsia="仿宋_GB2312" w:cs="仿宋_GB2312"/>
          <w:sz w:val="32"/>
          <w:szCs w:val="32"/>
        </w:rPr>
        <w:t>机关运行经费支出</w:t>
      </w:r>
      <w:r>
        <w:rPr>
          <w:rFonts w:hint="eastAsia" w:ascii="仿宋_GB2312" w:hAnsi="仿宋_GB2312" w:eastAsia="仿宋_GB2312" w:cs="仿宋_GB2312"/>
          <w:sz w:val="32"/>
          <w:szCs w:val="32"/>
        </w:rPr>
        <w:t>19.35</w:t>
      </w:r>
      <w:r>
        <w:rPr>
          <w:rFonts w:hint="eastAsia" w:eastAsia="仿宋_GB2312" w:cs="仿宋_GB2312"/>
          <w:sz w:val="32"/>
          <w:szCs w:val="32"/>
        </w:rPr>
        <w:t>万元，比上年度增加</w:t>
      </w:r>
      <w:r>
        <w:rPr>
          <w:rFonts w:hint="eastAsia" w:eastAsia="仿宋_GB2312" w:cs="仿宋_GB2312"/>
          <w:sz w:val="32"/>
          <w:szCs w:val="32"/>
          <w:lang w:val="en-US" w:eastAsia="zh-CN"/>
        </w:rPr>
        <w:t>5.95</w:t>
      </w:r>
      <w:r>
        <w:rPr>
          <w:rFonts w:hint="eastAsia" w:eastAsia="仿宋_GB2312" w:cs="仿宋_GB2312"/>
          <w:sz w:val="32"/>
          <w:szCs w:val="32"/>
        </w:rPr>
        <w:t>万元，增长</w:t>
      </w:r>
      <w:r>
        <w:rPr>
          <w:rFonts w:hint="eastAsia" w:eastAsia="仿宋_GB2312" w:cs="仿宋_GB2312"/>
          <w:sz w:val="32"/>
          <w:szCs w:val="32"/>
          <w:lang w:val="en-US" w:eastAsia="zh-CN"/>
        </w:rPr>
        <w:t>44.4</w:t>
      </w:r>
      <w:r>
        <w:rPr>
          <w:rFonts w:hint="eastAsia" w:eastAsia="仿宋_GB2312" w:cs="仿宋_GB2312"/>
          <w:sz w:val="32"/>
          <w:szCs w:val="32"/>
        </w:rPr>
        <w:t>%。主要原因是</w:t>
      </w:r>
      <w:r>
        <w:rPr>
          <w:rFonts w:hint="eastAsia" w:eastAsia="仿宋_GB2312" w:cs="仿宋_GB2312"/>
          <w:sz w:val="32"/>
          <w:szCs w:val="32"/>
          <w:lang w:val="en-US" w:eastAsia="zh-CN"/>
        </w:rPr>
        <w:t>人员变动，人员增加，人员经费增加。</w:t>
      </w:r>
    </w:p>
    <w:p w14:paraId="10B64DC1">
      <w:pPr>
        <w:spacing w:line="600" w:lineRule="exact"/>
        <w:ind w:firstLine="643" w:firstLineChars="200"/>
        <w:outlineLvl w:val="2"/>
        <w:rPr>
          <w:rFonts w:eastAsia="楷体_GB2312" w:cs="楷体_GB2312"/>
          <w:b/>
          <w:sz w:val="32"/>
          <w:szCs w:val="32"/>
        </w:rPr>
      </w:pPr>
      <w:bookmarkStart w:id="47" w:name="_Toc15377223"/>
      <w:r>
        <w:rPr>
          <w:rFonts w:hint="eastAsia" w:eastAsia="楷体_GB2312" w:cs="楷体_GB2312"/>
          <w:b/>
          <w:sz w:val="32"/>
          <w:szCs w:val="32"/>
        </w:rPr>
        <w:t>（二）政府采购支出情况</w:t>
      </w:r>
      <w:bookmarkEnd w:id="47"/>
    </w:p>
    <w:p w14:paraId="584752D5">
      <w:pPr>
        <w:spacing w:line="600" w:lineRule="exact"/>
        <w:ind w:firstLine="640"/>
        <w:rPr>
          <w:rFonts w:eastAsia="仿宋_GB2312" w:cs="仿宋_GB2312"/>
          <w:sz w:val="32"/>
          <w:szCs w:val="32"/>
        </w:rPr>
      </w:pPr>
      <w:r>
        <w:rPr>
          <w:rFonts w:hint="eastAsia" w:eastAsia="仿宋_GB2312" w:cs="仿宋_GB2312"/>
          <w:sz w:val="32"/>
          <w:szCs w:val="32"/>
        </w:rPr>
        <w:t>2025年度，</w:t>
      </w:r>
      <w:r>
        <w:rPr>
          <w:rFonts w:hint="eastAsia" w:ascii="仿宋_GB2312" w:hAnsi="仿宋_GB2312" w:eastAsia="仿宋_GB2312" w:cs="仿宋_GB2312"/>
          <w:sz w:val="32"/>
          <w:szCs w:val="32"/>
        </w:rPr>
        <w:t>阿坝州若尔盖县文化市场综合行政执法大队</w:t>
      </w:r>
      <w:r>
        <w:rPr>
          <w:rFonts w:hint="eastAsia" w:eastAsia="仿宋_GB2312" w:cs="仿宋_GB2312"/>
          <w:sz w:val="32"/>
          <w:szCs w:val="32"/>
        </w:rPr>
        <w:t>政府采购支出总额</w:t>
      </w:r>
      <w:r>
        <w:rPr>
          <w:rFonts w:hint="eastAsia" w:ascii="仿宋_GB2312" w:hAnsi="仿宋_GB2312" w:eastAsia="仿宋_GB2312" w:cs="仿宋_GB2312"/>
          <w:sz w:val="32"/>
          <w:szCs w:val="32"/>
        </w:rPr>
        <w:t>0</w:t>
      </w:r>
      <w:r>
        <w:rPr>
          <w:rFonts w:hint="eastAsia" w:eastAsia="仿宋_GB2312" w:cs="仿宋_GB2312"/>
          <w:sz w:val="32"/>
          <w:szCs w:val="32"/>
        </w:rPr>
        <w:t>万元，其中：政府采购货物支出</w:t>
      </w:r>
      <w:r>
        <w:rPr>
          <w:rFonts w:hint="eastAsia" w:ascii="仿宋_GB2312" w:hAnsi="仿宋_GB2312" w:eastAsia="仿宋_GB2312" w:cs="仿宋_GB2312"/>
          <w:sz w:val="32"/>
          <w:szCs w:val="32"/>
        </w:rPr>
        <w:t>0</w:t>
      </w:r>
      <w:r>
        <w:rPr>
          <w:rFonts w:hint="eastAsia" w:eastAsia="仿宋_GB2312" w:cs="仿宋_GB2312"/>
          <w:sz w:val="32"/>
          <w:szCs w:val="32"/>
        </w:rPr>
        <w:t>万元、政府采购工程支出</w:t>
      </w:r>
      <w:r>
        <w:rPr>
          <w:rFonts w:hint="eastAsia" w:ascii="仿宋_GB2312" w:hAnsi="仿宋_GB2312" w:eastAsia="仿宋_GB2312" w:cs="仿宋_GB2312"/>
          <w:sz w:val="32"/>
          <w:szCs w:val="32"/>
        </w:rPr>
        <w:t>0</w:t>
      </w:r>
      <w:r>
        <w:rPr>
          <w:rFonts w:hint="eastAsia" w:eastAsia="仿宋_GB2312" w:cs="仿宋_GB2312"/>
          <w:sz w:val="32"/>
          <w:szCs w:val="32"/>
        </w:rPr>
        <w:t>万元、政府采购服务支出</w:t>
      </w:r>
      <w:r>
        <w:rPr>
          <w:rFonts w:hint="eastAsia" w:ascii="仿宋_GB2312" w:hAnsi="仿宋_GB2312" w:eastAsia="仿宋_GB2312" w:cs="仿宋_GB2312"/>
          <w:sz w:val="32"/>
          <w:szCs w:val="32"/>
        </w:rPr>
        <w:t>0</w:t>
      </w:r>
      <w:r>
        <w:rPr>
          <w:rFonts w:hint="eastAsia" w:eastAsia="仿宋_GB2312" w:cs="仿宋_GB2312"/>
          <w:sz w:val="32"/>
          <w:szCs w:val="32"/>
        </w:rPr>
        <w:t>万元。授予中小企业合同金额</w:t>
      </w:r>
      <w:r>
        <w:rPr>
          <w:rFonts w:hint="eastAsia" w:ascii="仿宋_GB2312" w:hAnsi="仿宋_GB2312" w:eastAsia="仿宋_GB2312" w:cs="仿宋_GB2312"/>
          <w:sz w:val="32"/>
          <w:szCs w:val="32"/>
        </w:rPr>
        <w:t>0</w:t>
      </w:r>
      <w:r>
        <w:rPr>
          <w:rFonts w:hint="eastAsia" w:eastAsia="仿宋_GB2312" w:cs="仿宋_GB2312"/>
          <w:sz w:val="32"/>
          <w:szCs w:val="32"/>
        </w:rPr>
        <w:t>万元，占政府采购支出总额的</w:t>
      </w:r>
      <w:r>
        <w:rPr>
          <w:rFonts w:hint="eastAsia" w:ascii="仿宋_GB2312" w:hAnsi="仿宋_GB2312" w:eastAsia="仿宋_GB2312" w:cs="仿宋_GB2312"/>
          <w:sz w:val="32"/>
          <w:szCs w:val="32"/>
        </w:rPr>
        <w:t>0</w:t>
      </w:r>
      <w:r>
        <w:rPr>
          <w:rFonts w:hint="eastAsia" w:eastAsia="仿宋_GB2312" w:cs="仿宋_GB2312"/>
          <w:sz w:val="32"/>
          <w:szCs w:val="32"/>
        </w:rPr>
        <w:t>%，其中：授予小微企业合同金额</w:t>
      </w:r>
      <w:r>
        <w:rPr>
          <w:rFonts w:hint="eastAsia" w:ascii="仿宋_GB2312" w:hAnsi="仿宋_GB2312" w:eastAsia="仿宋_GB2312" w:cs="仿宋_GB2312"/>
          <w:sz w:val="32"/>
          <w:szCs w:val="32"/>
        </w:rPr>
        <w:t>0</w:t>
      </w:r>
      <w:r>
        <w:rPr>
          <w:rFonts w:hint="eastAsia" w:eastAsia="仿宋_GB2312" w:cs="仿宋_GB2312"/>
          <w:sz w:val="32"/>
          <w:szCs w:val="32"/>
        </w:rPr>
        <w:t>万元，占政府采购支出总额的</w:t>
      </w:r>
      <w:r>
        <w:rPr>
          <w:rFonts w:hint="eastAsia" w:ascii="仿宋_GB2312" w:hAnsi="仿宋_GB2312" w:eastAsia="仿宋_GB2312" w:cs="仿宋_GB2312"/>
          <w:sz w:val="32"/>
          <w:szCs w:val="32"/>
        </w:rPr>
        <w:t>0</w:t>
      </w:r>
      <w:r>
        <w:rPr>
          <w:rFonts w:hint="eastAsia" w:eastAsia="仿宋_GB2312" w:cs="仿宋_GB2312"/>
          <w:sz w:val="32"/>
          <w:szCs w:val="32"/>
        </w:rPr>
        <w:t>%。</w:t>
      </w:r>
    </w:p>
    <w:p w14:paraId="4CE0E3DA">
      <w:pPr>
        <w:spacing w:line="600" w:lineRule="exact"/>
        <w:ind w:firstLine="640"/>
        <w:rPr>
          <w:rFonts w:eastAsia="仿宋_GB2312" w:cs="仿宋_GB2312"/>
          <w:sz w:val="32"/>
          <w:szCs w:val="32"/>
        </w:rPr>
      </w:pPr>
    </w:p>
    <w:p w14:paraId="3A4EF958">
      <w:pPr>
        <w:spacing w:line="600" w:lineRule="exact"/>
        <w:ind w:firstLine="643" w:firstLineChars="200"/>
        <w:outlineLvl w:val="2"/>
        <w:rPr>
          <w:rFonts w:eastAsia="楷体_GB2312" w:cs="楷体_GB2312"/>
          <w:b/>
          <w:sz w:val="32"/>
          <w:szCs w:val="32"/>
        </w:rPr>
      </w:pPr>
      <w:bookmarkStart w:id="48" w:name="_Toc15377224"/>
      <w:r>
        <w:rPr>
          <w:rFonts w:hint="eastAsia" w:eastAsia="楷体_GB2312" w:cs="楷体_GB2312"/>
          <w:b/>
          <w:sz w:val="32"/>
          <w:szCs w:val="32"/>
        </w:rPr>
        <w:t>（三）国有资产占有使用情况</w:t>
      </w:r>
      <w:bookmarkEnd w:id="48"/>
    </w:p>
    <w:p w14:paraId="528412C4">
      <w:pPr>
        <w:spacing w:line="600" w:lineRule="exact"/>
        <w:ind w:firstLine="640"/>
        <w:rPr>
          <w:rFonts w:eastAsia="仿宋_GB2312" w:cs="仿宋_GB2312"/>
          <w:sz w:val="32"/>
          <w:szCs w:val="32"/>
        </w:rPr>
      </w:pPr>
      <w:r>
        <w:rPr>
          <w:rFonts w:hint="eastAsia" w:eastAsia="仿宋_GB2312" w:cs="仿宋_GB2312"/>
          <w:sz w:val="32"/>
          <w:szCs w:val="32"/>
        </w:rPr>
        <w:t>截至2025年12月31日，</w:t>
      </w:r>
      <w:r>
        <w:rPr>
          <w:rFonts w:hint="eastAsia" w:ascii="仿宋_GB2312" w:hAnsi="仿宋_GB2312" w:eastAsia="仿宋_GB2312" w:cs="仿宋_GB2312"/>
          <w:sz w:val="32"/>
          <w:szCs w:val="32"/>
        </w:rPr>
        <w:t>阿坝州若尔盖县文化市场综合行政执法大队</w:t>
      </w:r>
      <w:r>
        <w:rPr>
          <w:rFonts w:hint="eastAsia" w:eastAsia="仿宋_GB2312" w:cs="仿宋_GB2312"/>
          <w:sz w:val="32"/>
          <w:szCs w:val="32"/>
        </w:rPr>
        <w:t>共有车辆</w:t>
      </w:r>
      <w:r>
        <w:rPr>
          <w:rFonts w:hint="eastAsia" w:ascii="仿宋_GB2312" w:hAnsi="仿宋_GB2312" w:eastAsia="仿宋_GB2312" w:cs="仿宋_GB2312"/>
          <w:sz w:val="32"/>
          <w:szCs w:val="32"/>
        </w:rPr>
        <w:t>1</w:t>
      </w:r>
      <w:r>
        <w:rPr>
          <w:rFonts w:hint="eastAsia" w:eastAsia="仿宋_GB2312" w:cs="仿宋_GB2312"/>
          <w:sz w:val="32"/>
          <w:szCs w:val="32"/>
        </w:rPr>
        <w:t>辆，其中：副部（省）级及以上领导用车</w:t>
      </w:r>
      <w:r>
        <w:rPr>
          <w:rFonts w:hint="eastAsia" w:ascii="仿宋_GB2312" w:hAnsi="仿宋_GB2312" w:eastAsia="仿宋_GB2312" w:cs="仿宋_GB2312"/>
          <w:sz w:val="32"/>
          <w:szCs w:val="32"/>
        </w:rPr>
        <w:t>0</w:t>
      </w:r>
      <w:r>
        <w:rPr>
          <w:rFonts w:hint="eastAsia" w:eastAsia="仿宋_GB2312" w:cs="仿宋_GB2312"/>
          <w:sz w:val="32"/>
          <w:szCs w:val="32"/>
        </w:rPr>
        <w:t>辆、主要负责人用车</w:t>
      </w:r>
      <w:r>
        <w:rPr>
          <w:rFonts w:hint="eastAsia" w:ascii="仿宋_GB2312" w:hAnsi="仿宋_GB2312" w:eastAsia="仿宋_GB2312" w:cs="仿宋_GB2312"/>
          <w:sz w:val="32"/>
          <w:szCs w:val="32"/>
        </w:rPr>
        <w:t>0</w:t>
      </w:r>
      <w:r>
        <w:rPr>
          <w:rFonts w:hint="eastAsia" w:eastAsia="仿宋_GB2312" w:cs="仿宋_GB2312"/>
          <w:sz w:val="32"/>
          <w:szCs w:val="32"/>
        </w:rPr>
        <w:t>辆、机要通信用车</w:t>
      </w:r>
      <w:r>
        <w:rPr>
          <w:rFonts w:hint="eastAsia" w:ascii="仿宋_GB2312" w:hAnsi="仿宋_GB2312" w:eastAsia="仿宋_GB2312" w:cs="仿宋_GB2312"/>
          <w:sz w:val="32"/>
          <w:szCs w:val="32"/>
        </w:rPr>
        <w:t>0</w:t>
      </w:r>
      <w:r>
        <w:rPr>
          <w:rFonts w:hint="eastAsia" w:eastAsia="仿宋_GB2312" w:cs="仿宋_GB2312"/>
          <w:sz w:val="32"/>
          <w:szCs w:val="32"/>
        </w:rPr>
        <w:t>辆、应急保障用车</w:t>
      </w:r>
      <w:r>
        <w:rPr>
          <w:rFonts w:hint="eastAsia" w:ascii="仿宋_GB2312" w:hAnsi="仿宋_GB2312" w:eastAsia="仿宋_GB2312" w:cs="仿宋_GB2312"/>
          <w:sz w:val="32"/>
          <w:szCs w:val="32"/>
        </w:rPr>
        <w:t>1</w:t>
      </w:r>
      <w:r>
        <w:rPr>
          <w:rFonts w:hint="eastAsia" w:eastAsia="仿宋_GB2312" w:cs="仿宋_GB2312"/>
          <w:sz w:val="32"/>
          <w:szCs w:val="32"/>
        </w:rPr>
        <w:t>辆、执法执勤用车</w:t>
      </w:r>
      <w:r>
        <w:rPr>
          <w:rFonts w:hint="eastAsia" w:ascii="仿宋_GB2312" w:hAnsi="仿宋_GB2312" w:eastAsia="仿宋_GB2312" w:cs="仿宋_GB2312"/>
          <w:sz w:val="32"/>
          <w:szCs w:val="32"/>
        </w:rPr>
        <w:t>0</w:t>
      </w:r>
      <w:r>
        <w:rPr>
          <w:rFonts w:hint="eastAsia" w:eastAsia="仿宋_GB2312" w:cs="仿宋_GB2312"/>
          <w:sz w:val="32"/>
          <w:szCs w:val="32"/>
        </w:rPr>
        <w:t>辆、特种专业技术用车</w:t>
      </w:r>
      <w:r>
        <w:rPr>
          <w:rFonts w:hint="eastAsia" w:ascii="仿宋_GB2312" w:hAnsi="仿宋_GB2312" w:eastAsia="仿宋_GB2312" w:cs="仿宋_GB2312"/>
          <w:sz w:val="32"/>
          <w:szCs w:val="32"/>
        </w:rPr>
        <w:t>0</w:t>
      </w:r>
      <w:r>
        <w:rPr>
          <w:rFonts w:hint="eastAsia" w:eastAsia="仿宋_GB2312" w:cs="仿宋_GB2312"/>
          <w:sz w:val="32"/>
          <w:szCs w:val="32"/>
        </w:rPr>
        <w:t>辆、离退休干部服务用车</w:t>
      </w:r>
      <w:r>
        <w:rPr>
          <w:rFonts w:hint="eastAsia" w:ascii="仿宋_GB2312" w:hAnsi="仿宋_GB2312" w:eastAsia="仿宋_GB2312" w:cs="仿宋_GB2312"/>
          <w:sz w:val="32"/>
          <w:szCs w:val="32"/>
        </w:rPr>
        <w:t>0</w:t>
      </w:r>
      <w:r>
        <w:rPr>
          <w:rFonts w:hint="eastAsia" w:eastAsia="仿宋_GB2312" w:cs="仿宋_GB2312"/>
          <w:sz w:val="32"/>
          <w:szCs w:val="32"/>
        </w:rPr>
        <w:t>辆、其他用车</w:t>
      </w:r>
      <w:r>
        <w:rPr>
          <w:rFonts w:hint="eastAsia" w:ascii="仿宋_GB2312" w:hAnsi="仿宋_GB2312" w:eastAsia="仿宋_GB2312" w:cs="仿宋_GB2312"/>
          <w:sz w:val="32"/>
          <w:szCs w:val="32"/>
        </w:rPr>
        <w:t>0</w:t>
      </w:r>
      <w:r>
        <w:rPr>
          <w:rFonts w:hint="eastAsia" w:eastAsia="仿宋_GB2312" w:cs="仿宋_GB2312"/>
          <w:sz w:val="32"/>
          <w:szCs w:val="32"/>
        </w:rPr>
        <w:t>辆。单价100万元（含）以上设备（不含车辆）</w:t>
      </w:r>
      <w:r>
        <w:rPr>
          <w:rFonts w:hint="eastAsia" w:ascii="仿宋_GB2312" w:hAnsi="仿宋_GB2312" w:eastAsia="仿宋_GB2312" w:cs="仿宋_GB2312"/>
          <w:sz w:val="32"/>
          <w:szCs w:val="32"/>
        </w:rPr>
        <w:t>0</w:t>
      </w:r>
      <w:r>
        <w:rPr>
          <w:rFonts w:hint="eastAsia" w:eastAsia="仿宋_GB2312" w:cs="仿宋_GB2312"/>
          <w:sz w:val="32"/>
          <w:szCs w:val="32"/>
        </w:rPr>
        <w:t>台（套）。</w:t>
      </w:r>
    </w:p>
    <w:p w14:paraId="3B64DCE9">
      <w:pPr>
        <w:spacing w:line="600" w:lineRule="exact"/>
        <w:ind w:firstLine="640"/>
        <w:rPr>
          <w:rFonts w:eastAsia="仿宋_GB2312" w:cs="仿宋_GB2312"/>
          <w:sz w:val="32"/>
          <w:szCs w:val="32"/>
        </w:rPr>
      </w:pPr>
    </w:p>
    <w:p w14:paraId="4610986F">
      <w:pPr>
        <w:spacing w:line="600" w:lineRule="exact"/>
        <w:ind w:firstLine="643" w:firstLineChars="200"/>
        <w:outlineLvl w:val="2"/>
        <w:rPr>
          <w:rFonts w:eastAsia="楷体_GB2312" w:cs="楷体_GB2312"/>
          <w:b/>
          <w:sz w:val="32"/>
          <w:szCs w:val="32"/>
        </w:rPr>
      </w:pPr>
      <w:r>
        <w:rPr>
          <w:rFonts w:hint="eastAsia" w:eastAsia="楷体_GB2312" w:cs="楷体_GB2312"/>
          <w:b/>
          <w:sz w:val="32"/>
          <w:szCs w:val="32"/>
        </w:rPr>
        <w:t>（四）预算绩效管理情况</w:t>
      </w:r>
    </w:p>
    <w:p w14:paraId="7FABB361">
      <w:pPr>
        <w:spacing w:line="600" w:lineRule="exact"/>
        <w:ind w:firstLine="640"/>
        <w:rPr>
          <w:rFonts w:hint="eastAsia" w:eastAsia="仿宋_GB2312" w:cs="仿宋_GB2312"/>
          <w:sz w:val="32"/>
          <w:szCs w:val="32"/>
        </w:rPr>
      </w:pPr>
      <w:r>
        <w:rPr>
          <w:rFonts w:hint="eastAsia" w:eastAsia="仿宋_GB2312" w:cs="仿宋_GB2312"/>
          <w:sz w:val="32"/>
          <w:szCs w:val="32"/>
        </w:rPr>
        <w:t>根据预算绩效管理要求，</w:t>
      </w:r>
      <w:r>
        <w:rPr>
          <w:rFonts w:hint="eastAsia" w:eastAsia="仿宋_GB2312" w:cs="仿宋_GB2312"/>
          <w:sz w:val="32"/>
          <w:szCs w:val="32"/>
          <w:lang w:val="en-US" w:eastAsia="zh-CN"/>
        </w:rPr>
        <w:t>本部门</w:t>
      </w:r>
      <w:r>
        <w:rPr>
          <w:rFonts w:hint="eastAsia" w:eastAsia="仿宋_GB2312" w:cs="仿宋_GB2312"/>
          <w:sz w:val="32"/>
          <w:szCs w:val="32"/>
        </w:rPr>
        <w:t>在2025年度，组织对</w:t>
      </w:r>
      <w:r>
        <w:rPr>
          <w:rFonts w:hint="eastAsia" w:eastAsia="仿宋_GB2312" w:cs="仿宋_GB2312"/>
          <w:sz w:val="32"/>
          <w:szCs w:val="32"/>
          <w:lang w:val="en-US" w:eastAsia="zh-CN"/>
        </w:rPr>
        <w:t>0</w:t>
      </w:r>
      <w:r>
        <w:rPr>
          <w:rFonts w:hint="eastAsia" w:eastAsia="仿宋_GB2312" w:cs="仿宋_GB2312"/>
          <w:sz w:val="32"/>
          <w:szCs w:val="32"/>
        </w:rPr>
        <w:t>个项目开展了事前绩效评估，对</w:t>
      </w:r>
      <w:r>
        <w:rPr>
          <w:rFonts w:hint="eastAsia" w:eastAsia="仿宋_GB2312" w:cs="仿宋_GB2312"/>
          <w:sz w:val="32"/>
          <w:szCs w:val="32"/>
          <w:lang w:val="en-US" w:eastAsia="zh-CN"/>
        </w:rPr>
        <w:t>0</w:t>
      </w:r>
      <w:r>
        <w:rPr>
          <w:rFonts w:hint="eastAsia" w:eastAsia="仿宋_GB2312" w:cs="仿宋_GB2312"/>
          <w:sz w:val="32"/>
          <w:szCs w:val="32"/>
        </w:rPr>
        <w:t>个项目编制了绩效目标</w:t>
      </w:r>
      <w:r>
        <w:rPr>
          <w:rFonts w:hint="eastAsia" w:eastAsia="仿宋_GB2312" w:cs="仿宋_GB2312"/>
          <w:sz w:val="32"/>
          <w:szCs w:val="32"/>
          <w:lang w:eastAsia="zh-CN"/>
        </w:rPr>
        <w:t>，在</w:t>
      </w:r>
      <w:r>
        <w:rPr>
          <w:rFonts w:hint="eastAsia" w:eastAsia="仿宋_GB2312" w:cs="仿宋_GB2312"/>
          <w:sz w:val="32"/>
          <w:szCs w:val="32"/>
        </w:rPr>
        <w:t>预算执行过程中，选取</w:t>
      </w:r>
      <w:r>
        <w:rPr>
          <w:rFonts w:hint="eastAsia" w:eastAsia="仿宋_GB2312" w:cs="仿宋_GB2312"/>
          <w:sz w:val="32"/>
          <w:szCs w:val="32"/>
          <w:lang w:val="en-US" w:eastAsia="zh-CN"/>
        </w:rPr>
        <w:t>0</w:t>
      </w:r>
      <w:r>
        <w:rPr>
          <w:rFonts w:hint="eastAsia" w:eastAsia="仿宋_GB2312" w:cs="仿宋_GB2312"/>
          <w:sz w:val="32"/>
          <w:szCs w:val="32"/>
        </w:rPr>
        <w:t>个项目开展绩效监控。</w:t>
      </w:r>
    </w:p>
    <w:p w14:paraId="5EEAC469">
      <w:pPr>
        <w:pStyle w:val="2"/>
        <w:ind w:firstLine="640" w:firstLineChars="200"/>
        <w:rPr>
          <w:rFonts w:hint="default" w:eastAsia="仿宋_GB2312"/>
          <w:lang w:val="en-US" w:eastAsia="zh-CN"/>
        </w:rPr>
      </w:pPr>
      <w:r>
        <w:rPr>
          <w:rFonts w:hint="eastAsia" w:eastAsia="仿宋_GB2312" w:cs="仿宋_GB2312"/>
          <w:sz w:val="32"/>
          <w:szCs w:val="32"/>
          <w:lang w:val="en-US" w:eastAsia="zh-CN"/>
        </w:rPr>
        <w:t>本单位无预算项目支出。</w:t>
      </w:r>
    </w:p>
    <w:p w14:paraId="4F285D0F">
      <w:pPr>
        <w:rPr>
          <w:rFonts w:hint="eastAsia" w:eastAsia="黑体"/>
          <w:sz w:val="44"/>
          <w:szCs w:val="44"/>
        </w:rPr>
      </w:pPr>
      <w:bookmarkStart w:id="49" w:name="_Toc15377225"/>
      <w:bookmarkStart w:id="50" w:name="_Toc15396613"/>
      <w:r>
        <w:rPr>
          <w:rFonts w:hint="eastAsia" w:eastAsia="黑体"/>
          <w:sz w:val="44"/>
          <w:szCs w:val="44"/>
        </w:rPr>
        <w:br w:type="page"/>
      </w:r>
    </w:p>
    <w:p w14:paraId="626E57A0">
      <w:pPr>
        <w:spacing w:line="600" w:lineRule="exact"/>
        <w:jc w:val="center"/>
        <w:outlineLvl w:val="0"/>
        <w:rPr>
          <w:rFonts w:eastAsia="黑体"/>
          <w:sz w:val="44"/>
          <w:szCs w:val="44"/>
        </w:rPr>
      </w:pPr>
      <w:r>
        <w:rPr>
          <w:rFonts w:hint="eastAsia" w:eastAsia="黑体"/>
          <w:sz w:val="44"/>
          <w:szCs w:val="44"/>
        </w:rPr>
        <w:t>第三部分  名词解释</w:t>
      </w:r>
      <w:bookmarkEnd w:id="49"/>
      <w:bookmarkEnd w:id="50"/>
    </w:p>
    <w:p w14:paraId="18A46BA5">
      <w:pPr>
        <w:spacing w:line="600" w:lineRule="exact"/>
        <w:jc w:val="left"/>
        <w:rPr>
          <w:b/>
          <w:sz w:val="44"/>
          <w:szCs w:val="44"/>
        </w:rPr>
      </w:pPr>
    </w:p>
    <w:p w14:paraId="60D01BBE">
      <w:pPr>
        <w:pStyle w:val="27"/>
        <w:spacing w:line="560" w:lineRule="exact"/>
        <w:ind w:firstLine="640" w:firstLineChars="200"/>
        <w:rPr>
          <w:rFonts w:ascii="仿宋_GB2312" w:eastAsia="仿宋_GB2312"/>
          <w:color w:val="auto"/>
          <w:sz w:val="32"/>
          <w:szCs w:val="32"/>
        </w:rPr>
      </w:pPr>
      <w:bookmarkStart w:id="51" w:name="_Toc15396614"/>
      <w:bookmarkStart w:id="52" w:name="_Toc15377226"/>
      <w:r>
        <w:rPr>
          <w:rFonts w:ascii="仿宋_GB2312" w:eastAsia="仿宋_GB2312"/>
          <w:color w:val="auto"/>
          <w:sz w:val="32"/>
          <w:szCs w:val="32"/>
        </w:rPr>
        <w:t>1.</w:t>
      </w:r>
      <w:r>
        <w:rPr>
          <w:rFonts w:hint="eastAsia" w:ascii="仿宋_GB2312" w:eastAsia="仿宋_GB2312"/>
          <w:color w:val="auto"/>
          <w:sz w:val="32"/>
          <w:szCs w:val="32"/>
        </w:rPr>
        <w:t>财政拨款收入：指单位从同级财政部门取得的财政预算资金。</w:t>
      </w:r>
    </w:p>
    <w:p w14:paraId="7D9D23B8">
      <w:pPr>
        <w:pStyle w:val="27"/>
        <w:spacing w:line="560" w:lineRule="exact"/>
        <w:ind w:firstLine="640" w:firstLineChars="200"/>
        <w:rPr>
          <w:rFonts w:ascii="仿宋_GB2312" w:eastAsia="仿宋_GB2312"/>
          <w:color w:val="auto"/>
          <w:sz w:val="32"/>
          <w:szCs w:val="32"/>
        </w:rPr>
      </w:pPr>
      <w:r>
        <w:rPr>
          <w:rFonts w:ascii="仿宋_GB2312" w:eastAsia="仿宋_GB2312"/>
          <w:color w:val="auto"/>
          <w:sz w:val="32"/>
          <w:szCs w:val="32"/>
        </w:rPr>
        <w:t>2.</w:t>
      </w:r>
      <w:r>
        <w:rPr>
          <w:rFonts w:hint="eastAsia" w:ascii="仿宋_GB2312" w:eastAsia="仿宋_GB2312"/>
          <w:color w:val="auto"/>
          <w:sz w:val="32"/>
          <w:szCs w:val="32"/>
        </w:rPr>
        <w:t>事业收入：指事业单位开展专业业务活动及辅助活动取得的收入。</w:t>
      </w:r>
    </w:p>
    <w:p w14:paraId="384B0459">
      <w:pPr>
        <w:pStyle w:val="27"/>
        <w:spacing w:line="560" w:lineRule="exact"/>
        <w:ind w:firstLine="640" w:firstLineChars="200"/>
        <w:rPr>
          <w:rFonts w:ascii="仿宋_GB2312" w:eastAsia="仿宋_GB2312"/>
          <w:color w:val="auto"/>
          <w:sz w:val="32"/>
          <w:szCs w:val="32"/>
        </w:rPr>
      </w:pPr>
      <w:r>
        <w:rPr>
          <w:rFonts w:ascii="仿宋_GB2312" w:eastAsia="仿宋_GB2312"/>
          <w:color w:val="auto"/>
          <w:sz w:val="32"/>
          <w:szCs w:val="32"/>
        </w:rPr>
        <w:t>3.</w:t>
      </w:r>
      <w:r>
        <w:rPr>
          <w:rFonts w:hint="eastAsia" w:ascii="仿宋_GB2312" w:eastAsia="仿宋_GB2312"/>
          <w:color w:val="auto"/>
          <w:sz w:val="32"/>
          <w:szCs w:val="32"/>
        </w:rPr>
        <w:t>经营收入：指事业单位在专业业务活动及其辅助活动之外开展非独立核算经营活动取得的收入。</w:t>
      </w:r>
    </w:p>
    <w:p w14:paraId="7F9D8F65">
      <w:pPr>
        <w:pStyle w:val="27"/>
        <w:spacing w:line="560" w:lineRule="exact"/>
        <w:ind w:left="638" w:leftChars="304"/>
        <w:rPr>
          <w:rFonts w:ascii="仿宋_GB2312" w:eastAsia="仿宋_GB2312"/>
          <w:color w:val="auto"/>
          <w:sz w:val="32"/>
          <w:szCs w:val="32"/>
        </w:rPr>
      </w:pPr>
      <w:r>
        <w:rPr>
          <w:rFonts w:ascii="仿宋_GB2312" w:eastAsia="仿宋_GB2312"/>
          <w:color w:val="auto"/>
          <w:sz w:val="32"/>
          <w:szCs w:val="32"/>
        </w:rPr>
        <w:t>4.</w:t>
      </w:r>
      <w:r>
        <w:rPr>
          <w:rFonts w:hint="eastAsia" w:ascii="仿宋_GB2312" w:eastAsia="仿宋_GB2312"/>
          <w:color w:val="auto"/>
          <w:sz w:val="32"/>
          <w:szCs w:val="32"/>
        </w:rPr>
        <w:t>其他收入：指单位取得的除上述收入以外的各项收入。</w:t>
      </w:r>
    </w:p>
    <w:p w14:paraId="102A897D">
      <w:pPr>
        <w:pStyle w:val="27"/>
        <w:spacing w:line="560" w:lineRule="exact"/>
        <w:ind w:firstLine="640" w:firstLineChars="200"/>
        <w:jc w:val="both"/>
        <w:rPr>
          <w:rFonts w:ascii="仿宋_GB2312" w:eastAsia="仿宋_GB2312"/>
          <w:color w:val="auto"/>
          <w:sz w:val="32"/>
          <w:szCs w:val="32"/>
        </w:rPr>
      </w:pPr>
      <w:r>
        <w:rPr>
          <w:rFonts w:ascii="仿宋_GB2312" w:eastAsia="仿宋_GB2312"/>
          <w:color w:val="auto"/>
          <w:sz w:val="32"/>
          <w:szCs w:val="32"/>
        </w:rPr>
        <w:t>5.</w:t>
      </w:r>
      <w:r>
        <w:rPr>
          <w:rFonts w:hint="eastAsia" w:ascii="仿宋_GB2312" w:hAnsi="华文中宋" w:eastAsia="仿宋_GB2312"/>
          <w:sz w:val="32"/>
          <w:szCs w:val="32"/>
        </w:rPr>
        <w:t>使用非财政拨款结余（含专用结余）</w:t>
      </w:r>
      <w:r>
        <w:rPr>
          <w:rFonts w:hint="eastAsia" w:ascii="仿宋_GB2312" w:eastAsia="仿宋_GB2312"/>
          <w:color w:val="auto"/>
          <w:sz w:val="32"/>
          <w:szCs w:val="32"/>
        </w:rPr>
        <w:t>：指事业单位使用以前年度积累的非财政拨款结余弥补当年收支差额的金额。</w:t>
      </w:r>
      <w:r>
        <w:rPr>
          <w:rFonts w:ascii="仿宋_GB2312" w:eastAsia="仿宋_GB2312"/>
          <w:color w:val="auto"/>
          <w:sz w:val="32"/>
          <w:szCs w:val="32"/>
        </w:rPr>
        <w:t xml:space="preserve"> </w:t>
      </w:r>
    </w:p>
    <w:p w14:paraId="7504D759">
      <w:pPr>
        <w:pStyle w:val="27"/>
        <w:spacing w:line="560" w:lineRule="exact"/>
        <w:ind w:firstLine="640" w:firstLineChars="200"/>
        <w:rPr>
          <w:rFonts w:ascii="仿宋_GB2312" w:eastAsia="仿宋_GB2312"/>
          <w:color w:val="auto"/>
          <w:sz w:val="32"/>
          <w:szCs w:val="32"/>
        </w:rPr>
      </w:pPr>
      <w:r>
        <w:rPr>
          <w:rFonts w:ascii="仿宋_GB2312" w:eastAsia="仿宋_GB2312"/>
          <w:color w:val="auto"/>
          <w:sz w:val="32"/>
          <w:szCs w:val="32"/>
        </w:rPr>
        <w:t>6.</w:t>
      </w:r>
      <w:r>
        <w:rPr>
          <w:rFonts w:hint="eastAsia" w:ascii="仿宋_GB2312" w:eastAsia="仿宋_GB2312"/>
          <w:color w:val="auto"/>
          <w:sz w:val="32"/>
          <w:szCs w:val="32"/>
        </w:rPr>
        <w:t>年初结转和结余：指以前年度尚未完成、结转到2023年按有关规定继续使用的资金。</w:t>
      </w:r>
      <w:r>
        <w:rPr>
          <w:rFonts w:ascii="仿宋_GB2312" w:eastAsia="仿宋_GB2312"/>
          <w:color w:val="auto"/>
          <w:sz w:val="32"/>
          <w:szCs w:val="32"/>
        </w:rPr>
        <w:t xml:space="preserve"> </w:t>
      </w:r>
    </w:p>
    <w:p w14:paraId="3735E28D">
      <w:pPr>
        <w:pStyle w:val="27"/>
        <w:spacing w:line="560" w:lineRule="exact"/>
        <w:ind w:firstLine="640" w:firstLineChars="200"/>
        <w:rPr>
          <w:rFonts w:ascii="仿宋_GB2312" w:eastAsia="仿宋_GB2312"/>
          <w:color w:val="auto"/>
          <w:sz w:val="32"/>
          <w:szCs w:val="32"/>
        </w:rPr>
      </w:pPr>
      <w:r>
        <w:rPr>
          <w:rFonts w:ascii="仿宋_GB2312" w:eastAsia="仿宋_GB2312"/>
          <w:color w:val="auto"/>
          <w:sz w:val="32"/>
          <w:szCs w:val="32"/>
        </w:rPr>
        <w:t>7.</w:t>
      </w:r>
      <w:r>
        <w:rPr>
          <w:rFonts w:hint="eastAsia" w:ascii="仿宋_GB2312" w:eastAsia="仿宋_GB2312"/>
          <w:color w:val="auto"/>
          <w:sz w:val="32"/>
          <w:szCs w:val="32"/>
        </w:rPr>
        <w:t>结余分配：指事业单位按照会计制度规定缴纳的所得税、提取的专用结余以及转入非财政拨款结余的金额等。</w:t>
      </w:r>
    </w:p>
    <w:p w14:paraId="464D3C18">
      <w:pPr>
        <w:pStyle w:val="27"/>
        <w:spacing w:line="560" w:lineRule="exact"/>
        <w:ind w:firstLine="640" w:firstLineChars="200"/>
        <w:rPr>
          <w:rFonts w:ascii="仿宋_GB2312" w:eastAsia="仿宋_GB2312"/>
          <w:color w:val="auto"/>
          <w:sz w:val="32"/>
          <w:szCs w:val="32"/>
        </w:rPr>
      </w:pPr>
      <w:r>
        <w:rPr>
          <w:rFonts w:ascii="仿宋_GB2312" w:eastAsia="仿宋_GB2312"/>
          <w:color w:val="auto"/>
          <w:sz w:val="32"/>
          <w:szCs w:val="32"/>
        </w:rPr>
        <w:t>8</w:t>
      </w:r>
      <w:r>
        <w:rPr>
          <w:rFonts w:hint="eastAsia" w:ascii="仿宋_GB2312" w:eastAsia="仿宋_GB2312"/>
          <w:color w:val="auto"/>
          <w:sz w:val="32"/>
          <w:szCs w:val="32"/>
        </w:rPr>
        <w:t>.年末结转和结余：指单位按有关规定结转到下年或以后年度继续使用的资金。</w:t>
      </w:r>
    </w:p>
    <w:p w14:paraId="7ADBBEA3">
      <w:pPr>
        <w:ind w:firstLine="640" w:firstLineChars="200"/>
        <w:rPr>
          <w:rFonts w:ascii="仿宋_GB2312" w:eastAsia="仿宋_GB2312"/>
          <w:sz w:val="32"/>
          <w:szCs w:val="32"/>
        </w:rPr>
      </w:pPr>
      <w:r>
        <w:rPr>
          <w:rFonts w:ascii="仿宋_GB2312" w:eastAsia="仿宋_GB2312"/>
          <w:sz w:val="32"/>
          <w:szCs w:val="32"/>
        </w:rPr>
        <w:t>9.</w:t>
      </w:r>
      <w:r>
        <w:rPr>
          <w:rFonts w:hint="eastAsia" w:ascii="仿宋_GB2312" w:eastAsia="仿宋_GB2312"/>
          <w:sz w:val="32"/>
          <w:szCs w:val="32"/>
        </w:rPr>
        <w:t>一般公共服务（类）201（款）01（项）01：指反映政府提供一般公共服务的支出。</w:t>
      </w:r>
    </w:p>
    <w:p w14:paraId="5AE910B2">
      <w:pPr>
        <w:ind w:firstLine="640" w:firstLineChars="200"/>
        <w:rPr>
          <w:rFonts w:ascii="仿宋_GB2312" w:eastAsia="仿宋_GB2312"/>
          <w:sz w:val="32"/>
          <w:szCs w:val="32"/>
        </w:rPr>
      </w:pPr>
      <w:r>
        <w:rPr>
          <w:rFonts w:ascii="仿宋_GB2312" w:eastAsia="仿宋_GB2312"/>
          <w:sz w:val="32"/>
          <w:szCs w:val="32"/>
        </w:rPr>
        <w:t>10.</w:t>
      </w:r>
      <w:r>
        <w:rPr>
          <w:rFonts w:hint="eastAsia" w:ascii="仿宋_GB2312" w:eastAsia="仿宋_GB2312"/>
          <w:sz w:val="32"/>
          <w:szCs w:val="32"/>
        </w:rPr>
        <w:t>外交（类）202（款）01（项）01：指反映政府外交事务支出。人大、政协、政府及所属各部门（除国家领导人、外交部门）的出国费、招待费</w:t>
      </w:r>
      <w:r>
        <w:rPr>
          <w:rFonts w:hint="eastAsia" w:ascii="仿宋_GB2312" w:eastAsia="仿宋_GB2312"/>
          <w:sz w:val="32"/>
          <w:szCs w:val="32"/>
          <w:lang w:eastAsia="zh-CN"/>
        </w:rPr>
        <w:t>等</w:t>
      </w:r>
      <w:r>
        <w:rPr>
          <w:rFonts w:hint="eastAsia" w:ascii="仿宋_GB2312" w:eastAsia="仿宋_GB2312"/>
          <w:sz w:val="32"/>
          <w:szCs w:val="32"/>
        </w:rPr>
        <w:t>相关功能科目，不在本科目反映。</w:t>
      </w:r>
    </w:p>
    <w:p w14:paraId="21A48236">
      <w:pPr>
        <w:ind w:firstLine="640" w:firstLineChars="200"/>
        <w:rPr>
          <w:rFonts w:ascii="仿宋_GB2312" w:eastAsia="仿宋_GB2312"/>
          <w:sz w:val="32"/>
          <w:szCs w:val="32"/>
        </w:rPr>
      </w:pPr>
      <w:r>
        <w:rPr>
          <w:rFonts w:ascii="仿宋_GB2312" w:eastAsia="仿宋_GB2312"/>
          <w:sz w:val="32"/>
          <w:szCs w:val="32"/>
        </w:rPr>
        <w:t>11.</w:t>
      </w:r>
      <w:r>
        <w:rPr>
          <w:rFonts w:hint="eastAsia" w:ascii="仿宋_GB2312" w:eastAsia="仿宋_GB2312"/>
          <w:sz w:val="32"/>
          <w:szCs w:val="32"/>
        </w:rPr>
        <w:t>公共安全（类）204（款）01（项）01：指反映政府维护社会公共安全方面的支出。</w:t>
      </w:r>
    </w:p>
    <w:p w14:paraId="1A7DBE8C">
      <w:pPr>
        <w:ind w:firstLine="640" w:firstLineChars="200"/>
        <w:rPr>
          <w:rFonts w:ascii="仿宋_GB2312" w:eastAsia="仿宋_GB2312"/>
          <w:sz w:val="32"/>
          <w:szCs w:val="32"/>
        </w:rPr>
      </w:pPr>
      <w:r>
        <w:rPr>
          <w:rFonts w:ascii="仿宋_GB2312" w:eastAsia="仿宋_GB2312"/>
          <w:sz w:val="32"/>
          <w:szCs w:val="32"/>
        </w:rPr>
        <w:t>12.</w:t>
      </w:r>
      <w:r>
        <w:rPr>
          <w:rFonts w:hint="eastAsia" w:ascii="仿宋_GB2312" w:eastAsia="仿宋_GB2312"/>
          <w:sz w:val="32"/>
          <w:szCs w:val="32"/>
        </w:rPr>
        <w:t>教育（类）205（款）01（项）01：指反映政府教育事务支出。</w:t>
      </w:r>
    </w:p>
    <w:p w14:paraId="3E7DCF29">
      <w:pPr>
        <w:ind w:firstLine="640" w:firstLineChars="200"/>
        <w:rPr>
          <w:rFonts w:ascii="仿宋_GB2312" w:eastAsia="仿宋_GB2312"/>
          <w:sz w:val="32"/>
          <w:szCs w:val="32"/>
        </w:rPr>
      </w:pPr>
      <w:r>
        <w:rPr>
          <w:rFonts w:ascii="仿宋_GB2312" w:eastAsia="仿宋_GB2312"/>
          <w:sz w:val="32"/>
          <w:szCs w:val="32"/>
        </w:rPr>
        <w:t>13.</w:t>
      </w:r>
      <w:r>
        <w:rPr>
          <w:rFonts w:hint="eastAsia" w:ascii="仿宋_GB2312" w:eastAsia="仿宋_GB2312"/>
          <w:sz w:val="32"/>
          <w:szCs w:val="32"/>
        </w:rPr>
        <w:t>科学技术（类）206（款）01（项）01：指反映科学技术方面的支出。</w:t>
      </w:r>
    </w:p>
    <w:p w14:paraId="29EEF7AD">
      <w:pPr>
        <w:ind w:firstLine="640" w:firstLineChars="200"/>
        <w:rPr>
          <w:rFonts w:ascii="仿宋_GB2312" w:eastAsia="仿宋_GB2312"/>
          <w:sz w:val="32"/>
          <w:szCs w:val="32"/>
        </w:rPr>
      </w:pPr>
      <w:r>
        <w:rPr>
          <w:rFonts w:ascii="仿宋_GB2312" w:eastAsia="仿宋_GB2312"/>
          <w:sz w:val="32"/>
          <w:szCs w:val="32"/>
        </w:rPr>
        <w:t>14.</w:t>
      </w:r>
      <w:r>
        <w:rPr>
          <w:rFonts w:hint="eastAsia" w:ascii="仿宋_GB2312" w:eastAsia="仿宋_GB2312"/>
          <w:sz w:val="32"/>
          <w:szCs w:val="32"/>
        </w:rPr>
        <w:t>文化旅游体育与传媒（类）207（款）01（项）01：指反映政府在文化、旅游、文物、体育、广播电视、电影、新闻出版等方面的支出。</w:t>
      </w:r>
    </w:p>
    <w:p w14:paraId="6D33E35F">
      <w:pPr>
        <w:ind w:firstLine="640" w:firstLineChars="200"/>
        <w:rPr>
          <w:rFonts w:ascii="仿宋_GB2312" w:eastAsia="仿宋_GB2312"/>
          <w:sz w:val="32"/>
          <w:szCs w:val="32"/>
        </w:rPr>
      </w:pPr>
      <w:r>
        <w:rPr>
          <w:rFonts w:ascii="仿宋_GB2312" w:eastAsia="仿宋_GB2312"/>
          <w:sz w:val="32"/>
          <w:szCs w:val="32"/>
        </w:rPr>
        <w:t>15.</w:t>
      </w:r>
      <w:r>
        <w:rPr>
          <w:rFonts w:hint="eastAsia" w:ascii="仿宋_GB2312" w:eastAsia="仿宋_GB2312"/>
          <w:sz w:val="32"/>
          <w:szCs w:val="32"/>
        </w:rPr>
        <w:t>社会保障和就业（类）208（款）01（项）01：指反映政府在社会保障与就业方面的支出。</w:t>
      </w:r>
    </w:p>
    <w:p w14:paraId="5D488F6C">
      <w:pPr>
        <w:ind w:firstLine="640" w:firstLineChars="200"/>
        <w:rPr>
          <w:rFonts w:ascii="仿宋_GB2312" w:eastAsia="仿宋_GB2312"/>
          <w:sz w:val="32"/>
          <w:szCs w:val="32"/>
        </w:rPr>
      </w:pPr>
      <w:r>
        <w:rPr>
          <w:rFonts w:ascii="仿宋_GB2312" w:eastAsia="仿宋_GB2312"/>
          <w:sz w:val="32"/>
          <w:szCs w:val="32"/>
        </w:rPr>
        <w:t>16.</w:t>
      </w:r>
      <w:r>
        <w:rPr>
          <w:rFonts w:hint="eastAsia" w:ascii="仿宋_GB2312" w:eastAsia="仿宋_GB2312"/>
          <w:sz w:val="32"/>
          <w:szCs w:val="32"/>
        </w:rPr>
        <w:t>卫生健康（类）210（款）01（项）01：指反映政府卫生健康方面的支出。</w:t>
      </w:r>
    </w:p>
    <w:p w14:paraId="0FF66548">
      <w:pPr>
        <w:ind w:firstLine="640" w:firstLineChars="200"/>
        <w:rPr>
          <w:rFonts w:ascii="仿宋_GB2312" w:eastAsia="仿宋_GB2312"/>
          <w:sz w:val="32"/>
          <w:szCs w:val="32"/>
        </w:rPr>
      </w:pPr>
      <w:r>
        <w:rPr>
          <w:rFonts w:ascii="仿宋_GB2312" w:eastAsia="仿宋_GB2312"/>
          <w:sz w:val="32"/>
          <w:szCs w:val="32"/>
        </w:rPr>
        <w:t>17.</w:t>
      </w:r>
      <w:r>
        <w:rPr>
          <w:rFonts w:hint="eastAsia" w:ascii="仿宋_GB2312" w:eastAsia="仿宋_GB2312"/>
          <w:sz w:val="32"/>
          <w:szCs w:val="32"/>
        </w:rPr>
        <w:t>节能环保（类）211（款）01（项）01：指反映政府节能环保支出。</w:t>
      </w:r>
    </w:p>
    <w:p w14:paraId="74AA0693">
      <w:pPr>
        <w:ind w:firstLine="640" w:firstLineChars="200"/>
        <w:rPr>
          <w:rFonts w:ascii="仿宋_GB2312" w:eastAsia="仿宋_GB2312"/>
          <w:sz w:val="32"/>
          <w:szCs w:val="32"/>
        </w:rPr>
      </w:pPr>
      <w:r>
        <w:rPr>
          <w:rFonts w:ascii="仿宋_GB2312" w:eastAsia="仿宋_GB2312"/>
          <w:sz w:val="32"/>
          <w:szCs w:val="32"/>
        </w:rPr>
        <w:t>18.</w:t>
      </w:r>
      <w:r>
        <w:rPr>
          <w:rFonts w:hint="eastAsia" w:ascii="仿宋_GB2312" w:eastAsia="仿宋_GB2312"/>
          <w:sz w:val="32"/>
          <w:szCs w:val="32"/>
        </w:rPr>
        <w:t>城乡社区（类）212（款）01（项）01：指反映政府城乡社区事务支出。</w:t>
      </w:r>
    </w:p>
    <w:p w14:paraId="2AEEF04D">
      <w:pPr>
        <w:ind w:firstLine="640" w:firstLineChars="200"/>
        <w:rPr>
          <w:rFonts w:ascii="仿宋_GB2312" w:eastAsia="仿宋_GB2312"/>
          <w:sz w:val="32"/>
          <w:szCs w:val="32"/>
        </w:rPr>
      </w:pPr>
      <w:r>
        <w:rPr>
          <w:rFonts w:ascii="仿宋_GB2312" w:eastAsia="仿宋_GB2312"/>
          <w:sz w:val="32"/>
          <w:szCs w:val="32"/>
        </w:rPr>
        <w:t>19.</w:t>
      </w:r>
      <w:r>
        <w:rPr>
          <w:rFonts w:hint="eastAsia" w:ascii="仿宋_GB2312" w:eastAsia="仿宋_GB2312"/>
          <w:sz w:val="32"/>
          <w:szCs w:val="32"/>
        </w:rPr>
        <w:t>农林水（类）213（款）01（项）01：指反映政府农林水事务支出。</w:t>
      </w:r>
    </w:p>
    <w:p w14:paraId="102D467D">
      <w:pPr>
        <w:ind w:firstLine="640" w:firstLineChars="200"/>
        <w:rPr>
          <w:rFonts w:ascii="仿宋_GB2312" w:eastAsia="仿宋_GB2312"/>
          <w:sz w:val="32"/>
          <w:szCs w:val="32"/>
        </w:rPr>
      </w:pPr>
      <w:r>
        <w:rPr>
          <w:rFonts w:ascii="仿宋_GB2312" w:eastAsia="仿宋_GB2312"/>
          <w:sz w:val="32"/>
          <w:szCs w:val="32"/>
        </w:rPr>
        <w:t>20.</w:t>
      </w:r>
      <w:r>
        <w:rPr>
          <w:rFonts w:hint="eastAsia" w:ascii="仿宋_GB2312" w:eastAsia="仿宋_GB2312"/>
          <w:sz w:val="32"/>
          <w:szCs w:val="32"/>
        </w:rPr>
        <w:t>交通运输（类）214（款）01（项）01：指反映交通运输和邮政业方面的支出。</w:t>
      </w:r>
    </w:p>
    <w:p w14:paraId="30ACBD85">
      <w:pPr>
        <w:ind w:firstLine="640" w:firstLineChars="200"/>
        <w:rPr>
          <w:rFonts w:ascii="仿宋_GB2312" w:eastAsia="仿宋_GB2312"/>
          <w:sz w:val="32"/>
          <w:szCs w:val="32"/>
        </w:rPr>
      </w:pPr>
      <w:r>
        <w:rPr>
          <w:rFonts w:ascii="仿宋_GB2312" w:eastAsia="仿宋_GB2312"/>
          <w:sz w:val="32"/>
          <w:szCs w:val="32"/>
        </w:rPr>
        <w:t>21.</w:t>
      </w:r>
      <w:r>
        <w:rPr>
          <w:rFonts w:hint="eastAsia" w:ascii="仿宋_GB2312" w:eastAsia="仿宋_GB2312"/>
          <w:sz w:val="32"/>
          <w:szCs w:val="32"/>
        </w:rPr>
        <w:t>资源勘探工业信息等（类）215（款）01（项）01：指反映用于资源勘探、制造业、建筑业、工业信息等方面支出。</w:t>
      </w:r>
    </w:p>
    <w:p w14:paraId="4255C1E8">
      <w:pPr>
        <w:ind w:firstLine="640" w:firstLineChars="200"/>
        <w:rPr>
          <w:rFonts w:ascii="仿宋_GB2312" w:eastAsia="仿宋_GB2312"/>
          <w:sz w:val="32"/>
          <w:szCs w:val="32"/>
        </w:rPr>
      </w:pPr>
      <w:r>
        <w:rPr>
          <w:rFonts w:ascii="仿宋_GB2312" w:eastAsia="仿宋_GB2312"/>
          <w:sz w:val="32"/>
          <w:szCs w:val="32"/>
        </w:rPr>
        <w:t>22.</w:t>
      </w:r>
      <w:r>
        <w:rPr>
          <w:rFonts w:hint="eastAsia" w:ascii="仿宋_GB2312" w:eastAsia="仿宋_GB2312"/>
          <w:sz w:val="32"/>
          <w:szCs w:val="32"/>
        </w:rPr>
        <w:t>商业服务业（类）216（款）01（项）01：指反映商业服务业等方面的支出。</w:t>
      </w:r>
    </w:p>
    <w:p w14:paraId="3348BF0D">
      <w:pPr>
        <w:ind w:firstLine="640" w:firstLineChars="200"/>
        <w:rPr>
          <w:rFonts w:ascii="仿宋_GB2312" w:eastAsia="仿宋_GB2312"/>
          <w:sz w:val="32"/>
          <w:szCs w:val="32"/>
        </w:rPr>
      </w:pPr>
      <w:r>
        <w:rPr>
          <w:rFonts w:ascii="仿宋_GB2312" w:eastAsia="仿宋_GB2312"/>
          <w:sz w:val="32"/>
          <w:szCs w:val="32"/>
        </w:rPr>
        <w:t>23.</w:t>
      </w:r>
      <w:r>
        <w:rPr>
          <w:rFonts w:hint="eastAsia" w:ascii="仿宋_GB2312" w:eastAsia="仿宋_GB2312"/>
          <w:sz w:val="32"/>
          <w:szCs w:val="32"/>
        </w:rPr>
        <w:t>金融（类）217（款）01（项）01：指反映金融方面的支出。</w:t>
      </w:r>
    </w:p>
    <w:p w14:paraId="01088E32">
      <w:pPr>
        <w:ind w:firstLine="640" w:firstLineChars="200"/>
        <w:rPr>
          <w:rFonts w:ascii="仿宋_GB2312" w:eastAsia="仿宋_GB2312"/>
          <w:sz w:val="32"/>
          <w:szCs w:val="32"/>
        </w:rPr>
      </w:pPr>
      <w:r>
        <w:rPr>
          <w:rFonts w:ascii="仿宋_GB2312" w:eastAsia="仿宋_GB2312"/>
          <w:sz w:val="32"/>
          <w:szCs w:val="32"/>
        </w:rPr>
        <w:t>24.</w:t>
      </w:r>
      <w:r>
        <w:rPr>
          <w:rFonts w:hint="eastAsia" w:ascii="仿宋_GB2312" w:eastAsia="仿宋_GB2312"/>
          <w:sz w:val="32"/>
          <w:szCs w:val="32"/>
        </w:rPr>
        <w:t>自然资源海洋气象等（类）220（款）01（项）01：指反映政府用于自然资源、海洋、测绘、气象等公益服务事业方面的支出。</w:t>
      </w:r>
    </w:p>
    <w:p w14:paraId="71132DB8">
      <w:pPr>
        <w:ind w:firstLine="640" w:firstLineChars="200"/>
        <w:rPr>
          <w:rFonts w:ascii="仿宋_GB2312" w:eastAsia="仿宋_GB2312"/>
          <w:sz w:val="32"/>
          <w:szCs w:val="32"/>
        </w:rPr>
      </w:pPr>
      <w:r>
        <w:rPr>
          <w:rFonts w:ascii="仿宋_GB2312" w:eastAsia="仿宋_GB2312"/>
          <w:sz w:val="32"/>
          <w:szCs w:val="32"/>
        </w:rPr>
        <w:t>25.</w:t>
      </w:r>
      <w:r>
        <w:rPr>
          <w:rFonts w:hint="eastAsia" w:ascii="仿宋_GB2312" w:eastAsia="仿宋_GB2312"/>
          <w:sz w:val="32"/>
          <w:szCs w:val="32"/>
        </w:rPr>
        <w:t>住房保障（类）221（款）01（项）01：指集中反映政府用于住房方面的支出。</w:t>
      </w:r>
    </w:p>
    <w:p w14:paraId="6D41830E">
      <w:pPr>
        <w:ind w:firstLine="640" w:firstLineChars="200"/>
        <w:rPr>
          <w:rFonts w:ascii="仿宋_GB2312" w:eastAsia="仿宋_GB2312"/>
          <w:sz w:val="32"/>
          <w:szCs w:val="32"/>
        </w:rPr>
      </w:pPr>
      <w:r>
        <w:rPr>
          <w:rFonts w:ascii="仿宋_GB2312" w:eastAsia="仿宋_GB2312"/>
          <w:sz w:val="32"/>
          <w:szCs w:val="32"/>
        </w:rPr>
        <w:t>26.</w:t>
      </w:r>
      <w:r>
        <w:rPr>
          <w:rFonts w:hint="eastAsia" w:ascii="仿宋_GB2312" w:eastAsia="仿宋_GB2312"/>
          <w:sz w:val="32"/>
          <w:szCs w:val="32"/>
        </w:rPr>
        <w:t>粮油物资储备（类）222（款）01（项）01：指反映政府用于粮油物资储备方面的支出。</w:t>
      </w:r>
    </w:p>
    <w:p w14:paraId="6CA56AB5">
      <w:pPr>
        <w:spacing w:line="600" w:lineRule="exact"/>
        <w:ind w:firstLine="640"/>
        <w:rPr>
          <w:rFonts w:eastAsia="仿宋_GB2312" w:cs="仿宋_GB2312"/>
          <w:sz w:val="32"/>
          <w:szCs w:val="32"/>
        </w:rPr>
      </w:pPr>
      <w:r>
        <w:rPr>
          <w:rFonts w:hint="eastAsia" w:eastAsia="仿宋_GB2312" w:cs="仿宋_GB2312"/>
          <w:sz w:val="32"/>
          <w:szCs w:val="32"/>
        </w:rPr>
        <w:t>27.基本支出：指为保障机构正常运转、完成日常工作任务而发生的人员支出和公用支出。</w:t>
      </w:r>
    </w:p>
    <w:p w14:paraId="025F50D8">
      <w:pPr>
        <w:spacing w:line="600" w:lineRule="exact"/>
        <w:ind w:firstLine="640"/>
        <w:rPr>
          <w:rFonts w:eastAsia="仿宋_GB2312" w:cs="仿宋_GB2312"/>
          <w:sz w:val="32"/>
          <w:szCs w:val="32"/>
        </w:rPr>
      </w:pPr>
      <w:r>
        <w:rPr>
          <w:rFonts w:hint="eastAsia" w:eastAsia="仿宋_GB2312" w:cs="仿宋_GB2312"/>
          <w:sz w:val="32"/>
          <w:szCs w:val="32"/>
        </w:rPr>
        <w:t xml:space="preserve">28.项目支出：指在基本支出之外为完成特定行政任务和事业发展目标所发生的支出。 </w:t>
      </w:r>
    </w:p>
    <w:p w14:paraId="03A2ACA7">
      <w:pPr>
        <w:spacing w:line="600" w:lineRule="exact"/>
        <w:ind w:firstLine="640"/>
        <w:rPr>
          <w:rFonts w:eastAsia="仿宋_GB2312" w:cs="仿宋_GB2312"/>
          <w:sz w:val="32"/>
          <w:szCs w:val="32"/>
        </w:rPr>
      </w:pPr>
      <w:r>
        <w:rPr>
          <w:rFonts w:hint="eastAsia" w:eastAsia="仿宋_GB2312" w:cs="仿宋_GB2312"/>
          <w:sz w:val="32"/>
          <w:szCs w:val="32"/>
        </w:rPr>
        <w:t>29.经营支出：指事业单位在专业业务活动及其辅助活动之外开展非独立核算经营活动发生的支出。</w:t>
      </w:r>
    </w:p>
    <w:p w14:paraId="6E690BEC">
      <w:pPr>
        <w:spacing w:line="600" w:lineRule="exact"/>
        <w:ind w:firstLine="640"/>
        <w:rPr>
          <w:rFonts w:eastAsia="仿宋_GB2312" w:cs="仿宋_GB2312"/>
          <w:sz w:val="32"/>
          <w:szCs w:val="32"/>
        </w:rPr>
      </w:pPr>
      <w:r>
        <w:rPr>
          <w:rFonts w:hint="eastAsia" w:eastAsia="仿宋_GB2312" w:cs="仿宋_GB2312"/>
          <w:sz w:val="32"/>
          <w:szCs w:val="32"/>
        </w:rPr>
        <w:t>30.“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2F792CD3">
      <w:pPr>
        <w:spacing w:line="600" w:lineRule="exact"/>
        <w:ind w:firstLine="640"/>
        <w:rPr>
          <w:rFonts w:eastAsia="仿宋_GB2312" w:cs="仿宋_GB2312"/>
          <w:sz w:val="32"/>
          <w:szCs w:val="32"/>
        </w:rPr>
      </w:pPr>
      <w:r>
        <w:rPr>
          <w:rFonts w:hint="eastAsia" w:eastAsia="仿宋_GB2312" w:cs="仿宋_GB2312"/>
          <w:sz w:val="32"/>
          <w:szCs w:val="32"/>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57E2891A">
      <w:pPr>
        <w:spacing w:line="600" w:lineRule="exact"/>
        <w:jc w:val="center"/>
        <w:rPr>
          <w:rFonts w:hint="eastAsia" w:eastAsia="黑体"/>
          <w:sz w:val="44"/>
          <w:szCs w:val="44"/>
        </w:rPr>
      </w:pPr>
    </w:p>
    <w:p w14:paraId="6E8EE204">
      <w:pPr>
        <w:spacing w:line="600" w:lineRule="exact"/>
        <w:jc w:val="center"/>
        <w:rPr>
          <w:rFonts w:hint="eastAsia" w:eastAsia="黑体"/>
          <w:sz w:val="44"/>
          <w:szCs w:val="44"/>
        </w:rPr>
      </w:pPr>
    </w:p>
    <w:p w14:paraId="2DDECE6E">
      <w:pPr>
        <w:spacing w:line="600" w:lineRule="exact"/>
        <w:jc w:val="center"/>
        <w:rPr>
          <w:rFonts w:hint="eastAsia" w:eastAsia="黑体"/>
          <w:sz w:val="44"/>
          <w:szCs w:val="44"/>
        </w:rPr>
      </w:pPr>
    </w:p>
    <w:p w14:paraId="1BA67FB9">
      <w:pPr>
        <w:spacing w:line="600" w:lineRule="exact"/>
        <w:jc w:val="center"/>
        <w:rPr>
          <w:rFonts w:hint="eastAsia" w:eastAsia="黑体"/>
          <w:sz w:val="44"/>
          <w:szCs w:val="44"/>
        </w:rPr>
      </w:pPr>
    </w:p>
    <w:p w14:paraId="55D4289A">
      <w:pPr>
        <w:spacing w:line="600" w:lineRule="exact"/>
        <w:jc w:val="center"/>
        <w:rPr>
          <w:rFonts w:hint="eastAsia" w:eastAsia="黑体"/>
          <w:sz w:val="44"/>
          <w:szCs w:val="44"/>
        </w:rPr>
      </w:pPr>
    </w:p>
    <w:p w14:paraId="18FFA69C">
      <w:pPr>
        <w:spacing w:line="600" w:lineRule="exact"/>
        <w:jc w:val="center"/>
        <w:rPr>
          <w:rFonts w:hint="eastAsia" w:eastAsia="黑体"/>
          <w:sz w:val="44"/>
          <w:szCs w:val="44"/>
        </w:rPr>
      </w:pPr>
    </w:p>
    <w:p w14:paraId="41915618">
      <w:pPr>
        <w:spacing w:line="600" w:lineRule="exact"/>
        <w:jc w:val="center"/>
        <w:rPr>
          <w:rFonts w:hint="eastAsia" w:eastAsia="黑体"/>
          <w:sz w:val="44"/>
          <w:szCs w:val="44"/>
        </w:rPr>
      </w:pPr>
    </w:p>
    <w:p w14:paraId="49752A8F">
      <w:pPr>
        <w:spacing w:line="600" w:lineRule="exact"/>
        <w:jc w:val="center"/>
        <w:rPr>
          <w:rFonts w:hint="eastAsia" w:eastAsia="黑体"/>
          <w:sz w:val="44"/>
          <w:szCs w:val="44"/>
        </w:rPr>
      </w:pPr>
    </w:p>
    <w:p w14:paraId="240480B4">
      <w:pPr>
        <w:spacing w:line="600" w:lineRule="exact"/>
        <w:jc w:val="center"/>
        <w:rPr>
          <w:rFonts w:hint="eastAsia" w:eastAsia="黑体"/>
          <w:sz w:val="44"/>
          <w:szCs w:val="44"/>
        </w:rPr>
      </w:pPr>
    </w:p>
    <w:p w14:paraId="4005EAE4">
      <w:pPr>
        <w:spacing w:line="600" w:lineRule="exact"/>
        <w:jc w:val="center"/>
        <w:rPr>
          <w:rFonts w:hint="eastAsia" w:eastAsia="黑体"/>
          <w:sz w:val="44"/>
          <w:szCs w:val="44"/>
        </w:rPr>
      </w:pPr>
    </w:p>
    <w:p w14:paraId="1AA5C936">
      <w:pPr>
        <w:spacing w:line="600" w:lineRule="exact"/>
        <w:jc w:val="center"/>
        <w:rPr>
          <w:rFonts w:hint="eastAsia" w:eastAsia="黑体"/>
          <w:sz w:val="44"/>
          <w:szCs w:val="44"/>
        </w:rPr>
      </w:pPr>
    </w:p>
    <w:p w14:paraId="0A00536F">
      <w:pPr>
        <w:spacing w:line="600" w:lineRule="exact"/>
        <w:jc w:val="center"/>
        <w:rPr>
          <w:rFonts w:hint="eastAsia" w:eastAsia="黑体"/>
          <w:sz w:val="44"/>
          <w:szCs w:val="44"/>
        </w:rPr>
      </w:pPr>
    </w:p>
    <w:p w14:paraId="33D05CE9">
      <w:pPr>
        <w:spacing w:line="600" w:lineRule="exact"/>
        <w:jc w:val="center"/>
        <w:rPr>
          <w:rStyle w:val="29"/>
          <w:rFonts w:eastAsia="黑体"/>
          <w:b w:val="0"/>
        </w:rPr>
      </w:pPr>
      <w:r>
        <w:rPr>
          <w:rFonts w:hint="eastAsia" w:eastAsia="黑体"/>
          <w:sz w:val="44"/>
          <w:szCs w:val="44"/>
        </w:rPr>
        <w:t>第四部分  附件</w:t>
      </w:r>
      <w:bookmarkEnd w:id="51"/>
    </w:p>
    <w:p w14:paraId="3591208D">
      <w:pPr>
        <w:spacing w:line="600" w:lineRule="exact"/>
        <w:jc w:val="center"/>
        <w:outlineLvl w:val="0"/>
        <w:rPr>
          <w:rFonts w:hint="eastAsia"/>
          <w:sz w:val="32"/>
          <w:szCs w:val="32"/>
        </w:rPr>
      </w:pPr>
    </w:p>
    <w:p w14:paraId="3F158137">
      <w:pPr>
        <w:spacing w:line="572" w:lineRule="exact"/>
        <w:jc w:val="left"/>
        <w:outlineLvl w:val="0"/>
        <w:rPr>
          <w:rFonts w:eastAsia="黑体" w:cs="黑体"/>
          <w:color w:val="FF0000"/>
          <w:sz w:val="32"/>
          <w:szCs w:val="32"/>
        </w:rPr>
      </w:pPr>
    </w:p>
    <w:p w14:paraId="53801F8A">
      <w:pPr>
        <w:spacing w:line="600" w:lineRule="exact"/>
        <w:jc w:val="center"/>
        <w:outlineLvl w:val="0"/>
        <w:rPr>
          <w:rFonts w:ascii="黑体" w:hAnsi="黑体" w:eastAsia="黑体"/>
          <w:color w:val="FF0000"/>
          <w:sz w:val="44"/>
          <w:szCs w:val="44"/>
        </w:rPr>
      </w:pPr>
      <w:r>
        <w:rPr>
          <w:rFonts w:hint="eastAsia"/>
          <w:sz w:val="32"/>
          <w:szCs w:val="32"/>
        </w:rPr>
        <w:t>部门预算项目支出绩效自评表（202</w:t>
      </w:r>
      <w:r>
        <w:rPr>
          <w:rFonts w:hint="eastAsia"/>
          <w:sz w:val="32"/>
          <w:szCs w:val="32"/>
          <w:lang w:val="en-US" w:eastAsia="zh-CN"/>
        </w:rPr>
        <w:t>5</w:t>
      </w:r>
      <w:r>
        <w:rPr>
          <w:rFonts w:hint="eastAsia"/>
          <w:sz w:val="32"/>
          <w:szCs w:val="32"/>
        </w:rPr>
        <w:t>年度）</w:t>
      </w:r>
    </w:p>
    <w:p w14:paraId="6AA3114A">
      <w:pPr>
        <w:pStyle w:val="3"/>
        <w:spacing w:line="560" w:lineRule="exact"/>
        <w:ind w:left="0" w:leftChars="0" w:firstLine="640"/>
        <w:rPr>
          <w:sz w:val="32"/>
        </w:rPr>
      </w:pPr>
    </w:p>
    <w:p w14:paraId="07F0A125">
      <w:pPr>
        <w:pStyle w:val="8"/>
        <w:spacing w:before="93"/>
        <w:rPr>
          <w:rFonts w:hAnsi="Calibri" w:cs="仿宋"/>
          <w:sz w:val="32"/>
          <w:szCs w:val="32"/>
        </w:rPr>
      </w:pPr>
      <w:r>
        <w:rPr>
          <w:rFonts w:hint="eastAsia" w:hAnsi="Calibri" w:cs="仿宋"/>
          <w:sz w:val="32"/>
          <w:szCs w:val="32"/>
        </w:rPr>
        <w:t xml:space="preserve">     本单位无预算项目支出。</w:t>
      </w:r>
    </w:p>
    <w:p w14:paraId="4A6C0AA1">
      <w:pPr>
        <w:spacing w:line="578" w:lineRule="exact"/>
        <w:ind w:firstLine="640"/>
        <w:rPr>
          <w:rFonts w:eastAsia="仿宋_GB2312" w:cs="仿宋_GB2312"/>
          <w:kern w:val="0"/>
          <w:sz w:val="32"/>
          <w:szCs w:val="32"/>
        </w:rPr>
      </w:pPr>
    </w:p>
    <w:p w14:paraId="6E4B98C5">
      <w:pPr>
        <w:spacing w:line="600" w:lineRule="exact"/>
        <w:jc w:val="center"/>
        <w:outlineLvl w:val="0"/>
        <w:rPr>
          <w:rFonts w:hint="eastAsia"/>
          <w:sz w:val="32"/>
          <w:szCs w:val="32"/>
        </w:rPr>
      </w:pPr>
    </w:p>
    <w:p w14:paraId="59A5C73A">
      <w:pPr>
        <w:rPr>
          <w:rFonts w:hint="eastAsia" w:eastAsia="黑体" w:cs="黑体"/>
          <w:sz w:val="32"/>
          <w:szCs w:val="32"/>
          <w:lang w:val="en-US" w:eastAsia="zh-CN"/>
        </w:rPr>
      </w:pPr>
      <w:bookmarkStart w:id="53" w:name="_Toc15396618"/>
      <w:r>
        <w:rPr>
          <w:rFonts w:hint="eastAsia" w:eastAsia="黑体" w:cs="黑体"/>
          <w:sz w:val="32"/>
          <w:szCs w:val="32"/>
          <w:lang w:val="en-US" w:eastAsia="zh-CN"/>
        </w:rPr>
        <w:br w:type="page"/>
      </w:r>
    </w:p>
    <w:p w14:paraId="72D06CF1">
      <w:pPr>
        <w:widowControl/>
        <w:jc w:val="center"/>
        <w:rPr>
          <w:rFonts w:eastAsia="仿宋"/>
        </w:rPr>
      </w:pPr>
      <w:r>
        <w:rPr>
          <w:rFonts w:hint="eastAsia" w:eastAsia="黑体"/>
          <w:sz w:val="44"/>
          <w:szCs w:val="44"/>
        </w:rPr>
        <w:t>第</w:t>
      </w:r>
      <w:r>
        <w:rPr>
          <w:rStyle w:val="29"/>
          <w:rFonts w:hint="eastAsia" w:eastAsia="黑体"/>
          <w:b w:val="0"/>
        </w:rPr>
        <w:t>五部分 附表</w:t>
      </w:r>
      <w:bookmarkEnd w:id="52"/>
      <w:bookmarkEnd w:id="53"/>
      <w:bookmarkStart w:id="54" w:name="_Toc15396619"/>
    </w:p>
    <w:p w14:paraId="3878799A">
      <w:pPr>
        <w:pStyle w:val="14"/>
        <w:adjustRightInd w:val="0"/>
        <w:snapToGrid w:val="0"/>
        <w:spacing w:line="560" w:lineRule="exact"/>
        <w:jc w:val="left"/>
        <w:rPr>
          <w:rFonts w:eastAsia="仿宋_GB2312" w:cs="仿宋_GB2312"/>
          <w:sz w:val="32"/>
          <w:szCs w:val="32"/>
        </w:rPr>
      </w:pPr>
    </w:p>
    <w:p w14:paraId="6AE6A892">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一、收入支出决算总表</w:t>
      </w:r>
      <w:bookmarkEnd w:id="54"/>
    </w:p>
    <w:p w14:paraId="3BCCBB19">
      <w:pPr>
        <w:pStyle w:val="14"/>
        <w:adjustRightInd w:val="0"/>
        <w:snapToGrid w:val="0"/>
        <w:spacing w:line="560" w:lineRule="exact"/>
        <w:jc w:val="left"/>
        <w:rPr>
          <w:rFonts w:eastAsia="仿宋_GB2312" w:cs="仿宋_GB2312"/>
          <w:sz w:val="32"/>
          <w:szCs w:val="32"/>
        </w:rPr>
      </w:pPr>
      <w:bookmarkStart w:id="55" w:name="_Toc15396620"/>
      <w:r>
        <w:rPr>
          <w:rFonts w:hint="eastAsia" w:eastAsia="仿宋_GB2312" w:cs="仿宋_GB2312"/>
          <w:sz w:val="32"/>
          <w:szCs w:val="32"/>
        </w:rPr>
        <w:t>二、收入决算表</w:t>
      </w:r>
      <w:bookmarkEnd w:id="55"/>
    </w:p>
    <w:p w14:paraId="7B3B86E8">
      <w:pPr>
        <w:pStyle w:val="14"/>
        <w:adjustRightInd w:val="0"/>
        <w:snapToGrid w:val="0"/>
        <w:spacing w:line="560" w:lineRule="exact"/>
        <w:jc w:val="left"/>
        <w:rPr>
          <w:rFonts w:eastAsia="仿宋_GB2312" w:cs="仿宋_GB2312"/>
          <w:sz w:val="32"/>
          <w:szCs w:val="32"/>
        </w:rPr>
      </w:pPr>
      <w:bookmarkStart w:id="56" w:name="_Toc15396621"/>
      <w:r>
        <w:rPr>
          <w:rFonts w:hint="eastAsia" w:eastAsia="仿宋_GB2312" w:cs="仿宋_GB2312"/>
          <w:sz w:val="32"/>
          <w:szCs w:val="32"/>
        </w:rPr>
        <w:t>三、支出决算表</w:t>
      </w:r>
      <w:bookmarkEnd w:id="56"/>
    </w:p>
    <w:p w14:paraId="12805EA3">
      <w:pPr>
        <w:pStyle w:val="14"/>
        <w:adjustRightInd w:val="0"/>
        <w:snapToGrid w:val="0"/>
        <w:spacing w:line="560" w:lineRule="exact"/>
        <w:jc w:val="left"/>
        <w:rPr>
          <w:rFonts w:eastAsia="仿宋_GB2312" w:cs="仿宋_GB2312"/>
          <w:sz w:val="32"/>
          <w:szCs w:val="32"/>
        </w:rPr>
      </w:pPr>
      <w:bookmarkStart w:id="57" w:name="_Toc15396622"/>
      <w:r>
        <w:rPr>
          <w:rFonts w:hint="eastAsia" w:eastAsia="仿宋_GB2312" w:cs="仿宋_GB2312"/>
          <w:sz w:val="32"/>
          <w:szCs w:val="32"/>
        </w:rPr>
        <w:t>四、财政拨款收入支出决算总表</w:t>
      </w:r>
      <w:bookmarkEnd w:id="57"/>
    </w:p>
    <w:p w14:paraId="0CE57D3E">
      <w:pPr>
        <w:pStyle w:val="14"/>
        <w:adjustRightInd w:val="0"/>
        <w:snapToGrid w:val="0"/>
        <w:spacing w:line="560" w:lineRule="exact"/>
        <w:jc w:val="left"/>
        <w:rPr>
          <w:rFonts w:eastAsia="仿宋_GB2312" w:cs="仿宋_GB2312"/>
          <w:sz w:val="32"/>
          <w:szCs w:val="32"/>
        </w:rPr>
      </w:pPr>
      <w:bookmarkStart w:id="58" w:name="_Toc15396623"/>
      <w:r>
        <w:rPr>
          <w:rFonts w:hint="eastAsia" w:eastAsia="仿宋_GB2312" w:cs="仿宋_GB2312"/>
          <w:sz w:val="32"/>
          <w:szCs w:val="32"/>
        </w:rPr>
        <w:t>五、财政拨款支出决算明细表</w:t>
      </w:r>
      <w:bookmarkEnd w:id="58"/>
      <w:bookmarkStart w:id="59" w:name="_Toc15396624"/>
    </w:p>
    <w:p w14:paraId="24511C6F">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六、一般公共预算财政拨款支出决算表</w:t>
      </w:r>
      <w:bookmarkEnd w:id="59"/>
    </w:p>
    <w:p w14:paraId="6B7C6EB5">
      <w:pPr>
        <w:pStyle w:val="14"/>
        <w:adjustRightInd w:val="0"/>
        <w:snapToGrid w:val="0"/>
        <w:spacing w:line="560" w:lineRule="exact"/>
        <w:jc w:val="left"/>
        <w:rPr>
          <w:rFonts w:eastAsia="仿宋_GB2312" w:cs="仿宋_GB2312"/>
          <w:sz w:val="32"/>
          <w:szCs w:val="32"/>
        </w:rPr>
      </w:pPr>
      <w:bookmarkStart w:id="60" w:name="_Toc15396625"/>
      <w:r>
        <w:rPr>
          <w:rFonts w:hint="eastAsia" w:eastAsia="仿宋_GB2312" w:cs="仿宋_GB2312"/>
          <w:sz w:val="32"/>
          <w:szCs w:val="32"/>
        </w:rPr>
        <w:t>七、一般公共预算财政拨款支出决算明细表</w:t>
      </w:r>
      <w:bookmarkEnd w:id="60"/>
    </w:p>
    <w:p w14:paraId="65BABDF2">
      <w:pPr>
        <w:pStyle w:val="14"/>
        <w:adjustRightInd w:val="0"/>
        <w:snapToGrid w:val="0"/>
        <w:spacing w:line="560" w:lineRule="exact"/>
        <w:jc w:val="left"/>
        <w:rPr>
          <w:rFonts w:eastAsia="仿宋_GB2312" w:cs="仿宋_GB2312"/>
          <w:sz w:val="32"/>
          <w:szCs w:val="32"/>
        </w:rPr>
      </w:pPr>
      <w:bookmarkStart w:id="61" w:name="_Toc15396626"/>
      <w:r>
        <w:rPr>
          <w:rFonts w:hint="eastAsia" w:eastAsia="仿宋_GB2312" w:cs="仿宋_GB2312"/>
          <w:sz w:val="32"/>
          <w:szCs w:val="32"/>
        </w:rPr>
        <w:t>八、一般公共预算财政拨款基本支出决算表</w:t>
      </w:r>
      <w:bookmarkEnd w:id="61"/>
    </w:p>
    <w:p w14:paraId="49597BE2">
      <w:pPr>
        <w:pStyle w:val="14"/>
        <w:adjustRightInd w:val="0"/>
        <w:snapToGrid w:val="0"/>
        <w:spacing w:line="560" w:lineRule="exact"/>
        <w:jc w:val="left"/>
        <w:rPr>
          <w:rFonts w:eastAsia="仿宋_GB2312" w:cs="仿宋_GB2312"/>
          <w:sz w:val="32"/>
          <w:szCs w:val="32"/>
        </w:rPr>
      </w:pPr>
      <w:bookmarkStart w:id="62" w:name="_Toc15396627"/>
      <w:r>
        <w:rPr>
          <w:rFonts w:hint="eastAsia" w:eastAsia="仿宋_GB2312" w:cs="仿宋_GB2312"/>
          <w:sz w:val="32"/>
          <w:szCs w:val="32"/>
        </w:rPr>
        <w:t>九、一般公共预算财政拨款项目支出决算表</w:t>
      </w:r>
      <w:bookmarkEnd w:id="62"/>
    </w:p>
    <w:p w14:paraId="306F7023">
      <w:pPr>
        <w:pStyle w:val="14"/>
        <w:adjustRightInd w:val="0"/>
        <w:snapToGrid w:val="0"/>
        <w:spacing w:line="560" w:lineRule="exact"/>
        <w:jc w:val="left"/>
        <w:rPr>
          <w:rFonts w:eastAsia="仿宋_GB2312" w:cs="仿宋_GB2312"/>
          <w:sz w:val="32"/>
          <w:szCs w:val="32"/>
        </w:rPr>
      </w:pPr>
      <w:bookmarkStart w:id="63" w:name="_Toc15396628"/>
      <w:r>
        <w:rPr>
          <w:rFonts w:hint="eastAsia" w:eastAsia="仿宋_GB2312" w:cs="仿宋_GB2312"/>
          <w:sz w:val="32"/>
          <w:szCs w:val="32"/>
        </w:rPr>
        <w:t>十、</w:t>
      </w:r>
      <w:bookmarkEnd w:id="63"/>
      <w:r>
        <w:rPr>
          <w:rFonts w:hint="eastAsia" w:eastAsia="仿宋_GB2312" w:cs="仿宋_GB2312"/>
          <w:sz w:val="32"/>
          <w:szCs w:val="32"/>
        </w:rPr>
        <w:t>政府性基金预算财政拨款收入支出决算表</w:t>
      </w:r>
    </w:p>
    <w:p w14:paraId="28F0062B">
      <w:pPr>
        <w:pStyle w:val="14"/>
        <w:adjustRightInd w:val="0"/>
        <w:snapToGrid w:val="0"/>
        <w:spacing w:line="560" w:lineRule="exact"/>
        <w:jc w:val="left"/>
        <w:rPr>
          <w:rFonts w:eastAsia="仿宋_GB2312" w:cs="仿宋_GB2312"/>
          <w:sz w:val="32"/>
          <w:szCs w:val="32"/>
        </w:rPr>
      </w:pPr>
      <w:bookmarkStart w:id="64" w:name="_Toc15396629"/>
      <w:r>
        <w:rPr>
          <w:rFonts w:hint="eastAsia" w:eastAsia="仿宋_GB2312" w:cs="仿宋_GB2312"/>
          <w:sz w:val="32"/>
          <w:szCs w:val="32"/>
        </w:rPr>
        <w:t>十一、</w:t>
      </w:r>
      <w:bookmarkEnd w:id="64"/>
      <w:r>
        <w:rPr>
          <w:rFonts w:hint="eastAsia" w:eastAsia="仿宋_GB2312" w:cs="仿宋_GB2312"/>
          <w:sz w:val="32"/>
          <w:szCs w:val="32"/>
        </w:rPr>
        <w:t>国有资本经营预算财政拨款收入支出决算表</w:t>
      </w:r>
    </w:p>
    <w:p w14:paraId="54885C08">
      <w:pPr>
        <w:pStyle w:val="14"/>
        <w:adjustRightInd w:val="0"/>
        <w:snapToGrid w:val="0"/>
        <w:spacing w:line="560" w:lineRule="exact"/>
        <w:jc w:val="left"/>
        <w:rPr>
          <w:rFonts w:eastAsia="仿宋_GB2312" w:cs="仿宋_GB2312"/>
          <w:sz w:val="32"/>
          <w:szCs w:val="32"/>
        </w:rPr>
      </w:pPr>
      <w:bookmarkStart w:id="65" w:name="_Toc15396630"/>
      <w:r>
        <w:rPr>
          <w:rFonts w:hint="eastAsia" w:eastAsia="仿宋_GB2312" w:cs="仿宋_GB2312"/>
          <w:sz w:val="32"/>
          <w:szCs w:val="32"/>
        </w:rPr>
        <w:t>十二、</w:t>
      </w:r>
      <w:bookmarkEnd w:id="65"/>
      <w:r>
        <w:rPr>
          <w:rFonts w:hint="eastAsia" w:eastAsia="仿宋_GB2312" w:cs="仿宋_GB2312"/>
          <w:sz w:val="32"/>
          <w:szCs w:val="32"/>
        </w:rPr>
        <w:t>国有资本经营预算财政拨款支出决算表</w:t>
      </w:r>
    </w:p>
    <w:p w14:paraId="6C8E4FDC">
      <w:pPr>
        <w:pStyle w:val="14"/>
        <w:adjustRightInd w:val="0"/>
        <w:snapToGrid w:val="0"/>
        <w:spacing w:line="560" w:lineRule="exact"/>
        <w:jc w:val="left"/>
        <w:rPr>
          <w:rFonts w:eastAsia="仿宋_GB2312" w:cs="仿宋_GB2312"/>
          <w:sz w:val="32"/>
          <w:szCs w:val="32"/>
        </w:rPr>
      </w:pPr>
      <w:bookmarkStart w:id="66" w:name="_Toc15396631"/>
      <w:r>
        <w:rPr>
          <w:rFonts w:hint="eastAsia" w:eastAsia="仿宋_GB2312" w:cs="仿宋_GB2312"/>
          <w:sz w:val="32"/>
          <w:szCs w:val="32"/>
        </w:rPr>
        <w:t>十三、</w:t>
      </w:r>
      <w:bookmarkEnd w:id="66"/>
      <w:r>
        <w:rPr>
          <w:rFonts w:hint="eastAsia" w:eastAsia="仿宋_GB2312" w:cs="仿宋_GB2312"/>
          <w:sz w:val="32"/>
          <w:szCs w:val="32"/>
        </w:rPr>
        <w:t>财政拨款“三公”经费支出决算表</w:t>
      </w:r>
    </w:p>
    <w:p w14:paraId="2F2C5BDD"/>
    <w:sectPr>
      <w:footerReference r:id="rId9"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2010601030101010101"/>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375F7">
    <w:pPr>
      <w:pStyle w:val="11"/>
      <w:jc w:val="center"/>
    </w:pPr>
  </w:p>
  <w:p w14:paraId="55654FE2">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63D4C">
    <w:pPr>
      <w:pStyle w:val="11"/>
      <w:jc w:val="center"/>
    </w:pPr>
  </w:p>
  <w:p w14:paraId="4BAB9373">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32B66">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405461">
                          <w:pPr>
                            <w:pStyle w:val="11"/>
                          </w:pPr>
                          <w:r>
                            <w:rPr>
                              <w:rFonts w:hint="eastAsia"/>
                            </w:rPr>
                            <w:fldChar w:fldCharType="begin"/>
                          </w:r>
                          <w:r>
                            <w:rPr>
                              <w:rFonts w:hint="eastAsia"/>
                            </w:rPr>
                            <w:instrText xml:space="preserve"> PAGE  \* MERGEFORMAT </w:instrText>
                          </w:r>
                          <w:r>
                            <w:rPr>
                              <w:rFonts w:hint="eastAsia"/>
                            </w:rPr>
                            <w:fldChar w:fldCharType="separate"/>
                          </w:r>
                          <w:r>
                            <w:rPr>
                              <w:rFonts w:hint="eastAsia"/>
                            </w:rP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2E405461">
                    <w:pPr>
                      <w:pStyle w:val="11"/>
                    </w:pPr>
                    <w:r>
                      <w:rPr>
                        <w:rFonts w:hint="eastAsia"/>
                      </w:rPr>
                      <w:fldChar w:fldCharType="begin"/>
                    </w:r>
                    <w:r>
                      <w:rPr>
                        <w:rFonts w:hint="eastAsia"/>
                      </w:rPr>
                      <w:instrText xml:space="preserve"> PAGE  \* MERGEFORMAT </w:instrText>
                    </w:r>
                    <w:r>
                      <w:rPr>
                        <w:rFonts w:hint="eastAsia"/>
                      </w:rPr>
                      <w:fldChar w:fldCharType="separate"/>
                    </w:r>
                    <w:r>
                      <w:rPr>
                        <w:rFonts w:hint="eastAsia"/>
                      </w:rPr>
                      <w:t>- 1 -</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EEBE8">
    <w:pPr>
      <w:pStyle w:val="11"/>
      <w:jc w:val="center"/>
    </w:pPr>
  </w:p>
  <w:p w14:paraId="0BF7C430">
    <w:pPr>
      <w:pStyle w:val="11"/>
      <w:tabs>
        <w:tab w:val="clear" w:pos="4153"/>
      </w:tabs>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866AD">
    <w:pPr>
      <w:pStyle w:val="11"/>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BF3456">
                          <w:pPr>
                            <w:pStyle w:val="11"/>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7CBF3456">
                    <w:pPr>
                      <w:pStyle w:val="11"/>
                    </w:pPr>
                    <w:r>
                      <w:fldChar w:fldCharType="begin"/>
                    </w:r>
                    <w:r>
                      <w:instrText xml:space="preserve"> PAGE  \* MERGEFORMAT </w:instrText>
                    </w:r>
                    <w:r>
                      <w:fldChar w:fldCharType="separate"/>
                    </w:r>
                    <w:r>
                      <w:t>- 1 -</w:t>
                    </w:r>
                    <w:r>
                      <w:fldChar w:fldCharType="end"/>
                    </w:r>
                  </w:p>
                </w:txbxContent>
              </v:textbox>
            </v:shape>
          </w:pict>
        </mc:Fallback>
      </mc:AlternateContent>
    </w:r>
  </w:p>
  <w:p w14:paraId="37D9EEEC">
    <w:pPr>
      <w:pStyle w:val="11"/>
      <w:tabs>
        <w:tab w:val="clear" w:pos="4153"/>
      </w:tabs>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640AC">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E9946">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F59B85"/>
    <w:multiLevelType w:val="singleLevel"/>
    <w:tmpl w:val="0EF59B85"/>
    <w:lvl w:ilvl="0" w:tentative="0">
      <w:start w:val="1"/>
      <w:numFmt w:val="decimal"/>
      <w:lvlText w:val="%1."/>
      <w:lvlJc w:val="left"/>
      <w:pPr>
        <w:tabs>
          <w:tab w:val="left" w:pos="312"/>
        </w:tabs>
      </w:pPr>
    </w:lvl>
  </w:abstractNum>
  <w:abstractNum w:abstractNumId="1">
    <w:nsid w:val="5B992650"/>
    <w:multiLevelType w:val="singleLevel"/>
    <w:tmpl w:val="5B992650"/>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E6E1C"/>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274F"/>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2317B1B"/>
    <w:rsid w:val="02FEBE30"/>
    <w:rsid w:val="061E35DE"/>
    <w:rsid w:val="066E0107"/>
    <w:rsid w:val="07996F6E"/>
    <w:rsid w:val="07DFD8BA"/>
    <w:rsid w:val="08DB07E4"/>
    <w:rsid w:val="09867E8F"/>
    <w:rsid w:val="0A2032A3"/>
    <w:rsid w:val="0C6C4794"/>
    <w:rsid w:val="0CA8290A"/>
    <w:rsid w:val="0D35B1ED"/>
    <w:rsid w:val="0DE07E2B"/>
    <w:rsid w:val="0F98263C"/>
    <w:rsid w:val="101860EC"/>
    <w:rsid w:val="10C055FF"/>
    <w:rsid w:val="11772AA4"/>
    <w:rsid w:val="118107EC"/>
    <w:rsid w:val="13957196"/>
    <w:rsid w:val="13D50BC4"/>
    <w:rsid w:val="14022904"/>
    <w:rsid w:val="152F2A07"/>
    <w:rsid w:val="165E0673"/>
    <w:rsid w:val="16BB723D"/>
    <w:rsid w:val="16F13FCB"/>
    <w:rsid w:val="186504BB"/>
    <w:rsid w:val="1938089F"/>
    <w:rsid w:val="19A445FC"/>
    <w:rsid w:val="1B7D550C"/>
    <w:rsid w:val="1BE8440E"/>
    <w:rsid w:val="1D155CEE"/>
    <w:rsid w:val="1DE178F3"/>
    <w:rsid w:val="1E740ACF"/>
    <w:rsid w:val="1FF35744"/>
    <w:rsid w:val="1FF6BC77"/>
    <w:rsid w:val="20D12BB7"/>
    <w:rsid w:val="21962A9E"/>
    <w:rsid w:val="21AE7C77"/>
    <w:rsid w:val="22BC3C41"/>
    <w:rsid w:val="23860B96"/>
    <w:rsid w:val="240371BF"/>
    <w:rsid w:val="260F557C"/>
    <w:rsid w:val="281408E2"/>
    <w:rsid w:val="299D4A37"/>
    <w:rsid w:val="29FD04D3"/>
    <w:rsid w:val="2BFF7BC6"/>
    <w:rsid w:val="2C8A61B5"/>
    <w:rsid w:val="2D2E01CF"/>
    <w:rsid w:val="2D550413"/>
    <w:rsid w:val="2DF04E50"/>
    <w:rsid w:val="2E9545B0"/>
    <w:rsid w:val="2F040D46"/>
    <w:rsid w:val="2FAE5751"/>
    <w:rsid w:val="2FB1A395"/>
    <w:rsid w:val="2FD9A7D8"/>
    <w:rsid w:val="319F7F4E"/>
    <w:rsid w:val="321B2544"/>
    <w:rsid w:val="3304709D"/>
    <w:rsid w:val="34281836"/>
    <w:rsid w:val="349D6851"/>
    <w:rsid w:val="35BA6CAF"/>
    <w:rsid w:val="35D37231"/>
    <w:rsid w:val="364D14C1"/>
    <w:rsid w:val="36AA5135"/>
    <w:rsid w:val="36BE0DA7"/>
    <w:rsid w:val="376B6AA6"/>
    <w:rsid w:val="376D39B2"/>
    <w:rsid w:val="37E16F03"/>
    <w:rsid w:val="37F53A3B"/>
    <w:rsid w:val="389B6C89"/>
    <w:rsid w:val="38D469F0"/>
    <w:rsid w:val="39627CCD"/>
    <w:rsid w:val="397BAF1F"/>
    <w:rsid w:val="3AB79AF3"/>
    <w:rsid w:val="3B7EF35A"/>
    <w:rsid w:val="3B9FDB6C"/>
    <w:rsid w:val="3BF5BC2F"/>
    <w:rsid w:val="3CEBA265"/>
    <w:rsid w:val="3D98207C"/>
    <w:rsid w:val="3D9B0D99"/>
    <w:rsid w:val="3DEE7CF3"/>
    <w:rsid w:val="3DF02244"/>
    <w:rsid w:val="3E78745D"/>
    <w:rsid w:val="3FF4CAE0"/>
    <w:rsid w:val="3FF7B227"/>
    <w:rsid w:val="40E54C45"/>
    <w:rsid w:val="41313393"/>
    <w:rsid w:val="43A407DF"/>
    <w:rsid w:val="44515BEA"/>
    <w:rsid w:val="44E268DA"/>
    <w:rsid w:val="453F7E5B"/>
    <w:rsid w:val="486A6C7A"/>
    <w:rsid w:val="49176D9B"/>
    <w:rsid w:val="494006BD"/>
    <w:rsid w:val="4A627F82"/>
    <w:rsid w:val="4B0E749A"/>
    <w:rsid w:val="4B4F25DA"/>
    <w:rsid w:val="4BDA0CFB"/>
    <w:rsid w:val="4BE068DB"/>
    <w:rsid w:val="4D3C0CCC"/>
    <w:rsid w:val="4D577224"/>
    <w:rsid w:val="4D647317"/>
    <w:rsid w:val="4DBF1CEB"/>
    <w:rsid w:val="4EAB630A"/>
    <w:rsid w:val="4ECE2238"/>
    <w:rsid w:val="4EF27066"/>
    <w:rsid w:val="4F833267"/>
    <w:rsid w:val="4FE9BD67"/>
    <w:rsid w:val="4FFB052F"/>
    <w:rsid w:val="500F4758"/>
    <w:rsid w:val="53083A92"/>
    <w:rsid w:val="537E6D0A"/>
    <w:rsid w:val="53AF27A2"/>
    <w:rsid w:val="53F74C96"/>
    <w:rsid w:val="56E47B74"/>
    <w:rsid w:val="57BD3DD4"/>
    <w:rsid w:val="5AF92295"/>
    <w:rsid w:val="5BDD79E6"/>
    <w:rsid w:val="5BF561CA"/>
    <w:rsid w:val="5BFF5DFC"/>
    <w:rsid w:val="5CD71FC4"/>
    <w:rsid w:val="5D1F11B5"/>
    <w:rsid w:val="5DAE1B18"/>
    <w:rsid w:val="5DE7D9E5"/>
    <w:rsid w:val="5ECEC941"/>
    <w:rsid w:val="5F493CB7"/>
    <w:rsid w:val="5FBF9FF3"/>
    <w:rsid w:val="5FCD4E2C"/>
    <w:rsid w:val="5FD15F49"/>
    <w:rsid w:val="5FEF394A"/>
    <w:rsid w:val="5FF67715"/>
    <w:rsid w:val="605A5255"/>
    <w:rsid w:val="62BF3928"/>
    <w:rsid w:val="647F5392"/>
    <w:rsid w:val="651B4B83"/>
    <w:rsid w:val="664B1D71"/>
    <w:rsid w:val="67AA3209"/>
    <w:rsid w:val="681C4F0D"/>
    <w:rsid w:val="69046D0F"/>
    <w:rsid w:val="698D0931"/>
    <w:rsid w:val="6A993CED"/>
    <w:rsid w:val="6B053271"/>
    <w:rsid w:val="6BCE6674"/>
    <w:rsid w:val="6C4A05C8"/>
    <w:rsid w:val="6C8742B8"/>
    <w:rsid w:val="6C8A170F"/>
    <w:rsid w:val="6CB54609"/>
    <w:rsid w:val="6DBF5E93"/>
    <w:rsid w:val="6DFF077E"/>
    <w:rsid w:val="6E7E3605"/>
    <w:rsid w:val="6E7FDCC7"/>
    <w:rsid w:val="6ED6A62E"/>
    <w:rsid w:val="6EE00B15"/>
    <w:rsid w:val="6F544B20"/>
    <w:rsid w:val="6F6FB3EB"/>
    <w:rsid w:val="6F784160"/>
    <w:rsid w:val="6F8731EA"/>
    <w:rsid w:val="6FCE6052"/>
    <w:rsid w:val="6FD57C00"/>
    <w:rsid w:val="6FEFFFD8"/>
    <w:rsid w:val="6FF5CC65"/>
    <w:rsid w:val="6FFB47EC"/>
    <w:rsid w:val="6FFF034A"/>
    <w:rsid w:val="70496804"/>
    <w:rsid w:val="712A28F1"/>
    <w:rsid w:val="715C0E4B"/>
    <w:rsid w:val="72233669"/>
    <w:rsid w:val="726E3ADC"/>
    <w:rsid w:val="72734D90"/>
    <w:rsid w:val="7332FE48"/>
    <w:rsid w:val="73AB61DA"/>
    <w:rsid w:val="73AD73D5"/>
    <w:rsid w:val="73B6EB34"/>
    <w:rsid w:val="73FA497D"/>
    <w:rsid w:val="744731E5"/>
    <w:rsid w:val="74527205"/>
    <w:rsid w:val="74BBD01D"/>
    <w:rsid w:val="74ED5379"/>
    <w:rsid w:val="74FC2395"/>
    <w:rsid w:val="75DEEEC2"/>
    <w:rsid w:val="76E3355F"/>
    <w:rsid w:val="76FF5125"/>
    <w:rsid w:val="776F6FFA"/>
    <w:rsid w:val="778769C8"/>
    <w:rsid w:val="77DC22F5"/>
    <w:rsid w:val="79086DAD"/>
    <w:rsid w:val="79974F09"/>
    <w:rsid w:val="79D7FD79"/>
    <w:rsid w:val="79EE5BA4"/>
    <w:rsid w:val="7A894339"/>
    <w:rsid w:val="7AFF7572"/>
    <w:rsid w:val="7B6C7DFB"/>
    <w:rsid w:val="7BBFBED0"/>
    <w:rsid w:val="7BC3E394"/>
    <w:rsid w:val="7C1F3737"/>
    <w:rsid w:val="7CBFC87B"/>
    <w:rsid w:val="7CFE0F48"/>
    <w:rsid w:val="7D4B3249"/>
    <w:rsid w:val="7D7EC23E"/>
    <w:rsid w:val="7D916348"/>
    <w:rsid w:val="7E8ADEBF"/>
    <w:rsid w:val="7EEF11D3"/>
    <w:rsid w:val="7F0971A6"/>
    <w:rsid w:val="7F3F679B"/>
    <w:rsid w:val="7F4FC4EF"/>
    <w:rsid w:val="7F5E4D54"/>
    <w:rsid w:val="7F6E0135"/>
    <w:rsid w:val="7FA30C79"/>
    <w:rsid w:val="7FAF8ABF"/>
    <w:rsid w:val="7FB7269E"/>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3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footnote text"/>
    <w:basedOn w:val="1"/>
    <w:next w:val="3"/>
    <w:semiHidden/>
    <w:qFormat/>
    <w:uiPriority w:val="0"/>
    <w:pPr>
      <w:snapToGrid w:val="0"/>
      <w:jc w:val="left"/>
    </w:pPr>
    <w:rPr>
      <w:sz w:val="18"/>
      <w:szCs w:val="18"/>
    </w:rPr>
  </w:style>
  <w:style w:type="paragraph" w:styleId="3">
    <w:name w:val="Body Text First Indent 2"/>
    <w:basedOn w:val="4"/>
    <w:unhideWhenUsed/>
    <w:qFormat/>
    <w:uiPriority w:val="99"/>
    <w:pPr>
      <w:ind w:firstLine="420" w:firstLineChars="200"/>
    </w:pPr>
  </w:style>
  <w:style w:type="paragraph" w:styleId="4">
    <w:name w:val="Body Text Indent"/>
    <w:basedOn w:val="1"/>
    <w:next w:val="3"/>
    <w:qFormat/>
    <w:uiPriority w:val="0"/>
    <w:pPr>
      <w:spacing w:after="120"/>
      <w:ind w:left="200" w:leftChars="200"/>
    </w:pPr>
    <w:rPr>
      <w:rFonts w:ascii="仿宋_GB2312"/>
      <w:szCs w:val="32"/>
    </w:rPr>
  </w:style>
  <w:style w:type="paragraph" w:styleId="8">
    <w:name w:val="Body Text"/>
    <w:basedOn w:val="1"/>
    <w:link w:val="26"/>
    <w:qFormat/>
    <w:uiPriority w:val="99"/>
    <w:pPr>
      <w:spacing w:beforeLines="30"/>
    </w:pPr>
    <w:rPr>
      <w:rFonts w:ascii="仿宋_GB2312" w:eastAsia="仿宋_GB2312"/>
      <w:kern w:val="0"/>
      <w:sz w:val="30"/>
    </w:r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2"/>
    <w:semiHidden/>
    <w:unhideWhenUsed/>
    <w:qFormat/>
    <w:uiPriority w:val="99"/>
    <w:rPr>
      <w:sz w:val="18"/>
      <w:szCs w:val="18"/>
    </w:rPr>
  </w:style>
  <w:style w:type="paragraph" w:styleId="11">
    <w:name w:val="footer"/>
    <w:basedOn w:val="1"/>
    <w:link w:val="24"/>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2"/>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toc 2"/>
    <w:basedOn w:val="1"/>
    <w:next w:val="1"/>
    <w:unhideWhenUsed/>
    <w:qFormat/>
    <w:uiPriority w:val="39"/>
    <w:pPr>
      <w:tabs>
        <w:tab w:val="right" w:leader="dot" w:pos="8296"/>
      </w:tabs>
      <w:ind w:left="420" w:leftChars="200"/>
    </w:pPr>
  </w:style>
  <w:style w:type="paragraph" w:styleId="15">
    <w:name w:val="Normal (Web)"/>
    <w:basedOn w:val="1"/>
    <w:unhideWhenUsed/>
    <w:qFormat/>
    <w:uiPriority w:val="0"/>
    <w:pPr>
      <w:spacing w:before="100" w:beforeAutospacing="1" w:after="100" w:afterAutospacing="1"/>
    </w:pPr>
  </w:style>
  <w:style w:type="character" w:styleId="18">
    <w:name w:val="Strong"/>
    <w:basedOn w:val="17"/>
    <w:qFormat/>
    <w:uiPriority w:val="99"/>
    <w:rPr>
      <w:b/>
    </w:rPr>
  </w:style>
  <w:style w:type="character" w:styleId="19">
    <w:name w:val="Hyperlink"/>
    <w:basedOn w:val="17"/>
    <w:unhideWhenUsed/>
    <w:qFormat/>
    <w:uiPriority w:val="99"/>
    <w:rPr>
      <w:color w:val="0000FF" w:themeColor="hyperlink"/>
      <w:u w:val="single"/>
      <w14:textFill>
        <w14:solidFill>
          <w14:schemeClr w14:val="hlink"/>
        </w14:solidFill>
      </w14:textFill>
    </w:rPr>
  </w:style>
  <w:style w:type="paragraph" w:customStyle="1" w:styleId="20">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1">
    <w:name w:val="Header Char"/>
    <w:basedOn w:val="17"/>
    <w:semiHidden/>
    <w:qFormat/>
    <w:uiPriority w:val="99"/>
    <w:rPr>
      <w:rFonts w:ascii="Times New Roman" w:hAnsi="Times New Roman"/>
      <w:sz w:val="18"/>
      <w:szCs w:val="18"/>
    </w:rPr>
  </w:style>
  <w:style w:type="character" w:customStyle="1" w:styleId="22">
    <w:name w:val="页眉 字符"/>
    <w:link w:val="12"/>
    <w:semiHidden/>
    <w:qFormat/>
    <w:locked/>
    <w:uiPriority w:val="99"/>
    <w:rPr>
      <w:sz w:val="18"/>
    </w:rPr>
  </w:style>
  <w:style w:type="character" w:customStyle="1" w:styleId="23">
    <w:name w:val="Footer Char"/>
    <w:basedOn w:val="17"/>
    <w:semiHidden/>
    <w:qFormat/>
    <w:uiPriority w:val="99"/>
    <w:rPr>
      <w:rFonts w:ascii="Times New Roman" w:hAnsi="Times New Roman"/>
      <w:sz w:val="18"/>
      <w:szCs w:val="18"/>
    </w:rPr>
  </w:style>
  <w:style w:type="character" w:customStyle="1" w:styleId="24">
    <w:name w:val="页脚 字符"/>
    <w:link w:val="11"/>
    <w:qFormat/>
    <w:locked/>
    <w:uiPriority w:val="99"/>
    <w:rPr>
      <w:sz w:val="18"/>
    </w:rPr>
  </w:style>
  <w:style w:type="character" w:customStyle="1" w:styleId="25">
    <w:name w:val="Body Text Char"/>
    <w:basedOn w:val="17"/>
    <w:semiHidden/>
    <w:qFormat/>
    <w:uiPriority w:val="99"/>
    <w:rPr>
      <w:rFonts w:ascii="Times New Roman" w:hAnsi="Times New Roman"/>
      <w:szCs w:val="24"/>
    </w:rPr>
  </w:style>
  <w:style w:type="character" w:customStyle="1" w:styleId="26">
    <w:name w:val="正文文本 字符"/>
    <w:link w:val="8"/>
    <w:qFormat/>
    <w:locked/>
    <w:uiPriority w:val="99"/>
    <w:rPr>
      <w:rFonts w:ascii="仿宋_GB2312" w:hAnsi="Times New Roman" w:eastAsia="仿宋_GB2312"/>
      <w:sz w:val="24"/>
    </w:rPr>
  </w:style>
  <w:style w:type="paragraph" w:customStyle="1" w:styleId="27">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34"/>
    <w:pPr>
      <w:ind w:firstLine="420" w:firstLineChars="200"/>
    </w:pPr>
  </w:style>
  <w:style w:type="character" w:customStyle="1" w:styleId="29">
    <w:name w:val="标题 1 字符"/>
    <w:basedOn w:val="17"/>
    <w:link w:val="5"/>
    <w:qFormat/>
    <w:uiPriority w:val="9"/>
    <w:rPr>
      <w:rFonts w:ascii="Times New Roman" w:hAnsi="Times New Roman"/>
      <w:b/>
      <w:bCs/>
      <w:kern w:val="44"/>
      <w:sz w:val="44"/>
      <w:szCs w:val="44"/>
    </w:rPr>
  </w:style>
  <w:style w:type="character" w:customStyle="1" w:styleId="30">
    <w:name w:val="标题 2 字符"/>
    <w:basedOn w:val="17"/>
    <w:link w:val="6"/>
    <w:qFormat/>
    <w:uiPriority w:val="9"/>
    <w:rPr>
      <w:rFonts w:asciiTheme="majorHAnsi" w:hAnsiTheme="majorHAnsi" w:eastAsiaTheme="majorEastAsia" w:cstheme="majorBidi"/>
      <w:b/>
      <w:bCs/>
      <w:kern w:val="2"/>
      <w:sz w:val="32"/>
      <w:szCs w:val="32"/>
    </w:rPr>
  </w:style>
  <w:style w:type="paragraph" w:customStyle="1" w:styleId="31">
    <w:name w:val="TOC 标题1"/>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2">
    <w:name w:val="批注框文本 字符"/>
    <w:basedOn w:val="17"/>
    <w:link w:val="10"/>
    <w:semiHidden/>
    <w:qFormat/>
    <w:uiPriority w:val="99"/>
    <w:rPr>
      <w:rFonts w:ascii="Times New Roman" w:hAnsi="Times New Roman"/>
      <w:kern w:val="2"/>
      <w:sz w:val="18"/>
      <w:szCs w:val="18"/>
    </w:rPr>
  </w:style>
  <w:style w:type="character" w:customStyle="1" w:styleId="33">
    <w:name w:val="标题 3 字符"/>
    <w:basedOn w:val="17"/>
    <w:link w:val="7"/>
    <w:qFormat/>
    <w:uiPriority w:val="9"/>
    <w:rPr>
      <w:rFonts w:ascii="Times New Roman" w:hAnsi="Times New Roman"/>
      <w:b/>
      <w:bCs/>
      <w:kern w:val="2"/>
      <w:sz w:val="32"/>
      <w:szCs w:val="32"/>
    </w:rPr>
  </w:style>
  <w:style w:type="paragraph" w:customStyle="1" w:styleId="34">
    <w:name w:val="TOC 标题2"/>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5">
    <w:name w:val="四号正文"/>
    <w:basedOn w:val="1"/>
    <w:qFormat/>
    <w:uiPriority w:val="0"/>
    <w:pPr>
      <w:spacing w:line="360" w:lineRule="auto"/>
    </w:pPr>
    <w:rPr>
      <w:rFonts w:ascii="??" w:hAnsi="??"/>
      <w:color w:val="000000"/>
      <w:kern w:val="0"/>
      <w:sz w:val="28"/>
      <w:szCs w:val="21"/>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chart" Target="charts/chart7.xml"/><Relationship Id="rId16" Type="http://schemas.openxmlformats.org/officeDocument/2006/relationships/chart" Target="charts/chart6.xml"/><Relationship Id="rId15" Type="http://schemas.openxmlformats.org/officeDocument/2006/relationships/chart" Target="charts/chart5.xml"/><Relationship Id="rId14" Type="http://schemas.openxmlformats.org/officeDocument/2006/relationships/chart" Target="charts/chart4.xml"/><Relationship Id="rId13" Type="http://schemas.openxmlformats.org/officeDocument/2006/relationships/chart" Target="charts/chart3.xml"/><Relationship Id="rId12" Type="http://schemas.openxmlformats.org/officeDocument/2006/relationships/chart" Target="charts/chart2.xml"/><Relationship Id="rId11" Type="http://schemas.openxmlformats.org/officeDocument/2006/relationships/chart" Target="charts/chart1.xml"/><Relationship Id="rId10" Type="http://schemas.openxmlformats.org/officeDocument/2006/relationships/theme" Target="theme/theme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7.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delete val="1"/>
          </c:dLbls>
          <c:cat>
            <c:strRef>
              <c:f>Sheet1!$A$2:$A$3</c:f>
              <c:strCache>
                <c:ptCount val="2"/>
                <c:pt idx="0">
                  <c:v>2024年</c:v>
                </c:pt>
                <c:pt idx="1">
                  <c:v>2025年</c:v>
                </c:pt>
              </c:strCache>
            </c:strRef>
          </c:cat>
          <c:val>
            <c:numRef>
              <c:f>Sheet1!$B$2:$B$3</c:f>
              <c:numCache>
                <c:formatCode>General</c:formatCode>
                <c:ptCount val="2"/>
                <c:pt idx="0">
                  <c:v>272.91</c:v>
                </c:pt>
                <c:pt idx="1">
                  <c:v>426.68</c:v>
                </c:pt>
              </c:numCache>
            </c:numRef>
          </c:val>
        </c:ser>
        <c:ser>
          <c:idx val="1"/>
          <c:order val="1"/>
          <c:tx>
            <c:strRef>
              <c:f>Sheet1!$C$1</c:f>
              <c:strCache>
                <c:ptCount val="1"/>
                <c:pt idx="0">
                  <c:v>支出</c:v>
                </c:pt>
              </c:strCache>
            </c:strRef>
          </c:tx>
          <c:spPr>
            <a:solidFill>
              <a:schemeClr val="accent2"/>
            </a:solidFill>
            <a:ln>
              <a:noFill/>
            </a:ln>
            <a:effectLst/>
          </c:spPr>
          <c:invertIfNegative val="0"/>
          <c:dLbls>
            <c:delete val="1"/>
          </c:dLbls>
          <c:cat>
            <c:strRef>
              <c:f>Sheet1!$A$2:$A$3</c:f>
              <c:strCache>
                <c:ptCount val="2"/>
                <c:pt idx="0">
                  <c:v>2024年</c:v>
                </c:pt>
                <c:pt idx="1">
                  <c:v>2025年</c:v>
                </c:pt>
              </c:strCache>
            </c:strRef>
          </c:cat>
          <c:val>
            <c:numRef>
              <c:f>Sheet1!$C$2:$C$3</c:f>
              <c:numCache>
                <c:formatCode>General</c:formatCode>
                <c:ptCount val="2"/>
                <c:pt idx="0">
                  <c:v>272.91</c:v>
                </c:pt>
                <c:pt idx="1">
                  <c:v>426.68</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76187136"/>
        <c:axId val="76188672"/>
      </c:barChart>
      <c:catAx>
        <c:axId val="7618713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6188672"/>
        <c:crosses val="autoZero"/>
        <c:auto val="1"/>
        <c:lblAlgn val="ctr"/>
        <c:lblOffset val="100"/>
        <c:noMultiLvlLbl val="0"/>
      </c:catAx>
      <c:valAx>
        <c:axId val="7618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6187136"/>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c1a7359-4dc0-4b7a-a52d-db62e456682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收入决算结构图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一般公共预算财政拨款收入</c:v>
                </c:pt>
                <c:pt idx="1">
                  <c:v>政府性基金预算财政拨款收入</c:v>
                </c:pt>
                <c:pt idx="2">
                  <c:v>国有资本经营预算财政拨款收入</c:v>
                </c:pt>
                <c:pt idx="3">
                  <c:v>上级补助收入</c:v>
                </c:pt>
              </c:strCache>
            </c:strRef>
          </c:cat>
          <c:val>
            <c:numRef>
              <c:f>Sheet1!$B$2:$B$5</c:f>
              <c:numCache>
                <c:formatCode>General</c:formatCode>
                <c:ptCount val="4"/>
                <c:pt idx="0">
                  <c:v>426.68</c:v>
                </c:pt>
                <c:pt idx="1">
                  <c:v>0</c:v>
                </c:pt>
                <c:pt idx="2">
                  <c:v>0</c:v>
                </c:pt>
                <c:pt idx="3">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e2362dfc-2976-43d0-b591-b95c935ea8d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支出决算结构图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基本支出</c:v>
                </c:pt>
                <c:pt idx="1">
                  <c:v>项目支出</c:v>
                </c:pt>
                <c:pt idx="2">
                  <c:v>上缴上级支出</c:v>
                </c:pt>
                <c:pt idx="3">
                  <c:v>经营支出</c:v>
                </c:pt>
              </c:strCache>
            </c:strRef>
          </c:cat>
          <c:val>
            <c:numRef>
              <c:f>Sheet1!$B$2:$B$5</c:f>
              <c:numCache>
                <c:formatCode>General</c:formatCode>
                <c:ptCount val="4"/>
                <c:pt idx="0">
                  <c:v>426.68</c:v>
                </c:pt>
                <c:pt idx="1">
                  <c:v>0</c:v>
                </c:pt>
                <c:pt idx="2">
                  <c:v>0</c:v>
                </c:pt>
                <c:pt idx="3">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2f9c9b0e-6ec5-448a-9739-fc0f00ac1b5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barChart>
        <c:barDir val="col"/>
        <c:grouping val="clustered"/>
        <c:varyColors val="0"/>
        <c:ser>
          <c:idx val="0"/>
          <c:order val="0"/>
          <c:tx>
            <c:strRef>
              <c:f>Sheet1!$B$1</c:f>
              <c:strCache>
                <c:ptCount val="1"/>
                <c:pt idx="0">
                  <c:v>财政拨款收入</c:v>
                </c:pt>
              </c:strCache>
            </c:strRef>
          </c:tx>
          <c:spPr>
            <a:solidFill>
              <a:schemeClr val="accent1"/>
            </a:solidFill>
            <a:ln>
              <a:noFill/>
            </a:ln>
            <a:effectLst/>
          </c:spPr>
          <c:invertIfNegative val="0"/>
          <c:dLbls>
            <c:delete val="1"/>
          </c:dLbls>
          <c:cat>
            <c:strRef>
              <c:f>Sheet1!$A$2:$A$3</c:f>
              <c:strCache>
                <c:ptCount val="2"/>
                <c:pt idx="0">
                  <c:v>2024年</c:v>
                </c:pt>
                <c:pt idx="1">
                  <c:v>2025年</c:v>
                </c:pt>
              </c:strCache>
            </c:strRef>
          </c:cat>
          <c:val>
            <c:numRef>
              <c:f>Sheet1!$B$2:$B$3</c:f>
              <c:numCache>
                <c:formatCode>General</c:formatCode>
                <c:ptCount val="2"/>
                <c:pt idx="0">
                  <c:v>272.91</c:v>
                </c:pt>
                <c:pt idx="1">
                  <c:v>426.68</c:v>
                </c:pt>
              </c:numCache>
            </c:numRef>
          </c:val>
        </c:ser>
        <c:ser>
          <c:idx val="1"/>
          <c:order val="1"/>
          <c:tx>
            <c:strRef>
              <c:f>Sheet1!$C$1</c:f>
              <c:strCache>
                <c:ptCount val="1"/>
                <c:pt idx="0">
                  <c:v>财政拨款支出</c:v>
                </c:pt>
              </c:strCache>
            </c:strRef>
          </c:tx>
          <c:spPr>
            <a:solidFill>
              <a:schemeClr val="accent2"/>
            </a:solidFill>
            <a:ln>
              <a:noFill/>
            </a:ln>
            <a:effectLst/>
          </c:spPr>
          <c:invertIfNegative val="0"/>
          <c:dLbls>
            <c:delete val="1"/>
          </c:dLbls>
          <c:cat>
            <c:strRef>
              <c:f>Sheet1!$A$2:$A$3</c:f>
              <c:strCache>
                <c:ptCount val="2"/>
                <c:pt idx="0">
                  <c:v>2024年</c:v>
                </c:pt>
                <c:pt idx="1">
                  <c:v>2025年</c:v>
                </c:pt>
              </c:strCache>
            </c:strRef>
          </c:cat>
          <c:val>
            <c:numRef>
              <c:f>Sheet1!$C$2:$C$3</c:f>
              <c:numCache>
                <c:formatCode>General</c:formatCode>
                <c:ptCount val="2"/>
                <c:pt idx="0">
                  <c:v>272.91</c:v>
                </c:pt>
                <c:pt idx="1">
                  <c:v>426.68</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78267136"/>
        <c:axId val="78268672"/>
      </c:barChart>
      <c:catAx>
        <c:axId val="7826713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8268672"/>
        <c:crosses val="autoZero"/>
        <c:auto val="1"/>
        <c:lblAlgn val="ctr"/>
        <c:lblOffset val="100"/>
        <c:noMultiLvlLbl val="0"/>
      </c:catAx>
      <c:valAx>
        <c:axId val="7826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8267136"/>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9fae0fe-e851-4933-b83c-493ea0f7251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barChart>
        <c:barDir val="col"/>
        <c:grouping val="clustered"/>
        <c:varyColors val="0"/>
        <c:ser>
          <c:idx val="0"/>
          <c:order val="0"/>
          <c:tx>
            <c:strRef>
              <c:f>Sheet1!$B$1</c:f>
              <c:strCache>
                <c:ptCount val="1"/>
                <c:pt idx="0">
                  <c:v>一般公共预算财政拨款收入</c:v>
                </c:pt>
              </c:strCache>
            </c:strRef>
          </c:tx>
          <c:spPr>
            <a:solidFill>
              <a:schemeClr val="accent1"/>
            </a:solidFill>
            <a:ln>
              <a:noFill/>
            </a:ln>
            <a:effectLst/>
          </c:spPr>
          <c:invertIfNegative val="0"/>
          <c:dLbls>
            <c:delete val="1"/>
          </c:dLbls>
          <c:cat>
            <c:strRef>
              <c:f>Sheet1!$A$2:$A$3</c:f>
              <c:strCache>
                <c:ptCount val="2"/>
                <c:pt idx="0">
                  <c:v>2024年</c:v>
                </c:pt>
                <c:pt idx="1">
                  <c:v>2025年</c:v>
                </c:pt>
              </c:strCache>
            </c:strRef>
          </c:cat>
          <c:val>
            <c:numRef>
              <c:f>Sheet1!$B$2:$B$3</c:f>
              <c:numCache>
                <c:formatCode>General</c:formatCode>
                <c:ptCount val="2"/>
                <c:pt idx="0">
                  <c:v>272.91</c:v>
                </c:pt>
                <c:pt idx="1">
                  <c:v>426.68</c:v>
                </c:pt>
              </c:numCache>
            </c:numRef>
          </c:val>
        </c:ser>
        <c:ser>
          <c:idx val="1"/>
          <c:order val="1"/>
          <c:tx>
            <c:strRef>
              <c:f>Sheet1!$C$1</c:f>
              <c:strCache>
                <c:ptCount val="1"/>
                <c:pt idx="0">
                  <c:v>一般公共预算财政拨款支出</c:v>
                </c:pt>
              </c:strCache>
            </c:strRef>
          </c:tx>
          <c:spPr>
            <a:solidFill>
              <a:schemeClr val="accent2"/>
            </a:solidFill>
            <a:ln>
              <a:noFill/>
            </a:ln>
            <a:effectLst/>
          </c:spPr>
          <c:invertIfNegative val="0"/>
          <c:dLbls>
            <c:delete val="1"/>
          </c:dLbls>
          <c:cat>
            <c:strRef>
              <c:f>Sheet1!$A$2:$A$3</c:f>
              <c:strCache>
                <c:ptCount val="2"/>
                <c:pt idx="0">
                  <c:v>2024年</c:v>
                </c:pt>
                <c:pt idx="1">
                  <c:v>2025年</c:v>
                </c:pt>
              </c:strCache>
            </c:strRef>
          </c:cat>
          <c:val>
            <c:numRef>
              <c:f>Sheet1!$C$2:$C$3</c:f>
              <c:numCache>
                <c:formatCode>General</c:formatCode>
                <c:ptCount val="2"/>
                <c:pt idx="0">
                  <c:v>272.91</c:v>
                </c:pt>
                <c:pt idx="1">
                  <c:v>426.68</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78351744"/>
        <c:axId val="78357632"/>
      </c:barChart>
      <c:catAx>
        <c:axId val="7835174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8357632"/>
        <c:crosses val="autoZero"/>
        <c:auto val="1"/>
        <c:lblAlgn val="ctr"/>
        <c:lblOffset val="100"/>
        <c:noMultiLvlLbl val="0"/>
      </c:catAx>
      <c:valAx>
        <c:axId val="78357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8351744"/>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94a55bf-4ea4-476b-b9eb-ff429607ffc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一般公共预算财政拨款支出决算结构</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Lbls>
            <c:delete val="1"/>
          </c:dLbls>
          <c:cat>
            <c:strRef>
              <c:f>Sheet1!$A$2:$A$8</c:f>
              <c:strCache>
                <c:ptCount val="7"/>
                <c:pt idx="0">
                  <c:v>一般公共服务支出</c:v>
                </c:pt>
                <c:pt idx="1">
                  <c:v>教育支出</c:v>
                </c:pt>
                <c:pt idx="2">
                  <c:v>科学技术支出</c:v>
                </c:pt>
                <c:pt idx="3">
                  <c:v>文化旅游体育与传媒支出</c:v>
                </c:pt>
                <c:pt idx="4">
                  <c:v>社会保障和就业支出</c:v>
                </c:pt>
                <c:pt idx="5">
                  <c:v>卫生健康支出</c:v>
                </c:pt>
                <c:pt idx="6">
                  <c:v>住房保障支出</c:v>
                </c:pt>
              </c:strCache>
            </c:strRef>
          </c:cat>
          <c:val>
            <c:numRef>
              <c:f>Sheet1!$B$2:$B$8</c:f>
              <c:numCache>
                <c:formatCode>General</c:formatCode>
                <c:ptCount val="7"/>
                <c:pt idx="0">
                  <c:v>0</c:v>
                </c:pt>
                <c:pt idx="1">
                  <c:v>0</c:v>
                </c:pt>
                <c:pt idx="2">
                  <c:v>0</c:v>
                </c:pt>
                <c:pt idx="3">
                  <c:v>320.03</c:v>
                </c:pt>
                <c:pt idx="4">
                  <c:v>56.86</c:v>
                </c:pt>
                <c:pt idx="5">
                  <c:v>18.3</c:v>
                </c:pt>
                <c:pt idx="6">
                  <c:v>31.5</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dcb50b67-d402-446d-aadd-fe7e5c7291b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“三公”经费财政拨款支出</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Lbls>
            <c:delete val="1"/>
          </c:dLbls>
          <c:cat>
            <c:strRef>
              <c:f>Sheet1!$A$2:$A$4</c:f>
              <c:strCache>
                <c:ptCount val="3"/>
                <c:pt idx="0">
                  <c:v>因公出国（境）费支出</c:v>
                </c:pt>
                <c:pt idx="1">
                  <c:v>公务用车购置及运行维护费支出</c:v>
                </c:pt>
                <c:pt idx="2">
                  <c:v>公务接待费支出</c:v>
                </c:pt>
              </c:strCache>
            </c:strRef>
          </c:cat>
          <c:val>
            <c:numRef>
              <c:f>Sheet1!$B$2:$B$4</c:f>
              <c:numCache>
                <c:formatCode>General</c:formatCode>
                <c:ptCount val="3"/>
                <c:pt idx="0">
                  <c:v>0</c:v>
                </c:pt>
                <c:pt idx="1">
                  <c:v>5</c:v>
                </c:pt>
                <c:pt idx="2">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919abcb-46bb-4178-b8c1-a9473c17ac60}"/>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95ff1721-2a7d-42dc-91d5-936b3698c42f</errorID>
      <errorWord>.....</errorWord>
      <group>L1_Punc</group>
      <groupName>标点问题</groupName>
      <ability>L2_Punc_CN</ability>
      <abilityName>标点符号问题</abilityName>
      <candidateList>
        <item>……</item>
      </candidateList>
      <explain>省略号错误。</explain>
      <paraID>7104E4BA</paraID>
      <start>56</start>
      <end>61</end>
      <status>unmodified</status>
      <modifiedWord/>
      <trackRevisions>false</trackRevisions>
    </reviewItem>
    <reviewItem>
      <errorID>2b973065-7d38-4ad8-a44c-9e7f241b1a37</errorID>
      <errorWord>....</errorWord>
      <group>L1_Punc</group>
      <groupName>标点问题</groupName>
      <ability>L2_Punc_CN</ability>
      <abilityName>标点符号问题</abilityName>
      <candidateList>
        <item>……</item>
      </candidateList>
      <explain>省略号错误。</explain>
      <paraID>16C04708</paraID>
      <start>22</start>
      <end>26</end>
      <status>unmodified</status>
      <modifiedWord/>
      <trackRevisions>false</trackRevisions>
    </reviewItem>
    <reviewItem>
      <errorID>5e5cfbba-08f0-4a87-9437-f825f98ca622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33743E65</paraID>
      <start>0</start>
      <end>2</end>
      <status>unmodified</status>
      <modifiedWord/>
      <trackRevisions>false</trackRevisions>
    </reviewItem>
    <reviewItem>
      <errorID>76e315ae-e132-4b32-b4aa-46792b984fa4</errorID>
      <errorWord>一般公共服务的支出</errorWord>
      <group>L1_Political</group>
      <groupName>政治性问题</groupName>
      <ability>L2_Keyword</ability>
      <abilityName>固定表述</abilityName>
      <candidateList>
        <item>一般公共服务支出</item>
      </candidateList>
      <explain>词汇“一般公共服务支出”在特定场景下为固定表述形式，请确认此处的“一般公共服务的支出”是否存在不当。</explain>
      <paraID>7ADBBEA3</paraID>
      <start>32</start>
      <end>41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01aef8-278d-420e-8af9-24492b52ff50}">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21</Pages>
  <Words>5473</Words>
  <Characters>7046</Characters>
  <Lines>61</Lines>
  <Paragraphs>17</Paragraphs>
  <TotalTime>13</TotalTime>
  <ScaleCrop>false</ScaleCrop>
  <LinksUpToDate>false</LinksUpToDate>
  <CharactersWithSpaces>7120</CharactersWithSpaces>
  <Application>WPS Office_12.1.0.28505_F1E327BC-269C-435d-A152-05C5408002CA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2026-10-10T05:58:00Z</dcterms:created>
  <dc:creator>曹颖</dc:creator>
  <cp:lastModifiedBy>张金恒</cp:lastModifiedBy>
  <cp:lastPrinted>2026-08-03T09:27:00Z</cp:lastPrinted>
  <dcterms:modified xsi:type="dcterms:W3CDTF">2026-10-15T08:19:19Z</dcterms:modified>
  <dc:title>四川省***</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400D301575C74348A5277D00A7902E06</vt:lpwstr>
  </property>
  <property fmtid="{D5CDD505-2E9C-101B-9397-08002B2CF9AE}" pid="4" name="KSOTemplateDocerSaveRecord">
    <vt:lpwstr>eyJoZGlkIjoiZTQxNGI4Y2JlMzU5YTFjYWIxZjIyOWQ3NzU4OWZjYzciLCJ1c2VySWQiOiIxNjU5Nzc1NjEyIn0=</vt:lpwstr>
  </property>
</Properties>
</file>