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6"/>
        <w:jc w:val="both"/>
        <w:rPr>
          <w:rFonts w:ascii="Times New Roman" w:eastAsia="方正小标宋简体" w:cs="Times New Roman" w:hAnsi="Times New Roman" w:hint="eastAsia"/>
          <w:color w:val="auto"/>
          <w:kern w:val="2"/>
          <w:sz w:val="44"/>
          <w:szCs w:val="44"/>
          <w:lang w:val="en-US" w:eastAsia="zh-CN" w:bidi="ar-SA"/>
          <w:highlight w:val="auto"/>
        </w:rPr>
      </w:pPr>
      <w:bookmarkStart w:id="0" w:name="_Toc15377425"/>
      <w:bookmarkStart w:id="1" w:name="_Toc15377193"/>
      <w:bookmarkStart w:id="2" w:name="_Toc15306267"/>
      <w:bookmarkStart w:id="3" w:name="_Toc15396475"/>
      <w:bookmarkStart w:id="4" w:name="_Toc15378441"/>
      <w:bookmarkStart w:id="5" w:name="_Toc15396597"/>
    </w:p>
    <w:p>
      <w:pPr>
        <w:adjustRightInd w:val="0"/>
        <w:snapToGrid w:val="0"/>
        <w:spacing w:line="360" w:lineRule="auto"/>
        <w:jc w:val="center"/>
        <w:outlineLvl w:val="0"/>
        <w:rPr>
          <w:rFonts w:ascii="方正小标宋简体" w:eastAsia="方正小标宋简体" w:cs="方正小标宋简体"/>
          <w:sz w:val="72"/>
          <w:szCs w:val="72"/>
        </w:rPr>
      </w:pPr>
      <w:bookmarkEnd w:id="0"/>
      <w:bookmarkEnd w:id="1"/>
      <w:bookmarkEnd w:id="2"/>
      <w:bookmarkEnd w:id="3"/>
      <w:bookmarkEnd w:id="4"/>
      <w:bookmarkEnd w:id="5"/>
      <w:r>
        <w:rPr>
          <w:rFonts w:ascii="方正小标宋简体" w:eastAsia="方正小标宋简体" w:cs="方正小标宋简体" w:hint="eastAsia"/>
          <w:sz w:val="72"/>
          <w:szCs w:val="72"/>
        </w:rPr>
        <w:t>202</w:t>
      </w:r>
      <w:r>
        <w:rPr>
          <w:rFonts w:ascii="方正小标宋简体" w:eastAsia="方正小标宋简体" w:cs="方正小标宋简体" w:hint="eastAsia"/>
          <w:sz w:val="72"/>
          <w:szCs w:val="72"/>
          <w:lang w:val="en-US" w:eastAsia="zh-CN"/>
        </w:rPr>
        <w:t>5</w:t>
      </w:r>
      <w:r>
        <w:rPr>
          <w:rFonts w:ascii="方正小标宋简体" w:eastAsia="方正小标宋简体" w:cs="方正小标宋简体" w:hint="eastAsia"/>
          <w:sz w:val="72"/>
          <w:szCs w:val="72"/>
        </w:rPr>
        <w:t>年度</w:t>
      </w:r>
    </w:p>
    <w:p>
      <w:pPr>
        <w:adjustRightInd w:val="0"/>
        <w:snapToGrid w:val="0"/>
        <w:spacing w:line="360" w:lineRule="auto"/>
        <w:jc w:val="center"/>
        <w:outlineLvl w:val="0"/>
        <w:rPr>
          <w:rFonts w:ascii="方正小标宋简体" w:eastAsia="方正小标宋简体" w:cs="方正小标宋简体" w:hint="eastAsia"/>
          <w:sz w:val="72"/>
          <w:szCs w:val="72"/>
        </w:rPr>
      </w:pPr>
      <w:bookmarkStart w:id="6" w:name="_Toc15377194"/>
      <w:bookmarkStart w:id="7" w:name="_Toc15396476"/>
      <w:bookmarkStart w:id="8" w:name="_Toc15378442"/>
      <w:bookmarkStart w:id="9" w:name="_Toc15396598"/>
      <w:bookmarkStart w:id="10" w:name="_Toc15377426"/>
      <w:r>
        <w:rPr>
          <w:rFonts w:ascii="方正小标宋简体" w:eastAsia="方正小标宋简体" w:cs="方正小标宋简体" w:hint="eastAsia"/>
          <w:sz w:val="72"/>
          <w:szCs w:val="72"/>
        </w:rPr>
        <w:t>四川省</w:t>
      </w:r>
      <w:bookmarkStart w:id="11" w:name="_Toc15306268"/>
      <w:r>
        <w:rPr>
          <w:rFonts w:ascii="方正小标宋简体" w:eastAsia="方正小标宋简体" w:cs="方正小标宋简体" w:hint="eastAsia"/>
          <w:sz w:val="72"/>
          <w:szCs w:val="72"/>
        </w:rPr>
        <w:t>阿坝州若尔盖县巴西片区林业工作总站</w:t>
      </w:r>
    </w:p>
    <w:p>
      <w:pPr>
        <w:adjustRightInd w:val="0"/>
        <w:snapToGrid w:val="0"/>
        <w:spacing w:line="360" w:lineRule="auto"/>
        <w:jc w:val="center"/>
        <w:outlineLvl w:val="0"/>
        <w:rPr>
          <w:rFonts w:ascii="方正小标宋简体" w:eastAsia="方正小标宋简体" w:cs="方正小标宋简体" w:hint="eastAsia"/>
          <w:sz w:val="72"/>
          <w:szCs w:val="72"/>
        </w:rPr>
      </w:pPr>
      <w:r>
        <w:rPr>
          <w:rFonts w:ascii="方正小标宋简体" w:eastAsia="方正小标宋简体" w:cs="方正小标宋简体" w:hint="eastAsia"/>
          <w:sz w:val="72"/>
          <w:szCs w:val="72"/>
        </w:rPr>
        <w:t>单位决算</w:t>
      </w:r>
      <w:bookmarkEnd w:id="6"/>
      <w:bookmarkEnd w:id="7"/>
      <w:bookmarkEnd w:id="8"/>
      <w:bookmarkEnd w:id="9"/>
      <w:bookmarkEnd w:id="10"/>
      <w:bookmarkEnd w:id="11"/>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adjustRightInd w:val="0"/>
        <w:snapToGrid w:val="0"/>
        <w:spacing w:line="360" w:lineRule="auto"/>
        <w:jc w:val="center"/>
        <w:outlineLvl w:val="0"/>
        <w:rPr>
          <w:rFonts w:ascii="宋体" w:eastAsia="宋体"/>
          <w:kern w:val="0"/>
          <w:sz w:val="24"/>
          <w:szCs w:val="24"/>
          <w:shd w:val="clear" w:color="auto" w:fill="FFFFFF"/>
        </w:rPr>
      </w:pP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center"/>
        <w:textAlignment w:val="auto"/>
        <w:rPr>
          <w:rFonts w:ascii="Times New Roman" w:eastAsia="仿宋_GB2312" w:cs="仿宋_GB2312" w:hAnsi="Times New Roman" w:hint="eastAsia"/>
          <w:color w:val="auto"/>
          <w:sz w:val="32"/>
          <w:szCs w:val="32"/>
          <w:lang w:val="en-US" w:eastAsia="zh-CN"/>
          <w:highlight w:val="auto"/>
        </w:rPr>
      </w:pPr>
      <w:r>
        <w:rPr>
          <w:rFonts w:ascii="宋体" w:eastAsia="宋体" w:hint="eastAsia"/>
          <w:kern w:val="0"/>
          <w:sz w:val="24"/>
          <w:szCs w:val="24"/>
          <w:shd w:val="clear" w:color="auto" w:fill="FFFFFF"/>
        </w:rPr>
        <w:t>已经保密审查、内容审定，同意对外公开</w:t>
      </w:r>
    </w:p>
    <w:p>
      <w:pPr>
        <w:widowControl/>
        <w:jc w:val="center"/>
        <w:rPr>
          <w:rFonts w:ascii="Times New Roman" w:eastAsia="黑体" w:hAnsi="Times New Roman" w:hint="eastAsia"/>
          <w:color w:val="auto"/>
          <w:sz w:val="48"/>
          <w:szCs w:val="48"/>
          <w:highlight w:val="auto"/>
        </w:rPr>
        <w:sectPr>
          <w:headerReference w:type="default" r:id="rId2"/>
          <w:footerReference w:type="default" r:id="rId3"/>
          <w:footerReference w:type="first" r:id="rId4"/>
          <w:pgSz w:w="11906" w:h="16838"/>
          <w:pgMar w:top="1440" w:right="1800" w:bottom="1440" w:left="1800" w:header="851" w:footer="992" w:gutter="0"/>
          <w:pgNumType w:start="1"/>
          <w:titlePg/>
          <w:docGrid w:type="lines" w:linePitch="312" w:charSpace="0"/>
        </w:sectPr>
      </w:pPr>
    </w:p>
    <w:p>
      <w:pPr>
        <w:widowControl/>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4"/>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hint="eastAsia"/>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val="en-US" w:eastAsia="zh-CN"/>
          <w:highlight w:val="auto"/>
        </w:rPr>
        <w:t>10</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10</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4"/>
        <w:tabs>
          <w:tab w:val="right" w:leader="dot" w:pos="8296"/>
        </w:tabs>
        <w:adjustRightInd w:val="0"/>
        <w:snapToGrid w:val="0"/>
        <w:spacing w:before="0" w:line="440" w:lineRule="exact"/>
        <w:jc w:val="left"/>
        <w:rPr>
          <w:rFonts w:cs="Arial"/>
          <w:sz w:val="24"/>
          <w:szCs w:val="24"/>
        </w:rPr>
      </w:pPr>
      <w:bookmarkStart w:id="12" w:name="_Toc15377196"/>
      <w:bookmarkStart w:id="13" w:name="_Toc15396599"/>
      <w:r>
        <w:rPr>
          <w:rFonts w:ascii="黑体" w:eastAsia="黑体" w:cs="黑体" w:hint="eastAsia"/>
          <w:sz w:val="32"/>
          <w:szCs w:val="36"/>
        </w:rPr>
        <w:t>第一部分 单位概况</w:t>
      </w:r>
      <w:r>
        <w:rPr>
          <w:rFonts w:ascii="Times New Roman" w:eastAsia="宋体" w:cs="Times New Roman" w:hAnsi="Times New Roman" w:hint="eastAsia"/>
          <w:kern w:val="2"/>
          <w:sz w:val="24"/>
          <w:szCs w:val="24"/>
          <w:lang w:val="en-US" w:eastAsia="zh-CN" w:bidi="ar-SA"/>
        </w:rPr>
        <w:t>...........................................................................................</w:t>
      </w:r>
      <w:r>
        <w:rPr>
          <w:rFonts w:cs="Times New Roman" w:hint="eastAsia"/>
          <w:sz w:val="24"/>
          <w:lang w:val="en-US" w:eastAsia="zh-CN"/>
        </w:rPr>
        <w:t>4</w:t>
      </w:r>
    </w:p>
    <w:p>
      <w:pPr>
        <w:pStyle w:val="26"/>
        <w:tabs>
          <w:tab w:val="right" w:leader="dot" w:pos="8296"/>
        </w:tabs>
        <w:adjustRightInd w:val="0"/>
        <w:snapToGrid w:val="0"/>
        <w:spacing w:line="440" w:lineRule="exact"/>
        <w:jc w:val="left"/>
        <w:rPr>
          <w:sz w:val="24"/>
        </w:rPr>
      </w:pPr>
      <w:r>
        <w:rPr>
          <w:rFonts w:ascii="仿宋_GB2312" w:eastAsia="仿宋_GB2312" w:cs="仿宋_GB2312" w:hint="eastAsia"/>
          <w:sz w:val="28"/>
          <w:szCs w:val="28"/>
        </w:rPr>
        <w:t>一、主要职责</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4</w:t>
      </w:r>
    </w:p>
    <w:p>
      <w:pPr>
        <w:pStyle w:val="26"/>
        <w:tabs>
          <w:tab w:val="right" w:leader="dot" w:pos="8296"/>
        </w:tabs>
        <w:adjustRightInd w:val="0"/>
        <w:snapToGrid w:val="0"/>
        <w:spacing w:line="440" w:lineRule="exact"/>
        <w:jc w:val="left"/>
      </w:pPr>
      <w:r>
        <w:rPr>
          <w:rFonts w:ascii="仿宋_GB2312" w:eastAsia="仿宋_GB2312" w:cs="仿宋_GB2312" w:hint="eastAsia"/>
          <w:sz w:val="28"/>
          <w:szCs w:val="28"/>
        </w:rPr>
        <w:t>二、机构设置</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6</w:t>
      </w:r>
    </w:p>
    <w:p>
      <w:pPr>
        <w:pStyle w:val="24"/>
        <w:tabs>
          <w:tab w:val="right" w:leader="dot" w:pos="8296"/>
        </w:tabs>
        <w:adjustRightInd w:val="0"/>
        <w:snapToGrid w:val="0"/>
        <w:spacing w:before="0" w:line="440" w:lineRule="exact"/>
        <w:jc w:val="left"/>
        <w:rPr>
          <w:rFonts w:eastAsia="仿宋"/>
          <w:sz w:val="24"/>
          <w:szCs w:val="24"/>
          <w:lang w:val="en-US" w:eastAsia="zh-CN"/>
        </w:rPr>
      </w:pPr>
      <w:r>
        <w:rPr>
          <w:rFonts w:ascii="黑体" w:eastAsia="黑体" w:cs="黑体" w:hint="eastAsia"/>
          <w:sz w:val="32"/>
          <w:szCs w:val="36"/>
        </w:rPr>
        <w:t>第二部分 202</w:t>
      </w:r>
      <w:r>
        <w:rPr>
          <w:rFonts w:ascii="黑体" w:eastAsia="黑体" w:cs="黑体" w:hint="eastAsia"/>
          <w:sz w:val="32"/>
          <w:szCs w:val="36"/>
          <w:lang w:val="en-US" w:eastAsia="zh-CN"/>
        </w:rPr>
        <w:t>5</w:t>
      </w:r>
      <w:r>
        <w:rPr>
          <w:rFonts w:ascii="黑体" w:eastAsia="黑体" w:cs="黑体" w:hint="eastAsia"/>
          <w:sz w:val="32"/>
          <w:szCs w:val="36"/>
        </w:rPr>
        <w:t>年度单位决算情况说明</w:t>
      </w:r>
      <w:r>
        <w:rPr>
          <w:rFonts w:ascii="Times New Roman" w:eastAsia="宋体" w:cs="Times New Roman" w:hAnsi="Times New Roman" w:hint="eastAsia"/>
          <w:kern w:val="2"/>
          <w:sz w:val="24"/>
          <w:szCs w:val="24"/>
          <w:lang w:val="en-US" w:eastAsia="zh-CN" w:bidi="ar-SA"/>
        </w:rPr>
        <w:t>...............................................6</w:t>
      </w:r>
    </w:p>
    <w:p>
      <w:pPr>
        <w:pStyle w:val="26"/>
        <w:tabs>
          <w:tab w:val="right" w:leader="dot" w:pos="8296"/>
        </w:tabs>
        <w:adjustRightInd w:val="0"/>
        <w:snapToGrid w:val="0"/>
        <w:spacing w:line="440" w:lineRule="exact"/>
        <w:jc w:val="left"/>
        <w:rPr>
          <w:rFonts w:ascii="仿宋" w:eastAsia="宋体" w:cs="Arial" w:hAnsi="仿宋" w:hint="eastAsia"/>
          <w:sz w:val="24"/>
          <w:lang w:val="en-US" w:eastAsia="zh-CN"/>
        </w:rPr>
      </w:pPr>
      <w:r>
        <w:rPr>
          <w:rFonts w:ascii="仿宋_GB2312" w:eastAsia="仿宋_GB2312" w:cs="仿宋_GB2312" w:hint="eastAsia"/>
          <w:sz w:val="28"/>
          <w:szCs w:val="28"/>
        </w:rPr>
        <w:t>一、收入支出决算总体情况说明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6</w:t>
      </w:r>
    </w:p>
    <w:p>
      <w:pPr>
        <w:pStyle w:val="26"/>
        <w:tabs>
          <w:tab w:val="right" w:leader="dot" w:pos="8296"/>
        </w:tabs>
        <w:adjustRightInd w:val="0"/>
        <w:snapToGrid w:val="0"/>
        <w:spacing w:line="440" w:lineRule="exact"/>
        <w:jc w:val="left"/>
        <w:rPr>
          <w:rFonts w:ascii="仿宋" w:eastAsia="仿宋" w:cs="Arial"/>
          <w:sz w:val="24"/>
        </w:rPr>
      </w:pPr>
      <w:r>
        <w:rPr>
          <w:rFonts w:ascii="仿宋_GB2312" w:eastAsia="仿宋_GB2312" w:cs="仿宋_GB2312" w:hint="eastAsia"/>
          <w:sz w:val="28"/>
          <w:szCs w:val="28"/>
        </w:rPr>
        <w:t>二、收入决算情况说明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7</w:t>
      </w:r>
    </w:p>
    <w:p>
      <w:pPr>
        <w:pStyle w:val="26"/>
        <w:tabs>
          <w:tab w:val="right" w:leader="dot" w:pos="8296"/>
        </w:tabs>
        <w:adjustRightInd w:val="0"/>
        <w:snapToGrid w:val="0"/>
        <w:spacing w:line="440" w:lineRule="exact"/>
        <w:jc w:val="left"/>
        <w:rPr>
          <w:rFonts w:ascii="仿宋" w:eastAsia="宋体" w:cs="Arial" w:hAnsi="仿宋" w:hint="eastAsia"/>
          <w:sz w:val="24"/>
          <w:lang w:val="en-US" w:eastAsia="zh-CN"/>
        </w:rPr>
      </w:pPr>
      <w:r>
        <w:rPr>
          <w:rFonts w:ascii="仿宋_GB2312" w:eastAsia="仿宋_GB2312" w:cs="仿宋_GB2312" w:hint="eastAsia"/>
          <w:sz w:val="28"/>
          <w:szCs w:val="28"/>
        </w:rPr>
        <w:t>三、支出决算情况说明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..................................8</w:t>
      </w:r>
      <w:r>
        <w:rPr>
          <w:rFonts w:ascii="仿宋_GB2312" w:eastAsia="仿宋_GB2312" w:cs="仿宋_GB2312" w:hint="eastAsia"/>
          <w:sz w:val="28"/>
          <w:szCs w:val="28"/>
        </w:rPr>
        <w:t>四、财政拨款收入支出决算总体情况说明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8</w:t>
      </w:r>
    </w:p>
    <w:p>
      <w:pPr>
        <w:pStyle w:val="26"/>
        <w:tabs>
          <w:tab w:val="right" w:leader="dot" w:pos="8296"/>
        </w:tabs>
        <w:adjustRightInd w:val="0"/>
        <w:snapToGrid w:val="0"/>
        <w:spacing w:line="440" w:lineRule="exact"/>
        <w:jc w:val="left"/>
        <w:rPr>
          <w:rFonts w:ascii="仿宋" w:eastAsia="宋体" w:cs="Arial" w:hAnsi="仿宋"/>
          <w:sz w:val="24"/>
          <w:lang w:val="en-US" w:eastAsia="zh-CN"/>
        </w:rPr>
      </w:pPr>
      <w:r>
        <w:rPr>
          <w:rFonts w:ascii="仿宋_GB2312" w:eastAsia="仿宋_GB2312" w:cs="仿宋_GB2312" w:hint="eastAsia"/>
          <w:sz w:val="28"/>
          <w:szCs w:val="28"/>
        </w:rPr>
        <w:t>五、一般公共预算财政拨款支出决算情况说明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9</w:t>
      </w:r>
      <w:r>
        <w:rPr>
          <w:rFonts w:ascii="仿宋_GB2312" w:eastAsia="仿宋_GB2312" w:cs="仿宋_GB2312" w:hint="eastAsia"/>
          <w:sz w:val="28"/>
          <w:szCs w:val="28"/>
        </w:rPr>
        <w:t>六、一般公共预算财政拨款基本支出决算情况说明</w:t>
      </w:r>
      <w:r>
        <w:rPr>
          <w:rFonts w:cs="Times New Roman" w:hint="eastAsia"/>
          <w:sz w:val="24"/>
        </w:rPr>
        <w:t>........................</w:t>
      </w:r>
      <w:r>
        <w:rPr>
          <w:rFonts w:cs="Times New Roman" w:hint="eastAsia"/>
          <w:sz w:val="24"/>
          <w:lang w:val="en-US" w:eastAsia="zh-CN"/>
        </w:rPr>
        <w:t>...11</w:t>
      </w:r>
    </w:p>
    <w:p>
      <w:pPr>
        <w:pStyle w:val="26"/>
        <w:tabs>
          <w:tab w:val="right" w:leader="dot" w:pos="8296"/>
        </w:tabs>
        <w:adjustRightInd w:val="0"/>
        <w:snapToGrid w:val="0"/>
        <w:spacing w:line="440" w:lineRule="exact"/>
        <w:jc w:val="left"/>
        <w:rPr>
          <w:rFonts w:ascii="仿宋" w:eastAsia="仿宋" w:cs="Arial"/>
          <w:sz w:val="24"/>
          <w:lang w:val="en-US"/>
        </w:rPr>
      </w:pPr>
      <w:r>
        <w:rPr>
          <w:rFonts w:ascii="仿宋_GB2312" w:eastAsia="仿宋_GB2312" w:cs="仿宋_GB2312" w:hint="eastAsia"/>
          <w:sz w:val="28"/>
          <w:szCs w:val="28"/>
        </w:rPr>
        <w:t>七、财政拨款“三公”经费支出决算情况说明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11</w:t>
      </w:r>
    </w:p>
    <w:p>
      <w:pPr>
        <w:pStyle w:val="26"/>
        <w:tabs>
          <w:tab w:val="right" w:leader="dot" w:pos="8296"/>
        </w:tabs>
        <w:adjustRightInd w:val="0"/>
        <w:snapToGrid w:val="0"/>
        <w:spacing w:line="440" w:lineRule="exact"/>
        <w:jc w:val="left"/>
        <w:rPr>
          <w:rFonts w:ascii="仿宋" w:eastAsia="仿宋" w:cs="Arial"/>
          <w:sz w:val="24"/>
          <w:lang w:val="en-US"/>
        </w:rPr>
      </w:pPr>
      <w:r>
        <w:rPr>
          <w:rFonts w:ascii="仿宋_GB2312" w:eastAsia="仿宋_GB2312" w:cs="仿宋_GB2312" w:hint="eastAsia"/>
          <w:sz w:val="28"/>
          <w:szCs w:val="28"/>
        </w:rPr>
        <w:t>八、政府性基金预算支出决算情况说明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....13</w:t>
      </w:r>
    </w:p>
    <w:p>
      <w:pPr>
        <w:pStyle w:val="26"/>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九、国有资本经营预算支出决算情况说明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13</w:t>
      </w:r>
    </w:p>
    <w:p>
      <w:pPr>
        <w:pStyle w:val="26"/>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十、其他重要事项的情况说明</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..................13</w:t>
      </w:r>
    </w:p>
    <w:p>
      <w:pPr>
        <w:pStyle w:val="24"/>
        <w:tabs>
          <w:tab w:val="right" w:leader="dot" w:pos="8296"/>
        </w:tabs>
        <w:adjustRightInd w:val="0"/>
        <w:snapToGrid w:val="0"/>
        <w:spacing w:before="0" w:line="440" w:lineRule="exact"/>
        <w:jc w:val="left"/>
        <w:rPr>
          <w:rFonts w:ascii="Times New Roman" w:eastAsia="宋体" w:cs="Times New Roman" w:hAnsi="Times New Roman"/>
          <w:kern w:val="2"/>
          <w:sz w:val="24"/>
          <w:szCs w:val="24"/>
          <w:lang w:val="en-US" w:eastAsia="zh-CN" w:bidi="ar-SA"/>
        </w:rPr>
      </w:pPr>
      <w:r>
        <w:rPr>
          <w:rFonts w:ascii="黑体" w:eastAsia="黑体" w:cs="黑体" w:hint="eastAsia"/>
          <w:sz w:val="32"/>
          <w:szCs w:val="36"/>
        </w:rPr>
        <w:t>第三部分 名词解释</w:t>
      </w:r>
      <w:r>
        <w:rPr>
          <w:rFonts w:ascii="Times New Roman" w:eastAsia="宋体" w:cs="Times New Roman" w:hAnsi="Times New Roman" w:hint="eastAsia"/>
          <w:kern w:val="2"/>
          <w:sz w:val="24"/>
          <w:szCs w:val="24"/>
          <w:lang w:val="en-US" w:eastAsia="zh-CN" w:bidi="ar-SA"/>
        </w:rPr>
        <w:t>.........................................................................................15</w:t>
      </w:r>
    </w:p>
    <w:p>
      <w:pPr>
        <w:pStyle w:val="24"/>
        <w:tabs>
          <w:tab w:val="right" w:leader="dot" w:pos="8296"/>
        </w:tabs>
        <w:adjustRightInd w:val="0"/>
        <w:snapToGrid w:val="0"/>
        <w:spacing w:before="0" w:line="440" w:lineRule="exact"/>
        <w:jc w:val="left"/>
        <w:rPr>
          <w:rFonts w:ascii="Times New Roman" w:eastAsia="宋体" w:cs="Times New Roman" w:hAnsi="Times New Roman"/>
          <w:kern w:val="2"/>
          <w:sz w:val="24"/>
          <w:szCs w:val="24"/>
          <w:lang w:val="en-US" w:eastAsia="zh-CN" w:bidi="ar-SA"/>
        </w:rPr>
      </w:pPr>
      <w:r>
        <w:rPr>
          <w:rFonts w:ascii="黑体" w:eastAsia="黑体" w:cs="黑体" w:hint="eastAsia"/>
          <w:sz w:val="32"/>
          <w:szCs w:val="36"/>
        </w:rPr>
        <w:t>第四部分 附件</w:t>
      </w:r>
      <w:r>
        <w:rPr>
          <w:rFonts w:ascii="Times New Roman" w:eastAsia="宋体" w:cs="Times New Roman" w:hAnsi="Times New Roman" w:hint="eastAsia"/>
          <w:kern w:val="2"/>
          <w:sz w:val="24"/>
          <w:szCs w:val="24"/>
          <w:lang w:val="en-US" w:eastAsia="zh-CN" w:bidi="ar-SA"/>
        </w:rPr>
        <w:t>...................................................................................................17</w:t>
      </w:r>
      <w:r>
        <w:rPr>
          <w:rFonts w:ascii="黑体" w:eastAsia="黑体" w:cs="黑体" w:hint="eastAsia"/>
          <w:sz w:val="32"/>
          <w:szCs w:val="36"/>
        </w:rPr>
        <w:t>第五部分 附表</w:t>
      </w:r>
      <w:r>
        <w:rPr>
          <w:rFonts w:ascii="Times New Roman" w:eastAsia="宋体" w:cs="Times New Roman" w:hAnsi="Times New Roman" w:hint="eastAsia"/>
          <w:kern w:val="2"/>
          <w:sz w:val="24"/>
          <w:szCs w:val="24"/>
          <w:lang w:val="en-US" w:eastAsia="zh-CN" w:bidi="ar-SA"/>
        </w:rPr>
        <w:t>...................................................................................................17</w:t>
      </w:r>
    </w:p>
    <w:p>
      <w:pPr>
        <w:pStyle w:val="26"/>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一、收入支出决算总表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r>
        <w:rPr>
          <w:rFonts w:ascii="仿宋_GB2312" w:eastAsia="仿宋_GB2312" w:cs="仿宋_GB2312" w:hint="eastAsia"/>
          <w:sz w:val="28"/>
          <w:szCs w:val="28"/>
        </w:rPr>
        <w:t>二、收入决算表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r>
        <w:rPr>
          <w:rFonts w:ascii="仿宋_GB2312" w:eastAsia="仿宋_GB2312" w:cs="仿宋_GB2312" w:hint="eastAsia"/>
          <w:sz w:val="28"/>
          <w:szCs w:val="28"/>
        </w:rPr>
        <w:t>三、支出决算表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p>
    <w:p>
      <w:pPr>
        <w:pStyle w:val="26"/>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四、财政拨款收入支出决算总表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r>
        <w:rPr>
          <w:rFonts w:ascii="仿宋_GB2312" w:eastAsia="仿宋_GB2312" w:cs="仿宋_GB2312" w:hint="eastAsia"/>
          <w:sz w:val="28"/>
          <w:szCs w:val="28"/>
        </w:rPr>
        <w:t>五、财政拨款支出决算明细表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p>
    <w:p>
      <w:pPr>
        <w:pStyle w:val="26"/>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六、一般公共预算财政拨款支出决算表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p>
    <w:p>
      <w:pPr>
        <w:pStyle w:val="26"/>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七、一般公共预算财政拨款支出决算明细表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r>
        <w:rPr>
          <w:rFonts w:ascii="仿宋_GB2312" w:eastAsia="仿宋_GB2312" w:cs="仿宋_GB2312" w:hint="eastAsia"/>
          <w:sz w:val="28"/>
          <w:szCs w:val="28"/>
        </w:rPr>
        <w:t>八、一般公共预算财政拨款基本支出决算明细表</w:t>
      </w:r>
      <w:r>
        <w:rPr>
          <w:rFonts w:cs="Times New Roman" w:hint="eastAsia"/>
          <w:sz w:val="24"/>
        </w:rPr>
        <w:t>....................</w:t>
      </w:r>
      <w:r>
        <w:rPr>
          <w:rFonts w:cs="Times New Roman" w:hint="eastAsia"/>
          <w:sz w:val="24"/>
          <w:lang w:val="en-US" w:eastAsia="zh-CN"/>
        </w:rPr>
        <w:t>...........17</w:t>
      </w:r>
    </w:p>
    <w:p>
      <w:pPr>
        <w:pStyle w:val="26"/>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九、一般公共预算财政拨款项目支出决算表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p>
    <w:p>
      <w:pPr>
        <w:pStyle w:val="26"/>
        <w:tabs>
          <w:tab w:val="right" w:leader="dot" w:pos="8296"/>
        </w:tabs>
        <w:adjustRightInd w:val="0"/>
        <w:snapToGrid w:val="0"/>
        <w:spacing w:line="440" w:lineRule="exact"/>
        <w:jc w:val="left"/>
        <w:rPr>
          <w:rFonts w:eastAsia="宋体"/>
          <w:sz w:val="24"/>
          <w:lang w:val="en-US" w:eastAsia="zh-CN"/>
        </w:rPr>
      </w:pPr>
      <w:r>
        <w:rPr>
          <w:rFonts w:ascii="仿宋_GB2312" w:eastAsia="仿宋_GB2312" w:cs="仿宋_GB2312" w:hint="eastAsia"/>
          <w:sz w:val="28"/>
          <w:szCs w:val="28"/>
        </w:rPr>
        <w:t>十、政府性基金预算财政拨款收入支出决算表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p>
    <w:p>
      <w:pPr>
        <w:pStyle w:val="26"/>
        <w:tabs>
          <w:tab w:val="right" w:leader="dot" w:pos="8296"/>
        </w:tabs>
        <w:adjustRightInd w:val="0"/>
        <w:snapToGrid w:val="0"/>
        <w:spacing w:line="440" w:lineRule="exact"/>
        <w:jc w:val="left"/>
        <w:rPr>
          <w:sz w:val="24"/>
          <w:lang w:val="en-US"/>
        </w:rPr>
      </w:pPr>
      <w:r>
        <w:rPr>
          <w:rFonts w:ascii="仿宋_GB2312" w:eastAsia="仿宋_GB2312" w:cs="仿宋_GB2312" w:hint="eastAsia"/>
          <w:sz w:val="28"/>
          <w:szCs w:val="28"/>
        </w:rPr>
        <w:t>十一、国有资本经营预算财政拨款收入支出决算表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r>
        <w:rPr>
          <w:rFonts w:ascii="仿宋_GB2312" w:eastAsia="仿宋_GB2312" w:cs="仿宋_GB2312" w:hint="eastAsia"/>
          <w:sz w:val="28"/>
          <w:szCs w:val="28"/>
        </w:rPr>
        <w:t>十二、国有资本经营预算财政拨款支出决算表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r>
        <w:rPr>
          <w:rFonts w:ascii="仿宋_GB2312" w:eastAsia="仿宋_GB2312" w:cs="仿宋_GB2312" w:hint="eastAsia"/>
          <w:sz w:val="28"/>
          <w:szCs w:val="28"/>
        </w:rPr>
        <w:t>十三、财政拨款“三公”经费支出决算表</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w:t>
      </w:r>
      <w:r>
        <w:rPr>
          <w:rFonts w:cs="Times New Roman" w:hint="eastAsia"/>
          <w:sz w:val="24"/>
        </w:rPr>
        <w:t>.</w:t>
      </w:r>
      <w:r>
        <w:rPr>
          <w:rFonts w:cs="Times New Roman" w:hint="eastAsia"/>
          <w:sz w:val="24"/>
          <w:lang w:val="en-US" w:eastAsia="zh-CN"/>
        </w:rPr>
        <w:t>.........17</w:t>
      </w:r>
    </w:p>
    <w:p>
      <w:pPr>
        <w:keepNext w:val="0"/>
        <w:keepLines w:val="0"/>
        <w:pageBreakBefore w:val="0"/>
        <w:widowControl/>
        <w:kinsoku/>
        <w:wordWrap/>
        <w:overflowPunct/>
        <w:topLinePunct w:val="0"/>
        <w:autoSpaceDE/>
        <w:autoSpaceDN/>
        <w:bidi w:val="0"/>
        <w:spacing w:line="560" w:lineRule="exact"/>
        <w:jc w:val="left"/>
        <w:textAlignment w:val="auto"/>
        <w:rPr>
          <w:rFonts w:ascii="Times New Roman" w:eastAsia="仿宋_GB2312" w:cs="仿宋_GB2312" w:hAnsi="Times New Roman" w:hint="eastAsia"/>
          <w:bCs/>
          <w:color w:val="auto"/>
          <w:kern w:val="44"/>
          <w:sz w:val="32"/>
          <w:szCs w:val="32"/>
          <w:highlight w:val="auto"/>
        </w:rPr>
      </w:pPr>
      <w:r>
        <w:rPr>
          <w:rFonts w:ascii="Times New Roman" w:eastAsia="仿宋_GB2312" w:cs="仿宋_GB2312" w:hAnsi="Times New Roman" w:hint="eastAsia"/>
          <w:b/>
          <w:color w:val="auto"/>
          <w:sz w:val="32"/>
          <w:szCs w:val="32"/>
          <w:highlight w:val="auto"/>
        </w:rPr>
        <w:br w:type="page"/>
      </w:r>
    </w:p>
    <w:p>
      <w:pPr>
        <w:pStyle w:val="1"/>
        <w:jc w:val="center"/>
        <w:rPr>
          <w:rStyle w:val="1Char"/>
          <w:rFonts w:ascii="Times New Roman" w:eastAsia="方正小标宋简体" w:cs="方正小标宋简体" w:hAnsi="Times New Roman" w:hint="eastAsia"/>
          <w:b/>
          <w:bCs w:val="0"/>
          <w:color w:val="auto"/>
          <w:highlight w:val="auto"/>
        </w:rPr>
      </w:pPr>
      <w:r>
        <w:rPr>
          <w:rFonts w:ascii="Times New Roman" w:eastAsia="方正小标宋简体" w:cs="方正小标宋简体" w:hAnsi="Times New Roman" w:hint="eastAsia"/>
          <w:b w:val="0"/>
          <w:color w:val="auto"/>
          <w:highlight w:val="auto"/>
        </w:rPr>
        <w:t>第一部分</w:t>
      </w:r>
      <w:r>
        <w:rPr>
          <w:rFonts w:eastAsia="方正小标宋简体" w:cs="方正小标宋简体" w:hint="eastAsia"/>
          <w:b w:val="0"/>
          <w:color w:val="auto"/>
          <w:lang w:eastAsia="zh-CN"/>
          <w:highlight w:val="auto"/>
        </w:rPr>
        <w:t>单位</w:t>
      </w:r>
      <w:r>
        <w:rPr>
          <w:rStyle w:val="1Char"/>
          <w:rFonts w:ascii="Times New Roman" w:eastAsia="方正小标宋简体" w:cs="方正小标宋简体" w:hAnsi="Times New Roman" w:hint="eastAsia"/>
          <w:b w:val="0"/>
          <w:bCs w:val="0"/>
          <w:color w:val="auto"/>
          <w:highlight w:val="auto"/>
        </w:rPr>
        <w:t>概况</w:t>
      </w:r>
      <w:bookmarkEnd w:id="12"/>
      <w:bookmarkEnd w:id="13"/>
    </w:p>
    <w:p>
      <w:pPr>
        <w:widowControl/>
        <w:jc w:val="left"/>
        <w:rPr>
          <w:rFonts w:ascii="Times New Roman" w:eastAsia="黑体" w:hAnsi="Times New Roman"/>
          <w:color w:val="auto"/>
          <w:sz w:val="32"/>
          <w:szCs w:val="32"/>
          <w:highlight w:val="auto"/>
        </w:rPr>
      </w:pPr>
    </w:p>
    <w:p>
      <w:pPr>
        <w:pStyle w:val="2"/>
        <w:numPr>
          <w:ilvl w:val="0"/>
          <w:numId w:val="1"/>
        </w:numPr>
        <w:rPr>
          <w:rFonts w:ascii="Times New Roman" w:eastAsia="黑体" w:hAnsi="Times New Roman" w:hint="eastAsia"/>
          <w:b w:val="0"/>
          <w:color w:val="auto"/>
          <w:lang w:eastAsia="zh-CN"/>
          <w:highlight w:val="auto"/>
        </w:rPr>
      </w:pPr>
      <w:r>
        <w:rPr>
          <w:rFonts w:ascii="Times New Roman" w:eastAsia="黑体" w:hAnsi="Times New Roman" w:hint="eastAsia"/>
          <w:b w:val="0"/>
          <w:color w:val="auto"/>
          <w:lang w:eastAsia="zh-CN"/>
          <w:highlight w:val="auto"/>
        </w:rPr>
        <w:t>单位职责</w:t>
      </w:r>
    </w:p>
    <w:p>
      <w:pPr>
        <w:pStyle w:val="37"/>
        <w:spacing w:before="0" w:after="0" w:line="240" w:lineRule="auto"/>
        <w:ind w:firstLineChars="200" w:firstLine="600"/>
        <w:rPr>
          <w:rFonts w:ascii="仿宋" w:eastAsia="仿宋" w:cs="Times New Roman" w:hint="eastAsia"/>
          <w:sz w:val="30"/>
          <w:szCs w:val="30"/>
          <w:lang w:eastAsia="zh-CN"/>
        </w:rPr>
      </w:pPr>
      <w:r>
        <w:rPr>
          <w:rFonts w:ascii="仿宋" w:eastAsia="仿宋" w:cs="Times New Roman" w:hint="eastAsia"/>
          <w:sz w:val="30"/>
          <w:szCs w:val="30"/>
          <w:lang w:eastAsia="zh-CN"/>
        </w:rPr>
        <w:t>1．主要职能。承担巴西片区森林、草原和湿地、荒漠化动态监测和考核评价；监督和管理各类自然保护地；负责全县森林(公益林）、草原、湿地、陆生野生动植物、自然保护区、湿地公园、生物多样性的监督管理和保护；监督巴西片区森林采伐限额并指导监督林木凭证采伐、运输；指导编制森林经营规划和森林经营方案；开展陆生野生动植物资源调查和资源状况评估，研究提出全县重点保护陆生野生动植物名录调整意见，指导陆生野生动植物疫源疫病的监测，按分工监督管理野生动植物进出口；监督管理巴西片区林木种苗质量和指导生产经营行为、检验检疫工作，开展林业和草原有害生物防治工作；负责森林和草原火情监测、预警、预防工作；指导基层林业站的建设和管理；负责本系统行政执法工作。实施植树造林、封山育林和公益林建设；负责片区天然林资源保护工程和退耕还林工程的实施；组织开展全县林业和草原先进技术推广工作；承担县绿化委员会日常工作。</w:t>
      </w:r>
    </w:p>
    <w:p>
      <w:pPr>
        <w:spacing w:line="240" w:lineRule="auto"/>
        <w:ind w:leftChars="200" w:left="420" w:firstLineChars="100" w:firstLine="300"/>
        <w:jc w:val="left"/>
        <w:rPr>
          <w:rFonts w:ascii="仿宋" w:eastAsia="仿宋" w:cs="Times New Roman" w:hint="eastAsia"/>
          <w:sz w:val="30"/>
          <w:szCs w:val="30"/>
          <w:lang w:eastAsia="zh-CN"/>
        </w:rPr>
      </w:pPr>
      <w:r>
        <w:rPr>
          <w:rFonts w:ascii="仿宋" w:eastAsia="仿宋" w:cs="Times New Roman" w:hint="eastAsia"/>
          <w:sz w:val="30"/>
          <w:szCs w:val="30"/>
          <w:lang w:val="en-US" w:eastAsia="zh-CN"/>
        </w:rPr>
        <w:t>2.</w:t>
      </w:r>
      <w:r>
        <w:rPr>
          <w:rFonts w:ascii="仿宋" w:eastAsia="仿宋" w:cs="Times New Roman" w:hint="eastAsia"/>
          <w:sz w:val="30"/>
          <w:szCs w:val="30"/>
          <w:lang w:eastAsia="zh-CN"/>
        </w:rPr>
        <w:t>工作开展情况及主要事业成效。</w:t>
      </w:r>
    </w:p>
    <w:p>
      <w:pPr>
        <w:pStyle w:val="16"/>
        <w:keepNext w:val="0"/>
        <w:keepLines w:val="0"/>
        <w:pageBreakBefore w:val="0"/>
        <w:widowControl w:val="0"/>
        <w:kinsoku/>
        <w:overflowPunct/>
        <w:topLinePunct w:val="0"/>
        <w:autoSpaceDE/>
        <w:autoSpaceDN/>
        <w:bidi w:val="0"/>
        <w:adjustRightInd/>
        <w:snapToGrid/>
        <w:spacing w:line="560" w:lineRule="exact"/>
        <w:ind w:firstLine="640"/>
        <w:textAlignment w:val="auto"/>
        <w:rPr>
          <w:rFonts w:ascii="仿宋" w:eastAsia="仿宋" w:cs="Times New Roman" w:hint="eastAsia"/>
          <w:sz w:val="30"/>
          <w:szCs w:val="30"/>
          <w:lang w:val="zh-CN" w:eastAsia="zh-CN"/>
        </w:rPr>
      </w:pPr>
      <w:r>
        <w:rPr>
          <w:rFonts w:ascii="仿宋" w:eastAsia="仿宋" w:cs="Times New Roman" w:hint="eastAsia"/>
          <w:sz w:val="30"/>
          <w:szCs w:val="30"/>
          <w:lang w:val="en-US" w:eastAsia="zh-CN"/>
        </w:rPr>
        <w:t>（1）林业有害生物防治：</w:t>
      </w:r>
      <w:r>
        <w:rPr>
          <w:rFonts w:ascii="仿宋_GB2312" w:eastAsia="仿宋_GB2312" w:cs="仿宋_GB2312" w:hint="eastAsia"/>
          <w:b/>
          <w:bCs/>
          <w:kern w:val="2"/>
          <w:sz w:val="32"/>
          <w:szCs w:val="32"/>
          <w:lang w:val="en-US" w:eastAsia="zh-CN" w:bidi="ar-SA"/>
        </w:rPr>
        <w:t>一是</w:t>
      </w:r>
      <w:r>
        <w:rPr>
          <w:rFonts w:ascii="仿宋_GB2312" w:eastAsia="仿宋_GB2312" w:cs="仿宋_GB2312" w:hint="eastAsia"/>
          <w:color w:val="auto"/>
          <w:kern w:val="2"/>
          <w:sz w:val="32"/>
          <w:szCs w:val="32"/>
          <w:lang w:val="en-US" w:eastAsia="zh-CN" w:bidi="ar-SA"/>
        </w:rPr>
        <w:t>全面</w:t>
      </w:r>
      <w:r>
        <w:rPr>
          <w:rFonts w:ascii="仿宋_GB2312" w:cs="仿宋_GB2312" w:hint="eastAsia"/>
          <w:color w:val="auto"/>
          <w:kern w:val="2"/>
          <w:sz w:val="32"/>
          <w:szCs w:val="32"/>
          <w:lang w:val="en-US" w:eastAsia="zh-CN" w:bidi="ar-SA"/>
        </w:rPr>
        <w:t>开展</w:t>
      </w:r>
      <w:r>
        <w:rPr>
          <w:rFonts w:ascii="仿宋_GB2312" w:eastAsia="仿宋_GB2312" w:cs="仿宋_GB2312" w:hint="eastAsia"/>
          <w:color w:val="auto"/>
          <w:kern w:val="2"/>
          <w:sz w:val="32"/>
          <w:szCs w:val="32"/>
          <w:lang w:val="en-US" w:eastAsia="zh-CN" w:bidi="ar-SA"/>
        </w:rPr>
        <w:t>普查。</w:t>
      </w:r>
      <w:r>
        <w:rPr>
          <w:rFonts w:ascii="仿宋_GB2312" w:cs="仿宋_GB2312" w:hint="eastAsia"/>
          <w:b w:val="0"/>
          <w:bCs w:val="0"/>
          <w:kern w:val="2"/>
          <w:sz w:val="32"/>
          <w:szCs w:val="32"/>
          <w:lang w:val="en-US" w:eastAsia="zh-CN" w:bidi="ar-SA"/>
        </w:rPr>
        <w:t>累计完成</w:t>
      </w:r>
      <w:r>
        <w:rPr>
          <w:rFonts w:ascii="仿宋_GB2312" w:eastAsia="仿宋_GB2312" w:cs="仿宋_GB2312" w:hint="eastAsia"/>
          <w:b w:val="0"/>
          <w:bCs w:val="0"/>
          <w:kern w:val="2"/>
          <w:sz w:val="32"/>
          <w:szCs w:val="32"/>
          <w:lang w:val="en-US" w:eastAsia="zh-CN" w:bidi="ar-SA"/>
        </w:rPr>
        <w:t>若尔盖县松材线虫病普查2</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5</w:t>
      </w:r>
      <w:r>
        <w:rPr>
          <w:rFonts w:ascii="仿宋_GB2312" w:cs="仿宋_GB2312" w:hint="eastAsia"/>
          <w:b w:val="0"/>
          <w:bCs w:val="0"/>
          <w:kern w:val="2"/>
          <w:sz w:val="32"/>
          <w:szCs w:val="32"/>
          <w:lang w:val="en-US" w:eastAsia="zh-CN" w:bidi="ar-SA"/>
        </w:rPr>
        <w:t>8万</w:t>
      </w:r>
      <w:r>
        <w:rPr>
          <w:rFonts w:ascii="仿宋_GB2312" w:eastAsia="仿宋_GB2312" w:cs="仿宋_GB2312" w:hint="eastAsia"/>
          <w:b w:val="0"/>
          <w:bCs w:val="0"/>
          <w:kern w:val="2"/>
          <w:sz w:val="32"/>
          <w:szCs w:val="32"/>
          <w:lang w:val="en-US" w:eastAsia="zh-CN" w:bidi="ar-SA"/>
        </w:rPr>
        <w:t>亩，小班364个，普查完成率100%；</w:t>
      </w:r>
      <w:r>
        <w:rPr>
          <w:rFonts w:ascii="仿宋_GB2312" w:eastAsia="仿宋_GB2312" w:cs="仿宋_GB2312"/>
          <w:b/>
          <w:bCs/>
          <w:kern w:val="2"/>
          <w:sz w:val="32"/>
          <w:szCs w:val="32"/>
          <w:lang w:val="en-US" w:eastAsia="zh-CN" w:bidi="ar-SA"/>
        </w:rPr>
        <w:t>二</w:t>
      </w:r>
      <w:bookmarkStart w:id="14" w:name="_GoBack"/>
      <w:bookmarkEnd w:id="14"/>
      <w:r>
        <w:rPr>
          <w:rFonts w:ascii="仿宋_GB2312" w:eastAsia="仿宋_GB2312" w:cs="仿宋_GB2312" w:hint="eastAsia"/>
          <w:b/>
          <w:bCs/>
          <w:kern w:val="2"/>
          <w:sz w:val="32"/>
          <w:szCs w:val="32"/>
          <w:lang w:val="en-US" w:eastAsia="zh-CN" w:bidi="ar-SA"/>
        </w:rPr>
        <w:t>是</w:t>
      </w:r>
      <w:r>
        <w:rPr>
          <w:rFonts w:ascii="仿宋_GB2312" w:eastAsia="仿宋_GB2312" w:cs="仿宋_GB2312" w:hint="eastAsia"/>
          <w:color w:val="auto"/>
          <w:kern w:val="2"/>
          <w:sz w:val="32"/>
          <w:szCs w:val="32"/>
          <w:lang w:val="en-US" w:eastAsia="zh-CN" w:bidi="ar-SA"/>
        </w:rPr>
        <w:t>强化产地检疫。</w:t>
      </w:r>
      <w:r>
        <w:rPr>
          <w:rFonts w:ascii="仿宋_GB2312" w:eastAsia="仿宋_GB2312" w:cs="仿宋_GB2312" w:hint="eastAsia"/>
          <w:b w:val="0"/>
          <w:bCs w:val="0"/>
          <w:kern w:val="2"/>
          <w:sz w:val="32"/>
          <w:szCs w:val="32"/>
          <w:lang w:val="en-US" w:eastAsia="zh-CN" w:bidi="ar-SA"/>
        </w:rPr>
        <w:t>完成产地检疫苗木1350.3余万株，其中高山柳31</w:t>
      </w:r>
      <w:r>
        <w:rPr>
          <w:rFonts w:ascii="仿宋_GB2312" w:cs="仿宋_GB2312" w:hint="eastAsia"/>
          <w:b w:val="0"/>
          <w:bCs w:val="0"/>
          <w:kern w:val="2"/>
          <w:sz w:val="32"/>
          <w:szCs w:val="32"/>
          <w:lang w:val="en-US" w:eastAsia="zh-CN" w:bidi="ar-SA"/>
        </w:rPr>
        <w:t>万</w:t>
      </w:r>
      <w:r>
        <w:rPr>
          <w:rFonts w:ascii="仿宋_GB2312" w:eastAsia="仿宋_GB2312" w:cs="仿宋_GB2312" w:hint="eastAsia"/>
          <w:b w:val="0"/>
          <w:bCs w:val="0"/>
          <w:kern w:val="2"/>
          <w:sz w:val="32"/>
          <w:szCs w:val="32"/>
          <w:lang w:val="en-US" w:eastAsia="zh-CN" w:bidi="ar-SA"/>
        </w:rPr>
        <w:t>株、云杉10</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3</w:t>
      </w:r>
      <w:r>
        <w:rPr>
          <w:rFonts w:ascii="仿宋_GB2312" w:cs="仿宋_GB2312" w:hint="eastAsia"/>
          <w:b w:val="0"/>
          <w:bCs w:val="0"/>
          <w:kern w:val="2"/>
          <w:sz w:val="32"/>
          <w:szCs w:val="32"/>
          <w:lang w:val="en-US" w:eastAsia="zh-CN" w:bidi="ar-SA"/>
        </w:rPr>
        <w:t>万</w:t>
      </w:r>
      <w:r>
        <w:rPr>
          <w:rFonts w:ascii="仿宋_GB2312" w:eastAsia="仿宋_GB2312" w:cs="仿宋_GB2312" w:hint="eastAsia"/>
          <w:b w:val="0"/>
          <w:bCs w:val="0"/>
          <w:kern w:val="2"/>
          <w:sz w:val="32"/>
          <w:szCs w:val="32"/>
          <w:lang w:val="en-US" w:eastAsia="zh-CN" w:bidi="ar-SA"/>
        </w:rPr>
        <w:t xml:space="preserve">株 </w:t>
      </w:r>
      <w:r>
        <w:rPr>
          <w:rFonts w:ascii="仿宋_GB2312" w:cs="仿宋_GB2312" w:hint="eastAsia"/>
          <w:b w:val="0"/>
          <w:bCs w:val="0"/>
          <w:kern w:val="2"/>
          <w:sz w:val="32"/>
          <w:szCs w:val="32"/>
          <w:lang w:val="en-US" w:eastAsia="zh-CN" w:bidi="ar-SA"/>
        </w:rPr>
        <w:t>，</w:t>
      </w:r>
      <w:r>
        <w:rPr>
          <w:rFonts w:ascii="仿宋_GB2312" w:eastAsia="仿宋_GB2312" w:cs="仿宋_GB2312" w:hint="eastAsia"/>
          <w:b w:val="0"/>
          <w:bCs w:val="0"/>
          <w:kern w:val="2"/>
          <w:sz w:val="32"/>
          <w:szCs w:val="32"/>
          <w:lang w:val="en-US" w:eastAsia="zh-CN" w:bidi="ar-SA"/>
        </w:rPr>
        <w:t>未发现林业有害生物；</w:t>
      </w:r>
      <w:r>
        <w:rPr>
          <w:rFonts w:ascii="仿宋_GB2312" w:eastAsia="仿宋_GB2312" w:cs="仿宋_GB2312" w:hint="eastAsia"/>
          <w:b/>
          <w:bCs/>
          <w:kern w:val="2"/>
          <w:sz w:val="32"/>
          <w:szCs w:val="32"/>
          <w:lang w:val="en-US" w:eastAsia="zh-CN" w:bidi="ar-SA"/>
        </w:rPr>
        <w:t>三是</w:t>
      </w:r>
      <w:r>
        <w:rPr>
          <w:rFonts w:ascii="仿宋_GB2312" w:eastAsia="仿宋_GB2312" w:cs="仿宋_GB2312" w:hint="eastAsia"/>
          <w:color w:val="auto"/>
          <w:kern w:val="2"/>
          <w:sz w:val="32"/>
          <w:szCs w:val="32"/>
          <w:lang w:val="en-US" w:eastAsia="zh-CN" w:bidi="ar-SA"/>
        </w:rPr>
        <w:t>严格复检抽样。按照</w:t>
      </w:r>
      <w:r>
        <w:rPr>
          <w:rFonts w:ascii="仿宋_GB2312" w:eastAsia="仿宋_GB2312" w:cs="仿宋_GB2312" w:hint="eastAsia"/>
          <w:b w:val="0"/>
          <w:bCs w:val="0"/>
          <w:kern w:val="2"/>
          <w:sz w:val="32"/>
          <w:szCs w:val="32"/>
          <w:lang w:val="en-US" w:eastAsia="zh-CN" w:bidi="ar-SA"/>
        </w:rPr>
        <w:t>“两证一签”制度及“一车一证，一车一检”原则，累计完成苗木复检26次，其中高山柳3.1万株、云杉10.307万株；</w:t>
      </w:r>
      <w:r>
        <w:rPr>
          <w:rFonts w:ascii="仿宋_GB2312" w:eastAsia="仿宋_GB2312" w:cs="仿宋_GB2312" w:hint="eastAsia"/>
          <w:b/>
          <w:bCs/>
          <w:kern w:val="2"/>
          <w:sz w:val="32"/>
          <w:szCs w:val="32"/>
          <w:lang w:val="en-US" w:eastAsia="zh-CN" w:bidi="ar-SA"/>
        </w:rPr>
        <w:t>四是</w:t>
      </w:r>
      <w:r>
        <w:rPr>
          <w:rFonts w:ascii="仿宋_GB2312" w:eastAsia="仿宋_GB2312" w:cs="仿宋_GB2312" w:hint="eastAsia"/>
          <w:b w:val="0"/>
          <w:bCs w:val="0"/>
          <w:kern w:val="2"/>
          <w:sz w:val="32"/>
          <w:szCs w:val="32"/>
          <w:lang w:val="en-US" w:eastAsia="zh-CN" w:bidi="ar-SA"/>
        </w:rPr>
        <w:t>加强执法检查。对电信、移动、电力公司、涉木企业等执法检查18余次，摩托车销售点复检包装箱6次、物流快递网点检查1次。</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0"/>
        <w:textAlignment w:val="auto"/>
        <w:rPr>
          <w:rFonts w:ascii="仿宋_GB2312" w:eastAsia="仿宋_GB2312" w:cs="仿宋_GB2312" w:hint="eastAsia"/>
          <w:kern w:val="2"/>
          <w:sz w:val="32"/>
          <w:szCs w:val="32"/>
          <w:lang w:val="en-US" w:eastAsia="zh-CN" w:bidi="ar-SA"/>
        </w:rPr>
      </w:pPr>
      <w:r>
        <w:rPr>
          <w:rFonts w:ascii="仿宋" w:eastAsia="仿宋" w:cs="Times New Roman" w:hint="eastAsia"/>
          <w:sz w:val="30"/>
          <w:szCs w:val="30"/>
          <w:lang w:eastAsia="zh-CN"/>
        </w:rPr>
        <w:t>（</w:t>
      </w:r>
      <w:r>
        <w:rPr>
          <w:rFonts w:ascii="仿宋" w:eastAsia="仿宋" w:cs="Times New Roman" w:hint="eastAsia"/>
          <w:sz w:val="30"/>
          <w:szCs w:val="30"/>
          <w:lang w:val="en-US" w:eastAsia="zh-CN"/>
        </w:rPr>
        <w:t>2</w:t>
      </w:r>
      <w:r>
        <w:rPr>
          <w:rFonts w:ascii="仿宋" w:eastAsia="仿宋" w:cs="Times New Roman" w:hint="eastAsia"/>
          <w:sz w:val="30"/>
          <w:szCs w:val="30"/>
          <w:lang w:eastAsia="zh-CN"/>
        </w:rPr>
        <w:t>）</w:t>
      </w:r>
      <w:r>
        <w:rPr>
          <w:rFonts w:ascii="仿宋" w:eastAsia="仿宋" w:cs="Times New Roman" w:hint="eastAsia"/>
          <w:sz w:val="30"/>
          <w:szCs w:val="30"/>
          <w:lang w:val="en-US" w:eastAsia="zh-CN"/>
        </w:rPr>
        <w:t>森林草原防火：</w:t>
      </w:r>
      <w:r>
        <w:rPr>
          <w:rFonts w:ascii="仿宋_GB2312" w:eastAsia="仿宋_GB2312" w:cs="仿宋_GB2312" w:hint="eastAsia"/>
          <w:b/>
          <w:bCs/>
          <w:kern w:val="2"/>
          <w:sz w:val="32"/>
          <w:szCs w:val="32"/>
          <w:lang w:val="en-US" w:eastAsia="zh-CN" w:bidi="ar-SA"/>
        </w:rPr>
        <w:t>一是</w:t>
      </w:r>
      <w:r>
        <w:rPr>
          <w:rFonts w:ascii="仿宋_GB2312" w:eastAsia="仿宋_GB2312" w:cs="仿宋_GB2312" w:hint="eastAsia"/>
          <w:color w:val="auto"/>
          <w:kern w:val="2"/>
          <w:sz w:val="32"/>
          <w:szCs w:val="32"/>
          <w:lang w:val="en-US" w:eastAsia="zh-CN" w:bidi="ar-SA"/>
        </w:rPr>
        <w:t>加强隐患排查。按照“纵向到头、横向到边、不留死角、不留空白”的原则，对辖区内重点时段、重点区域、重点山头、重点沟壑进行隐患排查并建立台账，截止目前</w:t>
      </w:r>
      <w:r>
        <w:rPr>
          <w:rFonts w:ascii="仿宋_GB2312" w:eastAsia="仿宋_GB2312" w:cs="仿宋_GB2312" w:hint="eastAsia"/>
          <w:b w:val="0"/>
          <w:bCs w:val="0"/>
          <w:kern w:val="2"/>
          <w:sz w:val="32"/>
          <w:szCs w:val="32"/>
          <w:lang w:val="en-US" w:eastAsia="zh-CN"/>
        </w:rPr>
        <w:t>排查隐患62处，已整改62处</w:t>
      </w:r>
      <w:r>
        <w:rPr>
          <w:rFonts w:ascii="仿宋_GB2312" w:eastAsia="仿宋_GB2312" w:cs="仿宋_GB2312" w:hint="eastAsia"/>
          <w:kern w:val="2"/>
          <w:sz w:val="32"/>
          <w:szCs w:val="32"/>
          <w:lang w:val="en-US" w:eastAsia="zh-CN" w:bidi="ar-SA"/>
        </w:rPr>
        <w:t>；</w:t>
      </w:r>
      <w:r>
        <w:rPr>
          <w:rFonts w:ascii="仿宋_GB2312" w:eastAsia="仿宋_GB2312" w:cs="仿宋_GB2312" w:hint="eastAsia"/>
          <w:b/>
          <w:bCs/>
          <w:kern w:val="2"/>
          <w:sz w:val="32"/>
          <w:szCs w:val="32"/>
          <w:lang w:val="en-US" w:eastAsia="zh-CN" w:bidi="ar-SA"/>
        </w:rPr>
        <w:t>二是</w:t>
      </w:r>
      <w:r>
        <w:rPr>
          <w:rFonts w:ascii="仿宋_GB2312" w:eastAsia="仿宋_GB2312" w:cs="仿宋_GB2312" w:hint="eastAsia"/>
          <w:color w:val="auto"/>
          <w:kern w:val="2"/>
          <w:sz w:val="32"/>
          <w:szCs w:val="32"/>
          <w:lang w:val="en-US" w:eastAsia="zh-CN" w:bidi="ar-SA"/>
        </w:rPr>
        <w:t>加强火源管控。设置11个“固定+临时”的防火检查卡点，采用“六步走”工作方法，</w:t>
      </w:r>
      <w:r>
        <w:rPr>
          <w:rFonts w:ascii="仿宋_GB2312" w:eastAsia="仿宋_GB2312" w:cs="仿宋_GB2312" w:hint="eastAsia"/>
          <w:color w:val="auto"/>
          <w:kern w:val="2"/>
          <w:sz w:val="32"/>
          <w:szCs w:val="32"/>
          <w:lang w:val="en-US" w:bidi="ar-SA"/>
        </w:rPr>
        <w:t>登记</w:t>
      </w:r>
      <w:r>
        <w:rPr>
          <w:rFonts w:ascii="仿宋_GB2312" w:eastAsia="仿宋_GB2312" w:cs="仿宋_GB2312" w:hint="eastAsia"/>
          <w:color w:val="auto"/>
          <w:kern w:val="2"/>
          <w:sz w:val="32"/>
          <w:szCs w:val="32"/>
          <w:lang w:val="en-US" w:eastAsia="zh-CN" w:bidi="ar-SA"/>
        </w:rPr>
        <w:t>过往人员、车辆400</w:t>
      </w:r>
      <w:r>
        <w:rPr>
          <w:rFonts w:ascii="仿宋_GB2312" w:eastAsia="仿宋_GB2312" w:cs="仿宋_GB2312" w:hint="eastAsia"/>
          <w:color w:val="auto"/>
          <w:kern w:val="2"/>
          <w:sz w:val="32"/>
          <w:szCs w:val="32"/>
          <w:lang w:val="en-US" w:bidi="ar-SA"/>
        </w:rPr>
        <w:t>余次</w:t>
      </w:r>
      <w:r>
        <w:rPr>
          <w:rFonts w:ascii="仿宋_GB2312" w:eastAsia="仿宋_GB2312" w:cs="仿宋_GB2312" w:hint="eastAsia"/>
          <w:color w:val="auto"/>
          <w:kern w:val="2"/>
          <w:sz w:val="32"/>
          <w:szCs w:val="32"/>
          <w:lang w:val="en-US" w:eastAsia="zh-CN" w:bidi="ar-SA"/>
        </w:rPr>
        <w:t>，并收缴火源50余个，</w:t>
      </w:r>
      <w:r>
        <w:rPr>
          <w:rFonts w:ascii="仿宋_GB2312" w:eastAsia="仿宋_GB2312" w:cs="仿宋_GB2312" w:hint="eastAsia"/>
          <w:kern w:val="2"/>
          <w:sz w:val="32"/>
          <w:szCs w:val="32"/>
          <w:lang w:val="en-US" w:eastAsia="zh-CN" w:bidi="ar-SA"/>
        </w:rPr>
        <w:t>用火审批备案200起；</w:t>
      </w:r>
      <w:r>
        <w:rPr>
          <w:rFonts w:ascii="仿宋_GB2312" w:eastAsia="仿宋_GB2312" w:cs="仿宋_GB2312" w:hint="eastAsia"/>
          <w:b/>
          <w:bCs/>
          <w:kern w:val="2"/>
          <w:sz w:val="32"/>
          <w:szCs w:val="32"/>
          <w:lang w:val="en-US" w:eastAsia="zh-CN" w:bidi="ar-SA"/>
        </w:rPr>
        <w:t>三是</w:t>
      </w:r>
      <w:r>
        <w:rPr>
          <w:rFonts w:ascii="仿宋_GB2312" w:eastAsia="仿宋_GB2312" w:cs="仿宋_GB2312" w:hint="eastAsia"/>
          <w:color w:val="auto"/>
          <w:kern w:val="2"/>
          <w:sz w:val="32"/>
          <w:szCs w:val="32"/>
          <w:lang w:val="en-US" w:eastAsia="zh-CN" w:bidi="ar-SA"/>
        </w:rPr>
        <w:t>加强应急准备工作。严格</w:t>
      </w:r>
      <w:r>
        <w:rPr>
          <w:rFonts w:ascii="仿宋_GB2312" w:eastAsia="仿宋_GB2312" w:cs="仿宋_GB2312" w:hint="eastAsia"/>
          <w:kern w:val="2"/>
          <w:sz w:val="32"/>
          <w:szCs w:val="32"/>
          <w:lang w:val="en-US" w:eastAsia="zh-CN" w:bidi="ar-SA"/>
        </w:rPr>
        <w:t>执行领导干部带班、局</w:t>
      </w:r>
      <w:r>
        <w:rPr>
          <w:rFonts w:ascii="仿宋_GB2312" w:eastAsia="仿宋_GB2312" w:cs="仿宋_GB2312" w:hint="eastAsia"/>
          <w:b w:val="0"/>
          <w:bCs w:val="0"/>
          <w:color w:val="auto"/>
          <w:kern w:val="2"/>
          <w:sz w:val="32"/>
          <w:szCs w:val="32"/>
          <w:lang w:val="en-US" w:eastAsia="zh-CN" w:bidi="ar-SA"/>
        </w:rPr>
        <w:t>防火值班室和全县139处防火哨</w:t>
      </w:r>
      <w:r>
        <w:rPr>
          <w:rFonts w:ascii="仿宋_GB2312" w:eastAsia="仿宋_GB2312" w:cs="仿宋_GB2312" w:hint="eastAsia"/>
          <w:sz w:val="32"/>
          <w:szCs w:val="32"/>
        </w:rPr>
        <w:t>严格</w:t>
      </w:r>
      <w:r>
        <w:rPr>
          <w:rFonts w:ascii="仿宋_GB2312" w:eastAsia="仿宋_GB2312" w:cs="仿宋_GB2312" w:hint="eastAsia"/>
          <w:sz w:val="32"/>
          <w:szCs w:val="32"/>
          <w:lang w:eastAsia="zh-CN"/>
        </w:rPr>
        <w:t>执行“白</w:t>
      </w:r>
      <w:r>
        <w:rPr>
          <w:rFonts w:ascii="仿宋_GB2312" w:eastAsia="仿宋_GB2312" w:cs="仿宋_GB2312" w:hint="eastAsia"/>
          <w:sz w:val="32"/>
          <w:szCs w:val="32"/>
          <w:lang w:val="en-US" w:eastAsia="zh-CN"/>
        </w:rPr>
        <w:t>+夜”24小时值班制</w:t>
      </w:r>
      <w:r>
        <w:rPr>
          <w:rFonts w:ascii="仿宋_GB2312" w:eastAsia="仿宋_GB2312" w:cs="仿宋_GB2312" w:hint="eastAsia"/>
          <w:b w:val="0"/>
          <w:bCs w:val="0"/>
          <w:color w:val="auto"/>
          <w:kern w:val="2"/>
          <w:sz w:val="32"/>
          <w:szCs w:val="32"/>
          <w:lang w:val="en-US" w:eastAsia="zh-CN" w:bidi="ar-SA"/>
        </w:rPr>
        <w:t>，确保实现“火情早发现、早报告、早处置”。压实</w:t>
      </w:r>
      <w:r>
        <w:rPr>
          <w:rFonts w:ascii="仿宋_GB2312" w:eastAsia="仿宋_GB2312" w:cs="仿宋_GB2312" w:hint="eastAsia"/>
          <w:color w:val="auto"/>
          <w:kern w:val="2"/>
          <w:sz w:val="32"/>
          <w:szCs w:val="32"/>
          <w:lang w:val="en-US" w:eastAsia="zh-CN" w:bidi="ar-SA"/>
        </w:rPr>
        <w:t>全县58名森林管护人员每日巡山巡护，督促871名生态护林员每日使用APP打卡巡护，</w:t>
      </w:r>
      <w:r>
        <w:rPr>
          <w:rFonts w:ascii="仿宋_GB2312" w:eastAsia="仿宋_GB2312" w:cs="仿宋_GB2312" w:hint="eastAsia"/>
          <w:kern w:val="2"/>
          <w:sz w:val="32"/>
          <w:szCs w:val="32"/>
          <w:lang w:val="en-US" w:eastAsia="zh-CN" w:bidi="ar-SA"/>
        </w:rPr>
        <w:t>顺利实现了全县连续53年无重特大森林草原火灾目标。</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00"/>
        <w:textAlignment w:val="auto"/>
        <w:rPr>
          <w:rFonts w:ascii="仿宋_GB2312" w:eastAsia="仿宋_GB2312" w:cs="仿宋_GB2312" w:hint="eastAsia"/>
          <w:b w:val="0"/>
          <w:bCs w:val="0"/>
          <w:kern w:val="2"/>
          <w:sz w:val="32"/>
          <w:szCs w:val="32"/>
          <w:lang w:val="en-US" w:eastAsia="zh-CN" w:bidi="ar-SA"/>
        </w:rPr>
      </w:pPr>
      <w:r>
        <w:rPr>
          <w:rFonts w:ascii="仿宋" w:eastAsia="仿宋" w:cs="仿宋" w:hint="eastAsia"/>
          <w:b w:val="0"/>
          <w:kern w:val="2"/>
          <w:sz w:val="30"/>
          <w:szCs w:val="30"/>
          <w:lang w:val="en-US" w:eastAsia="zh-CN" w:bidi="ar-SA"/>
        </w:rPr>
        <w:t>（3）野生动植物保护：</w:t>
      </w:r>
      <w:r>
        <w:rPr>
          <w:rFonts w:ascii="仿宋_GB2312" w:eastAsia="仿宋_GB2312" w:cs="仿宋_GB2312" w:hint="eastAsia"/>
          <w:b w:val="0"/>
          <w:bCs w:val="0"/>
          <w:kern w:val="2"/>
          <w:sz w:val="32"/>
          <w:szCs w:val="32"/>
          <w:lang w:val="en-US" w:eastAsia="zh-CN" w:bidi="ar-SA"/>
        </w:rPr>
        <w:t>开展野生动物疫源疫情监测工作18800余人次，监测面积4000余万亩，收容救护野生动物62头（只、条）、放归12头（只、条）、无害化处理153头（只、条），未发现野生动物异常情况。</w:t>
      </w:r>
    </w:p>
    <w:p>
      <w:pPr>
        <w:spacing w:line="240" w:lineRule="auto"/>
        <w:ind w:firstLineChars="200" w:firstLine="600"/>
        <w:jc w:val="left"/>
        <w:rPr>
          <w:rFonts w:ascii="仿宋" w:eastAsia="仿宋" w:cs="仿宋" w:hint="eastAsia"/>
          <w:sz w:val="30"/>
          <w:szCs w:val="30"/>
          <w:lang w:val="en-US" w:eastAsia="zh-CN"/>
        </w:rPr>
      </w:pPr>
      <w:r>
        <w:rPr>
          <w:rFonts w:ascii="仿宋" w:eastAsia="仿宋" w:cs="仿宋" w:hint="eastAsia"/>
          <w:sz w:val="30"/>
          <w:szCs w:val="30"/>
          <w:lang w:val="en-US" w:eastAsia="zh-CN"/>
        </w:rPr>
        <w:t>（4）资源管理：</w:t>
      </w:r>
      <w:bookmarkStart w:id="15" w:name="_Toc15396601"/>
      <w:bookmarkStart w:id="16" w:name="_Toc15377200"/>
      <w:r>
        <w:rPr>
          <w:rFonts w:ascii="仿宋_GB2312" w:eastAsia="仿宋_GB2312" w:cs="仿宋_GB2312" w:hint="eastAsia"/>
          <w:b/>
          <w:bCs/>
          <w:kern w:val="2"/>
          <w:sz w:val="32"/>
          <w:szCs w:val="32"/>
          <w:lang w:val="en-US" w:eastAsia="zh-CN" w:bidi="ar-SA"/>
        </w:rPr>
        <w:t>一是</w:t>
      </w:r>
      <w:r>
        <w:rPr>
          <w:rFonts w:ascii="仿宋_GB2312" w:eastAsia="仿宋_GB2312" w:cs="仿宋_GB2312" w:hint="eastAsia"/>
          <w:b w:val="0"/>
          <w:bCs w:val="0"/>
          <w:kern w:val="2"/>
          <w:sz w:val="32"/>
          <w:szCs w:val="32"/>
          <w:lang w:val="en-US" w:eastAsia="zh-CN" w:bidi="ar-SA"/>
        </w:rPr>
        <w:t>落实871名生态管护员、58名临聘人员，设立2个片区、9个乡级森林管护站及6个护林站，实现林草湿资源“全域覆盖、精准管护”，结合巡护培训与考核兑现管护员劳务报酬827.45万元；</w:t>
      </w:r>
      <w:r>
        <w:rPr>
          <w:rFonts w:ascii="仿宋_GB2312" w:eastAsia="仿宋_GB2312" w:cs="仿宋_GB2312" w:hint="eastAsia"/>
          <w:b/>
          <w:bCs/>
          <w:color w:val="auto"/>
          <w:sz w:val="32"/>
          <w:szCs w:val="32"/>
          <w:lang w:val="en-US" w:eastAsia="zh-CN"/>
        </w:rPr>
        <w:t>二是</w:t>
      </w:r>
      <w:r>
        <w:rPr>
          <w:rFonts w:ascii="仿宋_GB2312" w:eastAsia="仿宋_GB2312" w:cs="仿宋_GB2312" w:hint="eastAsia"/>
          <w:b w:val="0"/>
          <w:bCs w:val="0"/>
          <w:kern w:val="2"/>
          <w:sz w:val="32"/>
          <w:szCs w:val="32"/>
          <w:lang w:val="en-US" w:eastAsia="zh-CN" w:bidi="ar-SA"/>
        </w:rPr>
        <w:t>全县设立各级林（草）长332名，构建“党政领导负责、三级体系联动、全员协同参与”的林草湿保护格局，各级林（草）长及“一长三员”累计巡林9000余人次。</w:t>
      </w:r>
    </w:p>
    <w:p>
      <w:pPr>
        <w:spacing w:line="240" w:lineRule="auto"/>
        <w:ind w:firstLineChars="200" w:firstLine="640"/>
        <w:jc w:val="left"/>
        <w:rPr>
          <w:rStyle w:val="2Char"/>
          <w:rFonts w:ascii="Times New Roman" w:hAnsi="Times New Roman"/>
          <w:b w:val="0"/>
          <w:bCs w:val="0"/>
          <w:color w:val="auto"/>
          <w:highlight w:val="auto"/>
        </w:rPr>
      </w:pPr>
      <w:r>
        <w:rPr>
          <w:rFonts w:ascii="Times New Roman" w:eastAsia="黑体" w:hAnsi="Times New Roman" w:hint="eastAsia"/>
          <w:b w:val="0"/>
          <w:color w:val="auto"/>
          <w:sz w:val="32"/>
          <w:szCs w:val="32"/>
          <w:highlight w:val="auto"/>
        </w:rPr>
        <w:t>二、机构设置</w:t>
      </w:r>
      <w:bookmarkEnd w:id="15"/>
      <w:bookmarkEnd w:id="16"/>
    </w:p>
    <w:p>
      <w:pPr>
        <w:bidi w:val="0"/>
        <w:ind w:firstLineChars="200" w:firstLine="640"/>
        <w:rPr>
          <w:rFonts w:ascii="Times New Roman" w:eastAsia="仿宋_GB2312" w:cs="仿宋_GB2312" w:hAnsi="Times New Roman" w:hint="eastAsia"/>
          <w:color w:val="auto"/>
          <w:sz w:val="32"/>
          <w:szCs w:val="32"/>
          <w:highlight w:val="auto"/>
        </w:rPr>
      </w:pPr>
      <w:r>
        <w:rPr>
          <w:rFonts w:ascii="仿宋_GB2312" w:eastAsia="仿宋_GB2312" w:cs="Times New Roman" w:hint="eastAsia"/>
          <w:sz w:val="32"/>
          <w:szCs w:val="32"/>
        </w:rPr>
        <w:t>本单位本年度纳入本套决算编制范围的独立编制机构数共1个，比上年增加</w:t>
      </w:r>
      <w:r>
        <w:rPr>
          <w:rFonts w:ascii="仿宋_GB2312" w:eastAsia="仿宋_GB2312" w:cs="Times New Roman" w:hint="eastAsia"/>
          <w:sz w:val="32"/>
          <w:szCs w:val="32"/>
          <w:lang w:val="en-US" w:eastAsia="zh-CN"/>
        </w:rPr>
        <w:t>0</w:t>
      </w:r>
      <w:r>
        <w:rPr>
          <w:rFonts w:ascii="仿宋_GB2312" w:eastAsia="仿宋_GB2312" w:cs="Times New Roman" w:hint="eastAsia"/>
          <w:sz w:val="32"/>
          <w:szCs w:val="32"/>
        </w:rPr>
        <w:t>个，</w:t>
      </w:r>
      <w:r>
        <w:rPr>
          <w:rFonts w:ascii="仿宋_GB2312" w:eastAsia="仿宋_GB2312" w:cs="Times New Roman" w:hint="eastAsia"/>
          <w:sz w:val="32"/>
          <w:szCs w:val="32"/>
          <w:lang w:eastAsia="zh-CN"/>
        </w:rPr>
        <w:t>无变化</w:t>
      </w:r>
      <w:r>
        <w:rPr>
          <w:rFonts w:ascii="仿宋_GB2312" w:eastAsia="仿宋_GB2312" w:cs="Times New Roman" w:hint="eastAsia"/>
          <w:sz w:val="32"/>
          <w:szCs w:val="32"/>
        </w:rPr>
        <w:t>；独立核算机构数共1个，比上年增加</w:t>
      </w:r>
      <w:r>
        <w:rPr>
          <w:rFonts w:ascii="仿宋_GB2312" w:eastAsia="仿宋_GB2312" w:cs="Times New Roman" w:hint="eastAsia"/>
          <w:sz w:val="32"/>
          <w:szCs w:val="32"/>
          <w:lang w:val="en-US" w:eastAsia="zh-CN"/>
        </w:rPr>
        <w:t>0</w:t>
      </w:r>
      <w:r>
        <w:rPr>
          <w:rFonts w:ascii="仿宋_GB2312" w:eastAsia="仿宋_GB2312" w:cs="Times New Roman" w:hint="eastAsia"/>
          <w:sz w:val="32"/>
          <w:szCs w:val="32"/>
        </w:rPr>
        <w:t>个</w:t>
      </w:r>
      <w:r>
        <w:rPr>
          <w:rFonts w:ascii="仿宋_GB2312" w:eastAsia="仿宋_GB2312" w:cs="Times New Roman" w:hint="eastAsia"/>
          <w:sz w:val="32"/>
          <w:szCs w:val="32"/>
          <w:lang w:eastAsia="zh-CN"/>
        </w:rPr>
        <w:t>，无变化</w:t>
      </w:r>
      <w:r>
        <w:rPr>
          <w:rFonts w:ascii="仿宋_GB2312" w:eastAsia="仿宋_GB2312" w:cs="Times New Roman" w:hint="eastAsia"/>
          <w:sz w:val="32"/>
          <w:szCs w:val="32"/>
        </w:rPr>
        <w:t>。</w:t>
      </w:r>
    </w:p>
    <w:p>
      <w:pPr>
        <w:widowControl/>
        <w:jc w:val="left"/>
        <w:rPr>
          <w:rFonts w:ascii="仿宋" w:eastAsia="仿宋" w:hint="eastAsia"/>
          <w:color w:val="auto"/>
          <w:sz w:val="32"/>
          <w:szCs w:val="32"/>
        </w:rPr>
      </w:pPr>
      <w:r>
        <w:rPr>
          <w:rFonts w:ascii="仿宋" w:eastAsia="仿宋" w:hint="eastAsia"/>
          <w:color w:val="auto"/>
          <w:sz w:val="32"/>
          <w:szCs w:val="32"/>
        </w:rPr>
        <w:t>本单位本年度年末实有人数为</w:t>
      </w:r>
      <w:r>
        <w:rPr>
          <w:rFonts w:ascii="仿宋" w:eastAsia="仿宋" w:hint="eastAsia"/>
          <w:color w:val="auto"/>
          <w:sz w:val="32"/>
          <w:szCs w:val="32"/>
          <w:lang w:val="en-US" w:eastAsia="zh-CN"/>
        </w:rPr>
        <w:t>61</w:t>
      </w:r>
      <w:r>
        <w:rPr>
          <w:rFonts w:ascii="仿宋" w:eastAsia="仿宋" w:hint="eastAsia"/>
          <w:color w:val="auto"/>
          <w:sz w:val="32"/>
          <w:szCs w:val="32"/>
        </w:rPr>
        <w:t>人，比上年</w:t>
      </w:r>
      <w:r>
        <w:rPr>
          <w:rFonts w:ascii="仿宋" w:eastAsia="仿宋" w:hint="eastAsia"/>
          <w:color w:val="auto"/>
          <w:sz w:val="32"/>
          <w:szCs w:val="32"/>
          <w:lang w:val="en-US" w:eastAsia="zh-CN"/>
        </w:rPr>
        <w:t>增加26</w:t>
      </w:r>
      <w:r>
        <w:rPr>
          <w:rFonts w:ascii="仿宋" w:eastAsia="仿宋" w:hint="eastAsia"/>
          <w:color w:val="auto"/>
          <w:sz w:val="32"/>
          <w:szCs w:val="32"/>
        </w:rPr>
        <w:t>人；年末实有离退休人数为0人，比上年增加0人；变动情况及原因为部门人员调整。年末实有其他人数为0人，比上年增加0人。</w:t>
      </w:r>
      <w:bookmarkStart w:id="17" w:name="_Toc15377204"/>
      <w:bookmarkStart w:id="18" w:name="_Toc15396602"/>
    </w:p>
    <w:p>
      <w:pPr>
        <w:pStyle w:val="1"/>
        <w:bidi w:val="0"/>
        <w:jc w:val="center"/>
        <w:rPr>
          <w:rFonts w:ascii="Times New Roman" w:hAnsi="Times New Roman"/>
          <w:color w:val="auto"/>
          <w:highlight w:val="auto"/>
        </w:rPr>
      </w:pPr>
      <w:r>
        <w:rPr>
          <w:rFonts w:ascii="方正小标宋简体" w:eastAsia="方正小标宋简体" w:cs="方正小标宋简体" w:hint="eastAsia"/>
        </w:rPr>
        <w:t>第二部分</w:t>
      </w:r>
      <w:r>
        <w:rPr>
          <w:rFonts w:ascii="方正小标宋简体" w:eastAsia="方正小标宋简体" w:cs="方正小标宋简体" w:hint="eastAsia"/>
          <w:lang w:val="en-US" w:eastAsia="zh-CN"/>
        </w:rPr>
        <w:t xml:space="preserve"> </w:t>
      </w:r>
      <w:r>
        <w:rPr>
          <w:rFonts w:ascii="方正小标宋简体" w:eastAsia="方正小标宋简体" w:cs="方正小标宋简体" w:hint="eastAsia"/>
        </w:rPr>
        <w:t xml:space="preserve"> </w:t>
      </w:r>
      <w:r>
        <w:rPr>
          <w:rFonts w:ascii="方正小标宋简体" w:eastAsia="方正小标宋简体" w:cs="方正小标宋简体" w:hint="eastAsia"/>
          <w:lang w:val="en-US" w:eastAsia="zh-CN"/>
        </w:rPr>
        <w:t>2025年度</w:t>
      </w:r>
      <w:r>
        <w:rPr>
          <w:rFonts w:ascii="方正小标宋简体" w:eastAsia="方正小标宋简体" w:cs="方正小标宋简体" w:hint="eastAsia"/>
          <w:lang w:eastAsia="zh-CN"/>
        </w:rPr>
        <w:t>单位</w:t>
      </w:r>
      <w:r>
        <w:rPr>
          <w:rFonts w:ascii="方正小标宋简体" w:eastAsia="方正小标宋简体" w:cs="方正小标宋简体" w:hint="eastAsia"/>
        </w:rPr>
        <w:t>决算情况说明</w:t>
      </w:r>
      <w:bookmarkEnd w:id="17"/>
      <w:bookmarkEnd w:id="18"/>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19" w:name="_Toc15377205"/>
      <w:bookmarkStart w:id="20" w:name="_Toc15396603"/>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19"/>
      <w:bookmarkEnd w:id="20"/>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sz w:val="32"/>
          <w:szCs w:val="32"/>
          <w:lang w:val="en-US"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hint="eastAsia"/>
          <w:sz w:val="32"/>
          <w:szCs w:val="32"/>
        </w:rPr>
        <w:t>1352.01</w:t>
      </w:r>
      <w:r>
        <w:rPr>
          <w:rFonts w:ascii="Times New Roman" w:eastAsia="仿宋_GB2312" w:cs="仿宋_GB2312" w:hAnsi="Times New Roman" w:hint="eastAsia"/>
          <w:color w:val="auto"/>
          <w:sz w:val="32"/>
          <w:szCs w:val="32"/>
          <w:highlight w:val="auto"/>
        </w:rPr>
        <w:t>万元。与</w:t>
      </w:r>
      <w:r>
        <w:rPr>
          <w:rFonts w:eastAsia="仿宋_GB2312" w:cs="仿宋_GB2312" w:hint="eastAsia"/>
          <w:color w:val="auto"/>
          <w:sz w:val="32"/>
          <w:szCs w:val="32"/>
          <w:lang w:eastAsia="zh-CN"/>
          <w:highlight w:val="auto"/>
        </w:rPr>
        <w:t>上</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hint="eastAsia"/>
          <w:color w:val="auto"/>
          <w:sz w:val="32"/>
          <w:szCs w:val="32"/>
          <w:lang w:eastAsia="zh-CN"/>
          <w:highlight w:val="auto"/>
        </w:rPr>
        <w:t>度</w:t>
      </w:r>
      <w:r>
        <w:rPr>
          <w:rFonts w:ascii="Times New Roman" w:eastAsia="仿宋_GB2312" w:cs="仿宋_GB2312" w:hAnsi="Times New Roman" w:hint="eastAsia"/>
          <w:color w:val="auto"/>
          <w:sz w:val="32"/>
          <w:szCs w:val="32"/>
          <w:highlight w:val="auto"/>
        </w:rPr>
        <w:t>相比，</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总计各增加</w:t>
      </w:r>
      <w:r>
        <w:rPr>
          <w:rFonts w:eastAsia="仿宋_GB2312" w:cs="仿宋_GB2312" w:hint="eastAsia"/>
          <w:color w:val="auto"/>
          <w:sz w:val="32"/>
          <w:szCs w:val="32"/>
          <w:lang w:val="en-US" w:eastAsia="zh-CN"/>
          <w:highlight w:val="auto"/>
        </w:rPr>
        <w:t>515.98</w:t>
      </w:r>
      <w:r>
        <w:rPr>
          <w:rFonts w:ascii="Times New Roman" w:eastAsia="仿宋_GB2312" w:cs="仿宋_GB2312" w:hAnsi="Times New Roman" w:hint="eastAsia"/>
          <w:color w:val="auto"/>
          <w:sz w:val="32"/>
          <w:szCs w:val="32"/>
          <w:highlight w:val="auto"/>
        </w:rPr>
        <w:t>万元，增长</w:t>
      </w:r>
      <w:r>
        <w:rPr>
          <w:rFonts w:eastAsia="仿宋_GB2312" w:cs="仿宋_GB2312" w:hint="eastAsia"/>
          <w:color w:val="auto"/>
          <w:sz w:val="32"/>
          <w:szCs w:val="32"/>
          <w:lang w:val="en-US" w:eastAsia="zh-CN"/>
          <w:highlight w:val="auto"/>
        </w:rPr>
        <w:t>61.72</w:t>
      </w:r>
      <w:r>
        <w:rPr>
          <w:rFonts w:ascii="Times New Roman" w:eastAsia="仿宋_GB2312" w:cs="仿宋_GB2312" w:hAnsi="Times New Roman" w:hint="eastAsia"/>
          <w:color w:val="auto"/>
          <w:sz w:val="32"/>
          <w:szCs w:val="32"/>
          <w:highlight w:val="auto"/>
        </w:rPr>
        <w:t>%。主要变动原因</w:t>
      </w:r>
      <w:r>
        <w:rPr>
          <w:rFonts w:eastAsia="仿宋_GB2312" w:cs="仿宋_GB2312" w:hint="eastAsia"/>
          <w:b w:val="0"/>
          <w:bCs w:val="0"/>
          <w:color w:val="auto"/>
          <w:sz w:val="32"/>
          <w:szCs w:val="32"/>
          <w:lang w:val="en-US" w:eastAsia="zh-CN"/>
          <w:highlight w:val="auto"/>
        </w:rPr>
        <w:t>人员增加，预算调整</w:t>
      </w:r>
      <w:r>
        <w:rPr>
          <w:rFonts w:eastAsia="仿宋_GB2312" w:cs="仿宋_GB2312" w:hint="eastAsia"/>
          <w:color w:val="auto"/>
          <w:sz w:val="32"/>
          <w:szCs w:val="32"/>
          <w:lang w:val="en-US" w:eastAsia="zh-CN"/>
          <w:highlight w:val="auto"/>
        </w:rPr>
        <w:t>。</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（图1：</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决算总计变动情况图）（柱状图）</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420"/>
        <w:textAlignment w:val="auto"/>
        <w:outlineLvl w:val="1"/>
        <w:rPr>
          <w:rFonts w:ascii="Times New Roman" w:eastAsia="黑体" w:hAnsi="Times New Roman" w:hint="eastAsia"/>
          <w:color w:val="auto"/>
          <w:sz w:val="32"/>
          <w:szCs w:val="32"/>
          <w:lang w:eastAsia="zh-CN"/>
          <w:highlight w:val="auto"/>
        </w:rPr>
      </w:pPr>
      <w:bookmarkStart w:id="21" w:name="_Toc15377206"/>
      <w:bookmarkStart w:id="22" w:name="_Toc15396604"/>
      <w: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color="#FFFFFF" stroked="t" style="position:absolute;margin-left:28.100002pt;margin-top:5.6pt;width:369.65002pt;height:208.45pt;z-index:24;mso-position-horizontal:absolute;mso-position-vertical:absolute;" o:ole="">
            <v:stroke color="#000000"/>
            <v:imagedata r:id="rId7" o:title=""/>
            <w10:wrap type="topAndBottom"/>
          </v:shape>
          <o:OLEObject Type="Embed" ProgID="Package" ShapeID="_x0000_i1" DrawAspect="Icon" ObjectID="_1393063351"/>
        </w:object>
      </w:r>
      <w:r>
        <w:rPr>
          <w:rFonts w:ascii="Times New Roman" w:eastAsia="黑体" w:hAnsi="Times New Roman" w:hint="eastAsia"/>
          <w:color w:val="auto"/>
          <w:sz w:val="32"/>
          <w:szCs w:val="32"/>
          <w:lang w:eastAsia="zh-CN"/>
          <w:highlight w:val="auto"/>
        </w:rPr>
        <w:t>二、收入决算情况说明</w:t>
      </w:r>
      <w:bookmarkEnd w:id="21"/>
      <w:bookmarkEnd w:id="22"/>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b/>
          <w:bCs/>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本年收入合计</w:t>
      </w:r>
      <w:r>
        <w:rPr>
          <w:rFonts w:ascii="仿宋_GB2312" w:eastAsia="仿宋_GB2312" w:cs="仿宋_GB2312" w:hint="eastAsia"/>
          <w:sz w:val="32"/>
          <w:szCs w:val="32"/>
        </w:rPr>
        <w:t>1352.01</w:t>
      </w:r>
      <w:r>
        <w:rPr>
          <w:rFonts w:ascii="Times New Roman" w:eastAsia="仿宋_GB2312" w:cs="仿宋_GB2312" w:hAnsi="Times New Roman" w:hint="eastAsia"/>
          <w:color w:val="auto"/>
          <w:sz w:val="32"/>
          <w:szCs w:val="32"/>
          <w:lang w:eastAsia="zh-CN"/>
          <w:highlight w:val="auto"/>
        </w:rPr>
        <w:t>万元，其中：一般公共预算财政拨款收入</w:t>
      </w:r>
      <w:r>
        <w:rPr>
          <w:rFonts w:ascii="仿宋_GB2312" w:eastAsia="仿宋_GB2312" w:cs="仿宋_GB2312" w:hint="eastAsia"/>
          <w:sz w:val="32"/>
          <w:szCs w:val="32"/>
        </w:rPr>
        <w:t>1352.01</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100</w:t>
      </w:r>
      <w:r>
        <w:rPr>
          <w:rFonts w:ascii="Times New Roman" w:eastAsia="仿宋_GB2312" w:cs="仿宋_GB2312" w:hAnsi="Times New Roman"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%；国有资本经营预算财政拨款收入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%；上级补助收入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%；事业收入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%；其他收入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（注：仅罗列本部门涉及的收入）</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（图2：收入决算结构图）（饼状图）</w:t>
      </w:r>
    </w:p>
    <w:p>
      <w:pPr>
        <w:ind w:firstLineChars="250" w:firstLine="525"/>
        <w:rPr>
          <w:rFonts w:ascii="Times New Roman" w:eastAsia="仿宋_GB2312" w:cs="仿宋_GB2312" w:hAnsi="Times New Roman" w:hint="eastAsia"/>
          <w:color w:val="auto"/>
          <w:sz w:val="32"/>
          <w:szCs w:val="32"/>
          <w:lang w:eastAsia="zh-CN"/>
          <w:highlight w:val="auto"/>
        </w:rPr>
      </w:pPr>
      <w:r>
        <w:drawing>
          <wp:inline distT="0" distB="0" distL="114300" distR="114300">
            <wp:extent cx="4053205" cy="2459990"/>
            <wp:effectExtent l="0" t="0" r="0" b="0"/>
            <wp:docPr id="15" name="图表 3"/>
            <wp:cNvGraphicFramePr>
              <a:graphicFrameLocks noChangeAspect="0"/>
            </wp:cNvGraphicFramePr>
            <a:graphic>
              <a:graphicData uri="http://schemas.openxmlformats.org/drawingml/2006/picture">
                <pic:pic>
                  <pic:nvPicPr>
                    <pic:cNvPr id="17" name="图表 3 17"/>
                    <pic:cNvPicPr/>
                  </pic:nvPicPr>
                  <pic:blipFill>
                    <a:blip r:embed="rId8"/>
                    <a:stretch>
                      <a:fillRect/>
                    </a:stretch>
                  </pic:blipFill>
                  <pic:spPr>
                    <a:xfrm rot="0">
                      <a:off x="0" y="0"/>
                      <a:ext cx="4053205" cy="2459990"/>
                    </a:xfrm>
                    <a:prstGeom prst="rect"/>
                    <a:ln w="9525" cmpd="sng" cap="flat">
                      <a:solidFill>
                        <a:srgbClr val="000000"/>
                      </a:solidFill>
                      <a:prstDash val="solid"/>
                      <a:miter/>
                    </a:ln>
                  </pic:spPr>
                </pic:pic>
              </a:graphicData>
            </a:graphic>
          </wp:inline>
        </w:drawing>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23" w:name="_Toc15377207"/>
      <w:bookmarkStart w:id="24" w:name="_Toc15396605"/>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23"/>
      <w:bookmarkEnd w:id="24"/>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本年支出合计</w:t>
      </w:r>
      <w:r>
        <w:rPr>
          <w:rFonts w:ascii="仿宋_GB2312" w:eastAsia="仿宋_GB2312" w:cs="仿宋_GB2312" w:hint="eastAsia"/>
          <w:sz w:val="32"/>
          <w:szCs w:val="32"/>
        </w:rPr>
        <w:t>1352.01</w:t>
      </w:r>
      <w:r>
        <w:rPr>
          <w:rFonts w:ascii="Times New Roman" w:eastAsia="仿宋_GB2312" w:cs="仿宋_GB2312" w:hAnsi="Times New Roman" w:hint="eastAsia"/>
          <w:color w:val="auto"/>
          <w:sz w:val="32"/>
          <w:szCs w:val="32"/>
          <w:lang w:eastAsia="zh-CN"/>
          <w:highlight w:val="auto"/>
        </w:rPr>
        <w:t>万元，其中：基本支出</w:t>
      </w:r>
      <w:r>
        <w:rPr>
          <w:rFonts w:ascii="仿宋_GB2312" w:eastAsia="仿宋_GB2312" w:cs="仿宋_GB2312" w:hint="eastAsia"/>
          <w:sz w:val="32"/>
          <w:szCs w:val="32"/>
        </w:rPr>
        <w:t>1352.01</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100</w:t>
      </w:r>
      <w:r>
        <w:rPr>
          <w:rFonts w:ascii="Times New Roman" w:eastAsia="仿宋_GB2312" w:cs="仿宋_GB2312" w:hAnsi="Times New Roman" w:hint="eastAsia"/>
          <w:color w:val="auto"/>
          <w:sz w:val="32"/>
          <w:szCs w:val="32"/>
          <w:lang w:eastAsia="zh-CN"/>
          <w:highlight w:val="auto"/>
        </w:rPr>
        <w:t>%；项目支出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%；上缴上级支出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color w:val="auto"/>
          <w:sz w:val="32"/>
          <w:szCs w:val="32"/>
          <w:lang w:eastAsia="zh-CN"/>
          <w:highlight w:val="auto"/>
        </w:rPr>
      </w:pPr>
      <w:r>
        <w:rPr>
          <w:rFonts w:ascii="Times New Roman" w:eastAsia="仿宋_GB2312" w:cs="仿宋_GB2312" w:hAnsi="Times New Roman" w:hint="eastAsia"/>
          <w:color w:val="auto"/>
          <w:sz w:val="32"/>
          <w:szCs w:val="32"/>
          <w:lang w:eastAsia="zh-CN"/>
          <w:highlight w:val="auto"/>
        </w:rPr>
        <w:t>（图3：支出决算结构图）（饼状图）</w:t>
      </w:r>
    </w:p>
    <w:p>
      <w:pPr>
        <w:ind w:firstLineChars="250" w:firstLine="525"/>
        <w:rPr>
          <w:rFonts w:ascii="Times New Roman" w:eastAsia="仿宋_GB2312" w:cs="仿宋_GB2312" w:hAnsi="Times New Roman" w:hint="eastAsia"/>
          <w:color w:val="auto"/>
          <w:sz w:val="32"/>
          <w:szCs w:val="32"/>
          <w:lang w:eastAsia="zh-CN"/>
          <w:highlight w:val="auto"/>
        </w:rPr>
      </w:pPr>
      <w:r>
        <w:drawing>
          <wp:inline distT="0" distB="0" distL="114300" distR="114300">
            <wp:extent cx="4208145" cy="2011045"/>
            <wp:effectExtent l="0" t="0" r="0" b="0"/>
            <wp:docPr id="18" name="图表 2"/>
            <wp:cNvGraphicFramePr>
              <a:graphicFrameLocks noChangeAspect="0"/>
            </wp:cNvGraphicFramePr>
            <a:graphic>
              <a:graphicData uri="http://schemas.openxmlformats.org/drawingml/2006/picture">
                <pic:pic>
                  <pic:nvPicPr>
                    <pic:cNvPr id="20" name="图表 2 20"/>
                    <pic:cNvPicPr/>
                  </pic:nvPicPr>
                  <pic:blipFill>
                    <a:blip r:embed="rId9"/>
                    <a:stretch>
                      <a:fillRect/>
                    </a:stretch>
                  </pic:blipFill>
                  <pic:spPr>
                    <a:xfrm rot="0">
                      <a:off x="0" y="0"/>
                      <a:ext cx="4208145" cy="2011045"/>
                    </a:xfrm>
                    <a:prstGeom prst="rect"/>
                    <a:ln w="9525" cmpd="sng" cap="flat">
                      <a:solidFill>
                        <a:srgbClr val="000000"/>
                      </a:solidFill>
                      <a:prstDash val="solid"/>
                      <a:miter/>
                    </a:ln>
                  </pic:spPr>
                </pic:pic>
              </a:graphicData>
            </a:graphic>
          </wp:inline>
        </w:drawing>
      </w:r>
    </w:p>
    <w:p>
      <w:pPr>
        <w:spacing w:line="600" w:lineRule="exact"/>
        <w:ind w:firstLineChars="200" w:firstLine="640"/>
        <w:outlineLvl w:val="1"/>
        <w:rPr>
          <w:rStyle w:val="2Char"/>
          <w:rFonts w:ascii="Times New Roman" w:eastAsia="黑体" w:hAnsi="Times New Roman"/>
          <w:b w:val="0"/>
          <w:color w:val="auto"/>
          <w:highlight w:val="auto"/>
        </w:rPr>
      </w:pPr>
      <w:bookmarkStart w:id="25" w:name="_Toc15396606"/>
      <w:bookmarkStart w:id="26" w:name="_Toc15377208"/>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25"/>
      <w:bookmarkEnd w:id="26"/>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eastAsia="仿宋_GB2312" w:cs="仿宋_GB2312" w:hint="eastAsia"/>
          <w:color w:val="auto"/>
          <w:sz w:val="32"/>
          <w:szCs w:val="32"/>
          <w:lang w:val="en-US" w:eastAsia="zh-CN"/>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财政拨款收入、支出总计均为</w:t>
      </w:r>
      <w:r>
        <w:rPr>
          <w:rFonts w:ascii="仿宋_GB2312" w:eastAsia="仿宋_GB2312" w:cs="仿宋_GB2312" w:hint="eastAsia"/>
          <w:sz w:val="32"/>
          <w:szCs w:val="32"/>
        </w:rPr>
        <w:t>1352.01</w:t>
      </w:r>
      <w:r>
        <w:rPr>
          <w:rFonts w:ascii="Times New Roman" w:eastAsia="仿宋_GB2312" w:cs="仿宋_GB2312" w:hAnsi="Times New Roman" w:hint="eastAsia"/>
          <w:color w:val="auto"/>
          <w:kern w:val="2"/>
          <w:sz w:val="32"/>
          <w:szCs w:val="32"/>
          <w:lang w:val="en-US" w:eastAsia="zh-CN" w:bidi="ar-SA"/>
          <w:highlight w:val="auto"/>
        </w:rPr>
        <w:t>万元。与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年度相比，财政拨款收入、支出总计各增加</w:t>
      </w:r>
      <w:r>
        <w:rPr>
          <w:rFonts w:eastAsia="仿宋_GB2312" w:cs="仿宋_GB2312" w:hint="eastAsia"/>
          <w:color w:val="auto"/>
          <w:sz w:val="32"/>
          <w:szCs w:val="32"/>
          <w:lang w:val="en-US" w:eastAsia="zh-CN"/>
          <w:highlight w:val="auto"/>
        </w:rPr>
        <w:t>515.98</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hint="eastAsia"/>
          <w:color w:val="auto"/>
          <w:sz w:val="32"/>
          <w:szCs w:val="32"/>
          <w:highlight w:val="auto"/>
        </w:rPr>
        <w:t>增长</w:t>
      </w:r>
      <w:r>
        <w:rPr>
          <w:rFonts w:eastAsia="仿宋_GB2312" w:cs="仿宋_GB2312" w:hint="eastAsia"/>
          <w:color w:val="auto"/>
          <w:sz w:val="32"/>
          <w:szCs w:val="32"/>
          <w:lang w:val="en-US" w:eastAsia="zh-CN"/>
          <w:highlight w:val="auto"/>
        </w:rPr>
        <w:t>61.72</w:t>
      </w:r>
      <w:r>
        <w:rPr>
          <w:rFonts w:ascii="Times New Roman" w:eastAsia="仿宋_GB2312" w:cs="仿宋_GB2312" w:hAnsi="Times New Roman" w:hint="eastAsia"/>
          <w:color w:val="auto"/>
          <w:sz w:val="32"/>
          <w:szCs w:val="32"/>
          <w:highlight w:val="auto"/>
        </w:rPr>
        <w:t>%。主要变动原因</w:t>
      </w:r>
      <w:r>
        <w:rPr>
          <w:rFonts w:eastAsia="仿宋_GB2312" w:cs="仿宋_GB2312" w:hint="eastAsia"/>
          <w:b w:val="0"/>
          <w:bCs w:val="0"/>
          <w:color w:val="auto"/>
          <w:sz w:val="32"/>
          <w:szCs w:val="32"/>
          <w:lang w:val="en-US" w:eastAsia="zh-CN"/>
          <w:highlight w:val="auto"/>
        </w:rPr>
        <w:t>人员增加，预算调整</w:t>
      </w:r>
      <w:r>
        <w:rPr>
          <w:rFonts w:eastAsia="仿宋_GB2312" w:cs="仿宋_GB2312" w:hint="eastAsia"/>
          <w:color w:val="auto"/>
          <w:sz w:val="32"/>
          <w:szCs w:val="32"/>
          <w:lang w:val="en-US" w:eastAsia="zh-CN"/>
          <w:highlight w:val="auto"/>
        </w:rPr>
        <w:t>。</w:t>
      </w:r>
    </w:p>
    <w:p>
      <w:pPr>
        <w:spacing w:line="600" w:lineRule="exact"/>
        <w:ind w:firstLineChars="100" w:firstLine="32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（图4：财政拨款收、支决算总计变动情况）（柱状图）</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r>
        <w:object>
          <v:shape id="_x0000_i2" type="#_x0000_t75" fillcolor="#FFFFFF" stroked="t" wrapcoords="-21 -24 -21 21563 21593 21563 21593 -24 -21 -24" style="position:absolute;margin-left:34.1pt;margin-top:4.1pt;width:359.75003pt;height:186.85pt;z-index:25;mso-position-horizontal:absolute;mso-position-vertical:absolute;" o:ole="">
            <v:stroke color="#000000"/>
            <v:imagedata r:id="rId10" o:title=""/>
            <w10:wrap type="tight"/>
          </v:shape>
          <o:OLEObject Type="Embed" ProgID="Package" ShapeID="_x0000_i2" DrawAspect="Icon" ObjectID="_1393063352"/>
        </w:object>
      </w:r>
    </w:p>
    <w:p>
      <w:pPr>
        <w:spacing w:line="600" w:lineRule="exact"/>
        <w:ind w:firstLineChars="200" w:firstLine="640"/>
        <w:outlineLvl w:val="1"/>
        <w:rPr>
          <w:rStyle w:val="2Char"/>
          <w:rFonts w:ascii="Times New Roman" w:eastAsia="黑体" w:hAnsi="Times New Roman"/>
          <w:b w:val="0"/>
          <w:color w:val="auto"/>
          <w:highlight w:val="auto"/>
        </w:rPr>
      </w:pPr>
      <w:bookmarkStart w:id="27" w:name="_Toc15396607"/>
      <w:bookmarkStart w:id="28" w:name="_Toc15377209"/>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7"/>
      <w:bookmarkEnd w:id="28"/>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9"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29"/>
    </w:p>
    <w:p>
      <w:pPr>
        <w:spacing w:line="600" w:lineRule="exact"/>
        <w:ind w:firstLine="640"/>
        <w:rPr>
          <w:rFonts w:eastAsia="仿宋_GB2312" w:cs="仿宋_GB2312" w:hint="eastAsia"/>
          <w:color w:val="auto"/>
          <w:sz w:val="32"/>
          <w:szCs w:val="32"/>
          <w:lang w:val="en-US" w:eastAsia="zh-CN"/>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1352.01</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年度相比，一般公共预算财政拨款支出增加</w:t>
      </w:r>
      <w:r>
        <w:rPr>
          <w:rFonts w:eastAsia="仿宋_GB2312" w:cs="仿宋_GB2312" w:hint="eastAsia"/>
          <w:color w:val="auto"/>
          <w:kern w:val="2"/>
          <w:sz w:val="32"/>
          <w:szCs w:val="32"/>
          <w:lang w:val="en-US" w:eastAsia="zh-CN" w:bidi="ar-SA"/>
          <w:highlight w:val="auto"/>
        </w:rPr>
        <w:t>515.98</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61.72</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color w:val="auto"/>
          <w:sz w:val="32"/>
          <w:szCs w:val="32"/>
          <w:highlight w:val="auto"/>
        </w:rPr>
        <w:t>主要变动原因</w:t>
      </w:r>
      <w:r>
        <w:rPr>
          <w:rFonts w:eastAsia="仿宋_GB2312" w:cs="仿宋_GB2312" w:hint="eastAsia"/>
          <w:b w:val="0"/>
          <w:bCs w:val="0"/>
          <w:color w:val="auto"/>
          <w:sz w:val="32"/>
          <w:szCs w:val="32"/>
          <w:lang w:val="en-US" w:eastAsia="zh-CN"/>
          <w:highlight w:val="auto"/>
        </w:rPr>
        <w:t>人员增加，预算调整</w:t>
      </w:r>
      <w:r>
        <w:rPr>
          <w:rFonts w:eastAsia="仿宋_GB2312" w:cs="仿宋_GB2312" w:hint="eastAsia"/>
          <w:color w:val="auto"/>
          <w:sz w:val="32"/>
          <w:szCs w:val="32"/>
          <w:lang w:val="en-US" w:eastAsia="zh-CN"/>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object>
          <v:shape id="_x0000_i3" type="#_x0000_t75" fillcolor="#FFFFFF" stroked="t" style="position:absolute;margin-left:40.1pt;margin-top:82.4pt;width:380.0pt;height:216.0pt;z-index:26;mso-position-horizontal:absolute;mso-position-vertical:absolute;" o:ole="">
            <v:stroke color="#000000"/>
            <v:imagedata r:id="rId11" o:title=""/>
            <w10:wrap type="topAndBottom"/>
          </v:shape>
          <o:OLEObject Type="Embed" ProgID="Package" ShapeID="_x0000_i3" DrawAspect="Icon" ObjectID="_1393063353"/>
        </w:object>
      </w:r>
      <w:r>
        <w:rPr>
          <w:rFonts w:ascii="Times New Roman" w:eastAsia="仿宋_GB2312" w:cs="仿宋_GB2312" w:hAnsi="Times New Roman" w:hint="eastAsia"/>
          <w:color w:val="auto"/>
          <w:kern w:val="2"/>
          <w:sz w:val="32"/>
          <w:szCs w:val="32"/>
          <w:lang w:val="en-US" w:eastAsia="zh-CN" w:bidi="ar-SA"/>
          <w:highlight w:val="auto"/>
        </w:rPr>
        <w:t>（图5：一般公共预算财政拨款支出决算变动情况）（柱状图）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0"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0"/>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1352.01</w:t>
      </w:r>
      <w:r>
        <w:rPr>
          <w:rFonts w:ascii="Times New Roman" w:eastAsia="仿宋_GB2312" w:cs="仿宋_GB2312" w:hAnsi="Times New Roman" w:hint="eastAsia"/>
          <w:color w:val="auto"/>
          <w:kern w:val="2"/>
          <w:sz w:val="32"/>
          <w:szCs w:val="32"/>
          <w:lang w:val="en-US" w:eastAsia="zh-CN" w:bidi="ar-SA"/>
          <w:highlight w:val="auto"/>
        </w:rPr>
        <w:t>万元，主要用于以下方面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社会保障和就业支出</w:t>
      </w:r>
      <w:r>
        <w:rPr>
          <w:rFonts w:eastAsia="仿宋_GB2312" w:cs="仿宋_GB2312" w:hint="eastAsia"/>
          <w:color w:val="auto"/>
          <w:kern w:val="2"/>
          <w:sz w:val="32"/>
          <w:szCs w:val="32"/>
          <w:lang w:val="en-US" w:eastAsia="zh-CN" w:bidi="ar-SA"/>
          <w:highlight w:val="auto"/>
        </w:rPr>
        <w:t>185.76</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13.74</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卫生健康支出</w:t>
      </w:r>
      <w:r>
        <w:rPr>
          <w:rFonts w:eastAsia="仿宋_GB2312" w:cs="仿宋_GB2312" w:hint="eastAsia"/>
          <w:color w:val="auto"/>
          <w:kern w:val="2"/>
          <w:sz w:val="32"/>
          <w:szCs w:val="32"/>
          <w:lang w:val="en-US" w:eastAsia="zh-CN" w:bidi="ar-SA"/>
          <w:highlight w:val="auto"/>
        </w:rPr>
        <w:t>86.76</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6.42</w:t>
      </w:r>
      <w:r>
        <w:rPr>
          <w:rFonts w:ascii="Times New Roman" w:eastAsia="仿宋_GB2312" w:cs="仿宋_GB2312" w:hAnsi="Times New Roman" w:hint="eastAsia"/>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住房保障支出</w:t>
      </w:r>
      <w:r>
        <w:rPr>
          <w:rFonts w:eastAsia="仿宋_GB2312" w:cs="仿宋_GB2312" w:hint="eastAsia"/>
          <w:color w:val="auto"/>
          <w:kern w:val="2"/>
          <w:sz w:val="32"/>
          <w:szCs w:val="32"/>
          <w:lang w:val="en-US" w:eastAsia="zh-CN" w:bidi="ar-SA"/>
          <w:highlight w:val="auto"/>
        </w:rPr>
        <w:t>110.35</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8.16</w:t>
      </w:r>
      <w:r>
        <w:rPr>
          <w:rFonts w:ascii="Times New Roman" w:eastAsia="仿宋_GB2312" w:cs="仿宋_GB2312" w:hAnsi="Times New Roman" w:hint="eastAsia"/>
          <w:color w:val="auto"/>
          <w:kern w:val="2"/>
          <w:sz w:val="32"/>
          <w:szCs w:val="32"/>
          <w:lang w:val="en-US" w:eastAsia="zh-CN" w:bidi="ar-SA"/>
          <w:highlight w:val="auto"/>
        </w:rPr>
        <w:t>%；</w:t>
      </w:r>
      <w:r>
        <w:rPr>
          <w:rFonts w:ascii="仿宋" w:eastAsia="仿宋" w:hint="eastAsia"/>
          <w:b/>
          <w:bCs/>
          <w:sz w:val="32"/>
          <w:szCs w:val="32"/>
          <w:lang w:eastAsia="zh-CN"/>
        </w:rPr>
        <w:t>农林水</w:t>
      </w:r>
      <w:r>
        <w:rPr>
          <w:rFonts w:ascii="仿宋" w:eastAsia="仿宋" w:hint="eastAsia"/>
          <w:b/>
          <w:bCs/>
          <w:sz w:val="32"/>
          <w:szCs w:val="32"/>
        </w:rPr>
        <w:t>支出</w:t>
      </w:r>
      <w:r>
        <w:rPr>
          <w:rFonts w:ascii="仿宋" w:eastAsia="仿宋" w:hint="eastAsia"/>
          <w:sz w:val="32"/>
          <w:szCs w:val="32"/>
          <w:lang w:val="en-US" w:eastAsia="zh-CN"/>
        </w:rPr>
        <w:t>969.14</w:t>
      </w:r>
      <w:r>
        <w:rPr>
          <w:rFonts w:ascii="仿宋" w:eastAsia="仿宋" w:hint="eastAsia"/>
          <w:sz w:val="32"/>
          <w:szCs w:val="32"/>
        </w:rPr>
        <w:t>万元，占</w:t>
      </w:r>
      <w:r>
        <w:rPr>
          <w:rFonts w:ascii="仿宋" w:eastAsia="仿宋" w:hint="eastAsia"/>
          <w:sz w:val="32"/>
          <w:szCs w:val="32"/>
          <w:lang w:val="en-US" w:eastAsia="zh-CN"/>
        </w:rPr>
        <w:t>71.68</w:t>
      </w:r>
      <w:r>
        <w:rPr>
          <w:rFonts w:ascii="仿宋" w:eastAsia="仿宋"/>
          <w:sz w:val="32"/>
          <w:szCs w:val="32"/>
        </w:rPr>
        <w:t>%</w:t>
      </w:r>
      <w:r>
        <w:rPr>
          <w:rFonts w:ascii="仿宋" w:eastAsia="仿宋" w:hint="eastAsia"/>
          <w:sz w:val="32"/>
          <w:szCs w:val="32"/>
        </w:rPr>
        <w:t>。</w:t>
      </w:r>
    </w:p>
    <w:p>
      <w:pPr>
        <w:spacing w:line="600" w:lineRule="exact"/>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（图6：一般公共预算财政拨款支出决算结构）（饼状图）</w:t>
      </w:r>
    </w:p>
    <w:p>
      <w:pPr>
        <w:pStyle w:val="25"/>
        <w:rPr>
          <w:rFonts w:hint="eastAsia"/>
          <w:lang w:val="en-US" w:eastAsia="zh-CN"/>
        </w:rPr>
      </w:pPr>
      <w:r>
        <w:object>
          <v:shape id="_x0000_i4" type="#_x0000_t75" fillcolor="#FFFFFF" stroked="t" style="width:380.0pt;height:216.0pt;" o:ole="">
            <v:stroke color="#000000"/>
            <v:imagedata r:id="rId12" o:title=""/>
          </v:shape>
          <o:OLEObject Type="Embed" ProgID="Package" ShapeID="_x0000_i4" DrawAspect="Icon" ObjectID="_1393063354"/>
        </w:objec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1"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1"/>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32" w:name="_Toc15377444"/>
      <w:bookmarkStart w:id="33" w:name="_Toc15377213"/>
      <w:bookmarkStart w:id="34" w:name="_Toc15378460"/>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仿宋_GB2312" w:eastAsia="仿宋_GB2312" w:cs="仿宋_GB2312" w:hint="eastAsia"/>
          <w:sz w:val="32"/>
          <w:szCs w:val="32"/>
        </w:rPr>
        <w:t>1352.01</w:t>
      </w:r>
      <w:r>
        <w:rPr>
          <w:rFonts w:ascii="Times New Roman" w:eastAsia="仿宋_GB2312" w:cs="仿宋_GB2312" w:hAnsi="Times New Roman" w:hint="eastAsia"/>
          <w:color w:val="auto"/>
          <w:kern w:val="2"/>
          <w:sz w:val="32"/>
          <w:szCs w:val="32"/>
          <w:lang w:val="en-US" w:eastAsia="zh-CN" w:bidi="ar-SA"/>
          <w:highlight w:val="auto"/>
        </w:rPr>
        <w:t>，完成预算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%。其中：</w:t>
      </w:r>
      <w:bookmarkEnd w:id="32"/>
      <w:bookmarkEnd w:id="33"/>
      <w:bookmarkEnd w:id="34"/>
    </w:p>
    <w:p>
      <w:pPr>
        <w:spacing w:line="600" w:lineRule="exact"/>
        <w:ind w:firstLine="640"/>
        <w:rPr>
          <w:rFonts w:ascii="Times New Roman" w:eastAsia="仿宋_GB2312" w:cs="仿宋_GB2312" w:hAnsi="Times New Roman" w:hint="eastAsia"/>
          <w:b/>
          <w:bCs/>
          <w:color w:val="auto"/>
          <w:kern w:val="2"/>
          <w:sz w:val="32"/>
          <w:szCs w:val="32"/>
          <w:lang w:val="en-US" w:eastAsia="zh-CN" w:bidi="ar-SA"/>
          <w:highlight w:val="auto"/>
        </w:rPr>
      </w:pPr>
      <w:r>
        <w:rPr>
          <w:rFonts w:eastAsia="仿宋_GB2312" w:cs="仿宋_GB2312" w:hint="eastAsia"/>
          <w:b/>
          <w:bCs/>
          <w:color w:val="auto"/>
          <w:kern w:val="2"/>
          <w:sz w:val="32"/>
          <w:szCs w:val="32"/>
          <w:lang w:val="en-US" w:eastAsia="zh-CN" w:bidi="ar-SA"/>
          <w:highlight w:val="auto"/>
        </w:rPr>
        <w:t>1.</w:t>
      </w:r>
      <w:r>
        <w:rPr>
          <w:rFonts w:ascii="Times New Roman" w:eastAsia="仿宋_GB2312" w:cs="仿宋_GB2312" w:hAnsi="Times New Roman" w:hint="eastAsia"/>
          <w:b/>
          <w:bCs/>
          <w:color w:val="auto"/>
          <w:kern w:val="2"/>
          <w:sz w:val="32"/>
          <w:szCs w:val="32"/>
          <w:lang w:val="en-US" w:eastAsia="zh-CN" w:bidi="ar-SA"/>
          <w:highlight w:val="auto"/>
        </w:rPr>
        <w:t>社会保障和就业</w:t>
      </w:r>
    </w:p>
    <w:p>
      <w:pPr>
        <w:keepNext w:val="0"/>
        <w:keepLines w:val="0"/>
        <w:widowControl/>
        <w:suppressLineNumbers w:val="0"/>
        <w:autoSpaceDE w:val="0"/>
        <w:autoSpaceDN/>
        <w:ind w:left="0" w:firstLineChars="200" w:firstLine="640"/>
        <w:jc w:val="left"/>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机关事业单位基本养老保险缴费（类）208（款）05（项）05:</w:t>
      </w:r>
      <w:r>
        <w:rPr>
          <w:rFonts w:ascii="Times New Roman" w:eastAsia="仿宋_GB2312" w:cs="仿宋_GB2312" w:hAnsi="Times New Roman" w:hint="eastAsia"/>
          <w:color w:val="auto"/>
          <w:kern w:val="2"/>
          <w:sz w:val="32"/>
          <w:szCs w:val="32"/>
          <w:lang w:val="en-US" w:eastAsia="zh-CN" w:bidi="ar-SA"/>
          <w:highlight w:val="auto"/>
        </w:rPr>
        <w:t xml:space="preserve"> 支出决算为</w:t>
      </w:r>
      <w:r>
        <w:rPr>
          <w:rFonts w:eastAsia="仿宋_GB2312" w:cs="仿宋_GB2312" w:hint="eastAsia"/>
          <w:color w:val="auto"/>
          <w:kern w:val="2"/>
          <w:sz w:val="32"/>
          <w:szCs w:val="32"/>
          <w:lang w:val="en-US" w:eastAsia="zh-CN" w:bidi="ar-SA"/>
          <w:highlight w:val="auto"/>
        </w:rPr>
        <w:t>123.61</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万元，完成预算100%，决算数等于预算数的主要原因是严格按照预算执行；</w:t>
      </w:r>
    </w:p>
    <w:p>
      <w:pPr>
        <w:keepNext w:val="0"/>
        <w:keepLines w:val="0"/>
        <w:widowControl/>
        <w:suppressLineNumbers w:val="0"/>
        <w:autoSpaceDE w:val="0"/>
        <w:autoSpaceDN/>
        <w:ind w:left="0" w:firstLineChars="200" w:firstLine="640"/>
        <w:jc w:val="left"/>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机关事业单位职业年金缴费（类）208（款）05（项）06</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62.15</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万元，完成预算100%，决算数等于预算数的主要原因是严格按照预算执行。</w:t>
      </w:r>
    </w:p>
    <w:p>
      <w:pPr>
        <w:keepNext w:val="0"/>
        <w:keepLines w:val="0"/>
        <w:widowControl/>
        <w:suppressLineNumbers w:val="0"/>
        <w:autoSpaceDE w:val="0"/>
        <w:autoSpaceDN/>
        <w:ind w:left="0" w:firstLineChars="200" w:firstLine="640"/>
        <w:jc w:val="left"/>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b/>
          <w:bCs/>
          <w:color w:val="auto"/>
          <w:kern w:val="2"/>
          <w:sz w:val="32"/>
          <w:szCs w:val="32"/>
          <w:lang w:val="en-US" w:eastAsia="zh-CN" w:bidi="ar-SA"/>
          <w:highlight w:val="auto"/>
        </w:rPr>
        <w:t>2.</w:t>
      </w:r>
      <w:r>
        <w:rPr>
          <w:rFonts w:ascii="Times New Roman" w:eastAsia="仿宋_GB2312" w:cs="仿宋_GB2312" w:hAnsi="Times New Roman" w:hint="eastAsia"/>
          <w:b/>
          <w:bCs/>
          <w:color w:val="auto"/>
          <w:kern w:val="2"/>
          <w:sz w:val="32"/>
          <w:szCs w:val="32"/>
          <w:lang w:val="en-US" w:eastAsia="zh-CN" w:bidi="ar-SA"/>
          <w:highlight w:val="auto"/>
        </w:rPr>
        <w:t>卫生健康</w:t>
      </w:r>
    </w:p>
    <w:p>
      <w:pPr>
        <w:keepNext w:val="0"/>
        <w:keepLines w:val="0"/>
        <w:widowControl/>
        <w:suppressLineNumbers w:val="0"/>
        <w:autoSpaceDE w:val="0"/>
        <w:autoSpaceDN/>
        <w:ind w:left="0" w:firstLineChars="200" w:firstLine="640"/>
        <w:jc w:val="left"/>
        <w:rPr>
          <w:rFonts w:ascii="宋体" w:eastAsia="宋体" w:cs="宋体" w:hint="eastAsia"/>
          <w:kern w:val="0"/>
          <w:sz w:val="32"/>
          <w:szCs w:val="32"/>
          <w:shd w:val="clear" w:color="auto" w:fill="FFFFFF"/>
          <w:lang w:eastAsia="zh-CN"/>
        </w:rPr>
      </w:pPr>
      <w:r>
        <w:rPr>
          <w:rStyle w:val="38"/>
          <w:rFonts w:ascii="宋体" w:eastAsia="宋体" w:cs="宋体" w:hint="eastAsia"/>
          <w:b/>
          <w:bCs/>
          <w:kern w:val="0"/>
          <w:sz w:val="32"/>
          <w:szCs w:val="32"/>
          <w:shd w:val="clear" w:color="auto" w:fill="FFFFFF"/>
        </w:rPr>
        <w:t>事业单位医疗（类）210（款）11（项）0</w:t>
      </w:r>
      <w:r>
        <w:rPr>
          <w:rStyle w:val="38"/>
          <w:rFonts w:ascii="Times New Roman" w:eastAsia="宋体" w:cs="Times New Roman" w:hAnsi="Times New Roman"/>
          <w:b/>
          <w:bCs/>
          <w:kern w:val="0"/>
          <w:sz w:val="32"/>
          <w:szCs w:val="32"/>
          <w:shd w:val="clear" w:color="auto" w:fill="FFFFFF"/>
        </w:rPr>
        <w:t>2</w:t>
      </w:r>
      <w:r>
        <w:rPr>
          <w:rStyle w:val="38"/>
          <w:rFonts w:ascii="宋体" w:eastAsia="宋体" w:cs="宋体" w:hint="eastAsia"/>
          <w:b/>
          <w:bCs/>
          <w:kern w:val="0"/>
          <w:sz w:val="32"/>
          <w:szCs w:val="32"/>
          <w:shd w:val="clear" w:color="auto" w:fill="FFFFFF"/>
        </w:rPr>
        <w:t>:</w:t>
      </w:r>
      <w:r>
        <w:rPr>
          <w:rFonts w:ascii="宋体" w:eastAsia="宋体" w:cs="宋体" w:hint="eastAsia"/>
          <w:kern w:val="0"/>
          <w:sz w:val="32"/>
          <w:szCs w:val="32"/>
          <w:shd w:val="clear" w:color="auto" w:fill="FFFFFF"/>
        </w:rPr>
        <w:t>支出决算为</w:t>
      </w:r>
      <w:r>
        <w:rPr>
          <w:rFonts w:ascii="宋体" w:cs="宋体" w:hint="eastAsia"/>
          <w:kern w:val="0"/>
          <w:sz w:val="32"/>
          <w:szCs w:val="32"/>
          <w:shd w:val="clear" w:color="auto" w:fill="FFFFFF"/>
          <w:lang w:val="en-US" w:eastAsia="zh-CN"/>
        </w:rPr>
        <w:t>86.76</w:t>
      </w:r>
      <w:r>
        <w:rPr>
          <w:rFonts w:ascii="宋体" w:eastAsia="宋体" w:cs="宋体" w:hint="eastAsia"/>
          <w:kern w:val="0"/>
          <w:sz w:val="32"/>
          <w:szCs w:val="32"/>
          <w:shd w:val="clear" w:color="auto" w:fill="FFFFFF"/>
        </w:rPr>
        <w:t>万元，完成预算100%，决算数等于预算数的主要原因是严格按照预算执行</w:t>
      </w:r>
      <w:r>
        <w:rPr>
          <w:rFonts w:ascii="宋体" w:cs="宋体" w:hint="eastAsia"/>
          <w:kern w:val="0"/>
          <w:sz w:val="32"/>
          <w:szCs w:val="32"/>
          <w:shd w:val="clear" w:color="auto" w:fill="FFFFFF"/>
          <w:lang w:eastAsia="zh-CN"/>
        </w:rPr>
        <w:t>。</w:t>
      </w:r>
    </w:p>
    <w:p>
      <w:pPr>
        <w:keepNext w:val="0"/>
        <w:keepLines w:val="0"/>
        <w:widowControl/>
        <w:suppressLineNumbers w:val="0"/>
        <w:autoSpaceDE w:val="0"/>
        <w:autoSpaceDN/>
        <w:ind w:left="0" w:firstLineChars="200" w:firstLine="640"/>
        <w:jc w:val="left"/>
        <w:rPr>
          <w:rFonts w:eastAsia="仿宋_GB2312" w:cs="仿宋_GB2312" w:hint="eastAsia"/>
          <w:b/>
          <w:bCs/>
          <w:color w:val="auto"/>
          <w:kern w:val="2"/>
          <w:sz w:val="32"/>
          <w:szCs w:val="32"/>
          <w:lang w:val="en-US" w:eastAsia="zh-CN" w:bidi="ar-SA"/>
          <w:highlight w:val="auto"/>
        </w:rPr>
      </w:pPr>
      <w:r>
        <w:rPr>
          <w:rFonts w:eastAsia="仿宋_GB2312" w:cs="仿宋_GB2312" w:hint="eastAsia"/>
          <w:b/>
          <w:bCs/>
          <w:color w:val="auto"/>
          <w:kern w:val="2"/>
          <w:sz w:val="32"/>
          <w:szCs w:val="32"/>
          <w:lang w:val="en-US" w:eastAsia="zh-CN" w:bidi="ar-SA"/>
          <w:highlight w:val="auto"/>
        </w:rPr>
        <w:t>3.住房保障支出</w:t>
      </w:r>
    </w:p>
    <w:p>
      <w:pPr>
        <w:keepNext w:val="0"/>
        <w:keepLines w:val="0"/>
        <w:widowControl/>
        <w:suppressLineNumbers w:val="0"/>
        <w:autoSpaceDE w:val="0"/>
        <w:autoSpaceDN/>
        <w:ind w:left="0" w:firstLineChars="200" w:firstLine="640"/>
        <w:jc w:val="left"/>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住房公积金（类）221（款）02（项）01：</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110.35</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万元，完成预算100%，决算数等于预算数的主要原因是严格按照预算执行。</w:t>
      </w:r>
    </w:p>
    <w:p>
      <w:pPr>
        <w:keepNext w:val="0"/>
        <w:keepLines w:val="0"/>
        <w:widowControl/>
        <w:suppressLineNumbers w:val="0"/>
        <w:autoSpaceDE w:val="0"/>
        <w:autoSpaceDN/>
        <w:ind w:left="0" w:firstLineChars="200" w:firstLine="640"/>
        <w:jc w:val="left"/>
        <w:rPr>
          <w:rFonts w:hint="eastAsia"/>
          <w:lang w:val="en-US" w:eastAsia="zh-CN"/>
        </w:rPr>
      </w:pPr>
      <w:r>
        <w:rPr>
          <w:rFonts w:eastAsia="仿宋_GB2312" w:cs="仿宋_GB2312" w:hint="eastAsia"/>
          <w:b/>
          <w:bCs/>
          <w:color w:val="auto"/>
          <w:kern w:val="2"/>
          <w:sz w:val="32"/>
          <w:szCs w:val="32"/>
          <w:lang w:val="en-US" w:eastAsia="zh-CN" w:bidi="ar-SA"/>
          <w:highlight w:val="auto"/>
        </w:rPr>
        <w:t>4.农林水支出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事业机构（类）213（款）02（项）04：</w:t>
      </w:r>
      <w:r>
        <w:rPr>
          <w:rFonts w:ascii="Times New Roman" w:eastAsia="仿宋_GB2312" w:cs="仿宋_GB2312" w:hAnsi="Times New Roman" w:hint="eastAsia"/>
          <w:color w:val="auto"/>
          <w:kern w:val="2"/>
          <w:sz w:val="32"/>
          <w:szCs w:val="32"/>
          <w:lang w:val="en-US" w:eastAsia="zh-CN" w:bidi="ar-SA"/>
          <w:highlight w:val="auto"/>
        </w:rPr>
        <w:t>支出决算为</w:t>
      </w:r>
      <w:r>
        <w:rPr>
          <w:rFonts w:eastAsia="仿宋_GB2312" w:cs="仿宋_GB2312" w:hint="eastAsia"/>
          <w:color w:val="auto"/>
          <w:kern w:val="2"/>
          <w:sz w:val="32"/>
          <w:szCs w:val="32"/>
          <w:lang w:val="en-US" w:eastAsia="zh-CN" w:bidi="ar-SA"/>
          <w:highlight w:val="auto"/>
        </w:rPr>
        <w:t>969.14</w:t>
      </w:r>
      <w:r>
        <w:rPr>
          <w:rFonts w:ascii="Times New Roman" w:eastAsia="仿宋_GB2312" w:cs="仿宋_GB2312" w:hAnsi="Times New Roman" w:hint="eastAsia"/>
          <w:color w:val="auto"/>
          <w:kern w:val="2"/>
          <w:sz w:val="32"/>
          <w:szCs w:val="32"/>
          <w:lang w:val="en-US" w:eastAsia="zh-CN" w:bidi="ar-SA"/>
          <w:highlight w:val="auto"/>
        </w:rPr>
        <w:t>万元，完成预算100%，决算数等于预算数的主要原因是严格按照预算执行。</w:t>
      </w:r>
    </w:p>
    <w:p>
      <w:pPr>
        <w:tabs>
          <w:tab w:val="right" w:pos="8306"/>
        </w:tabs>
        <w:spacing w:line="600" w:lineRule="exact"/>
        <w:ind w:firstLine="640"/>
        <w:outlineLvl w:val="1"/>
        <w:rPr>
          <w:rStyle w:val="2Char"/>
          <w:rFonts w:ascii="Times New Roman" w:hAnsi="Times New Roman"/>
          <w:color w:val="auto"/>
          <w:highlight w:val="auto"/>
        </w:rPr>
      </w:pPr>
      <w:bookmarkStart w:id="35" w:name="_Toc15396608"/>
      <w:bookmarkStart w:id="36" w:name="_Toc15377214"/>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35"/>
      <w:bookmarkEnd w:id="36"/>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仿宋_GB2312" w:eastAsia="仿宋_GB2312" w:cs="仿宋_GB2312" w:hint="eastAsia"/>
          <w:sz w:val="32"/>
          <w:szCs w:val="32"/>
        </w:rPr>
        <w:t>1352.01</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rPr>
        <w:t>1299.83</w:t>
      </w:r>
      <w:r>
        <w:rPr>
          <w:rFonts w:ascii="Times New Roman" w:eastAsia="仿宋_GB2312" w:cs="仿宋_GB2312" w:hAnsi="Times New Roman" w:hint="eastAsia"/>
          <w:color w:val="auto"/>
          <w:kern w:val="2"/>
          <w:sz w:val="32"/>
          <w:szCs w:val="32"/>
          <w:lang w:val="en-US" w:eastAsia="zh-CN" w:bidi="ar-SA"/>
          <w:highlight w:val="auto"/>
        </w:rPr>
        <w:t>万元，主要包括：基本工资、津贴补贴、绩效工资、机关事业单位基本养老保险缴费、职业年金缴费、职工基本医疗保险缴费</w:t>
      </w:r>
      <w:r>
        <w:rPr>
          <w:rFonts w:eastAsia="仿宋_GB2312" w:cs="仿宋_GB2312" w:hint="eastAsia"/>
          <w:color w:val="auto"/>
          <w:kern w:val="2"/>
          <w:sz w:val="32"/>
          <w:szCs w:val="32"/>
          <w:lang w:val="en-US" w:eastAsia="zh-CN" w:bidi="ar-SA"/>
          <w:highlight w:val="auto"/>
        </w:rPr>
        <w:t>、公务员医疗补助缴费、</w:t>
      </w:r>
      <w:r>
        <w:rPr>
          <w:rFonts w:ascii="Times New Roman" w:eastAsia="仿宋_GB2312" w:cs="仿宋_GB2312" w:hAnsi="Times New Roman" w:hint="eastAsia"/>
          <w:color w:val="auto"/>
          <w:kern w:val="2"/>
          <w:sz w:val="32"/>
          <w:szCs w:val="32"/>
          <w:lang w:val="en-US" w:eastAsia="zh-CN" w:bidi="ar-SA"/>
          <w:highlight w:val="auto"/>
        </w:rPr>
        <w:t>其他社会保障缴费、医疗费、住房公积金。</w:t>
        <w:br/>
        <w:t>　　公用经费</w:t>
      </w:r>
      <w:r>
        <w:rPr>
          <w:rFonts w:ascii="仿宋_GB2312" w:eastAsia="仿宋_GB2312" w:cs="仿宋_GB2312" w:hint="eastAsia"/>
          <w:sz w:val="32"/>
          <w:szCs w:val="32"/>
        </w:rPr>
        <w:t>52.18</w:t>
      </w:r>
      <w:r>
        <w:rPr>
          <w:rFonts w:ascii="Times New Roman" w:eastAsia="仿宋_GB2312" w:cs="仿宋_GB2312" w:hAnsi="Times New Roman" w:hint="eastAsia"/>
          <w:color w:val="auto"/>
          <w:kern w:val="2"/>
          <w:sz w:val="32"/>
          <w:szCs w:val="32"/>
          <w:lang w:val="en-US" w:eastAsia="zh-CN" w:bidi="ar-SA"/>
          <w:highlight w:val="auto"/>
        </w:rPr>
        <w:t>万元，主要包括：办公费、电费、差旅费、公务接待费、工会经费。</w:t>
      </w:r>
    </w:p>
    <w:p>
      <w:pPr>
        <w:spacing w:line="600" w:lineRule="exact"/>
        <w:ind w:firstLine="640"/>
        <w:outlineLvl w:val="1"/>
        <w:rPr>
          <w:rStyle w:val="2Char"/>
          <w:rFonts w:ascii="Times New Roman" w:eastAsia="黑体" w:hAnsi="Times New Roman"/>
          <w:b w:val="0"/>
          <w:color w:val="auto"/>
          <w:highlight w:val="auto"/>
        </w:rPr>
      </w:pPr>
      <w:bookmarkStart w:id="37" w:name="_Toc15377215"/>
      <w:bookmarkStart w:id="38" w:name="_Toc15396609"/>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7"/>
      <w:bookmarkEnd w:id="38"/>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9"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39"/>
    </w:p>
    <w:p>
      <w:pPr>
        <w:keepNext w:val="0"/>
        <w:keepLines w:val="0"/>
        <w:pageBreakBefore w:val="0"/>
        <w:widowControl/>
        <w:suppressLineNumbers w:val="0"/>
        <w:suppressAutoHyphens w:val="0"/>
        <w:kinsoku/>
        <w:wordWrap/>
        <w:overflowPunct/>
        <w:topLinePunct w:val="0"/>
        <w:autoSpaceDE/>
        <w:autoSpaceDN/>
        <w:spacing w:before="0" w:beforeAutospacing="0"/>
        <w:ind w:left="0" w:firstLineChars="200" w:firstLine="640"/>
        <w:rPr>
          <w:rFonts w:ascii="宋体" w:eastAsia="宋体"/>
          <w:b/>
          <w:bCs/>
          <w:color w:val="FF0000"/>
          <w:kern w:val="0"/>
          <w:sz w:val="32"/>
          <w:szCs w:val="32"/>
          <w:lang w:val="en-US"/>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%，较上年度减少</w:t>
      </w:r>
      <w:r>
        <w:rPr>
          <w:rFonts w:eastAsia="仿宋_GB2312" w:cs="仿宋_GB2312" w:hint="eastAsia"/>
          <w:color w:val="auto"/>
          <w:kern w:val="2"/>
          <w:sz w:val="32"/>
          <w:szCs w:val="32"/>
          <w:lang w:val="en-US" w:eastAsia="zh-CN" w:bidi="ar-SA"/>
          <w:highlight w:val="auto"/>
        </w:rPr>
        <w:t>1.99</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主要原因是无公务接待工作。</w:t>
      </w:r>
    </w:p>
    <w:p>
      <w:pPr>
        <w:spacing w:line="600" w:lineRule="exact"/>
        <w:ind w:firstLine="640"/>
        <w:rPr>
          <w:rFonts w:ascii="Times New Roman" w:eastAsia="仿宋_GB2312" w:cs="仿宋_GB2312" w:hAnsi="Times New Roman" w:hint="eastAsia"/>
          <w:b/>
          <w:bCs/>
          <w:color w:val="FF0000"/>
          <w:kern w:val="2"/>
          <w:sz w:val="32"/>
          <w:szCs w:val="32"/>
          <w:lang w:val="en-US" w:eastAsia="zh-CN" w:bidi="ar-SA"/>
          <w:highlight w:val="auto"/>
        </w:rPr>
      </w:pP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0"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4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%。具体情况如下：</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（图7：财政拨款“三公”经费支出结构）（饼状图）</w:t>
      </w:r>
    </w:p>
    <w:p>
      <w:pPr>
        <w:pStyle w:val="25"/>
        <w:rPr>
          <w:rFonts w:hint="eastAsia"/>
          <w:lang w:val="en-US" w:eastAsia="zh-CN"/>
        </w:rPr>
      </w:pPr>
      <w:r>
        <w:rPr>
          <w:rFonts w:cs="Times New Roman"/>
        </w:rPr>
        <w:drawing>
          <wp:inline distT="0" distB="0" distL="114300" distR="114300">
            <wp:extent cx="4359910" cy="1870075"/>
            <wp:effectExtent l="0" t="0" r="0" b="0"/>
            <wp:docPr id="27" name="图表 3"/>
            <wp:cNvGraphicFramePr>
              <a:graphicFrameLocks noChangeAspect="0"/>
            </wp:cNvGraphicFramePr>
            <a:graphic>
              <a:graphicData uri="http://schemas.openxmlformats.org/drawingml/2006/picture">
                <pic:pic>
                  <pic:nvPicPr>
                    <pic:cNvPr id="29" name="图表 3 29"/>
                    <pic:cNvPicPr/>
                  </pic:nvPicPr>
                  <pic:blipFill>
                    <a:blip r:embed="rId13"/>
                    <a:stretch>
                      <a:fillRect/>
                    </a:stretch>
                  </pic:blipFill>
                  <pic:spPr>
                    <a:xfrm rot="0">
                      <a:off x="0" y="0"/>
                      <a:ext cx="4359910" cy="1870075"/>
                    </a:xfrm>
                    <a:prstGeom prst="rect"/>
                    <a:ln w="9525" cmpd="sng" cap="flat">
                      <a:solidFill>
                        <a:srgbClr val="000000"/>
                      </a:solidFill>
                      <a:prstDash val="solid"/>
                      <a:miter/>
                    </a:ln>
                  </pic:spPr>
                </pic:pic>
              </a:graphicData>
            </a:graphic>
          </wp:inline>
        </w:drawing>
      </w:r>
    </w:p>
    <w:p>
      <w:pPr>
        <w:spacing w:line="600" w:lineRule="exact"/>
        <w:ind w:firstLine="640"/>
        <w:rPr>
          <w:rFonts w:ascii="仿宋_GB2312" w:eastAsia="仿宋_GB2312"/>
          <w:b/>
          <w:sz w:val="32"/>
          <w:szCs w:val="32"/>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仿宋_GB2312" w:eastAsia="仿宋_GB2312" w:cs="仿宋_GB2312" w:hint="eastAsia"/>
          <w:sz w:val="32"/>
          <w:szCs w:val="32"/>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人。因公出国（境）支出决算比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hint="eastAsia"/>
          <w:sz w:val="32"/>
          <w:szCs w:val="32"/>
        </w:rPr>
        <w:t>主要原因是</w:t>
      </w:r>
      <w:r>
        <w:rPr>
          <w:rFonts w:ascii="仿宋_GB2312" w:eastAsia="仿宋_GB2312" w:hint="eastAsia"/>
          <w:sz w:val="32"/>
          <w:szCs w:val="32"/>
          <w:lang w:eastAsia="zh-CN"/>
        </w:rPr>
        <w:t>本单位不存</w:t>
      </w:r>
      <w:r>
        <w:rPr>
          <w:rFonts w:ascii="仿宋_GB2312" w:eastAsia="仿宋_GB2312" w:cs="Times New Roman" w:hint="eastAsia"/>
          <w:sz w:val="32"/>
          <w:szCs w:val="32"/>
          <w:lang w:eastAsia="zh-CN"/>
        </w:rPr>
        <w:t>在</w:t>
      </w:r>
      <w:r>
        <w:rPr>
          <w:rFonts w:ascii="仿宋_GB2312" w:eastAsia="仿宋_GB2312" w:cs="Times New Roman" w:hint="eastAsia"/>
          <w:sz w:val="32"/>
          <w:szCs w:val="32"/>
        </w:rPr>
        <w:t>因公出国（境）</w:t>
      </w:r>
      <w:r>
        <w:rPr>
          <w:rFonts w:ascii="仿宋_GB2312" w:eastAsia="仿宋_GB2312" w:cs="Times New Roman" w:hint="eastAsia"/>
          <w:sz w:val="32"/>
          <w:szCs w:val="32"/>
          <w:lang w:eastAsia="zh-CN"/>
        </w:rPr>
        <w:t>情况</w:t>
      </w:r>
      <w:r>
        <w:rPr>
          <w:rFonts w:ascii="仿宋_GB2312" w:eastAsia="仿宋_GB2312" w:hint="eastAsia"/>
          <w:sz w:val="32"/>
          <w:szCs w:val="32"/>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w:t>
      </w:r>
      <w:r>
        <w:rPr>
          <w:rFonts w:ascii="Times New Roman" w:eastAsia="仿宋_GB2312" w:cs="仿宋_GB2312" w:hAnsi="Times New Roman" w:hint="eastAsia"/>
          <w:color w:val="auto"/>
          <w:kern w:val="2"/>
          <w:sz w:val="32"/>
          <w:szCs w:val="32"/>
          <w:lang w:val="en-US" w:eastAsia="zh-CN" w:bidi="ar-SA"/>
          <w:highlight w:val="auto"/>
        </w:rPr>
        <w:t>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无</w:t>
      </w:r>
      <w:r>
        <w:rPr>
          <w:rFonts w:ascii="Times New Roman" w:eastAsia="仿宋_GB2312" w:cs="仿宋_GB2312" w:hAnsi="Times New Roman" w:hint="eastAsia"/>
          <w:color w:val="auto"/>
          <w:kern w:val="2"/>
          <w:sz w:val="32"/>
          <w:szCs w:val="32"/>
          <w:lang w:val="en-US" w:eastAsia="zh-CN" w:bidi="ar-SA"/>
          <w:highlight w:val="auto"/>
        </w:rPr>
        <w:t>公务用车购置及运行维护费</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辆、金额</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辆，其中：轿车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辆、越野车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辆、载客汽车</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公务用车运行维护费支出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公务接待费支出决算比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年度减少</w:t>
      </w:r>
      <w:r>
        <w:rPr>
          <w:rFonts w:eastAsia="仿宋_GB2312" w:cs="仿宋_GB2312" w:hint="eastAsia"/>
          <w:color w:val="auto"/>
          <w:kern w:val="2"/>
          <w:sz w:val="32"/>
          <w:szCs w:val="32"/>
          <w:lang w:val="en-US" w:eastAsia="zh-CN" w:bidi="ar-SA"/>
          <w:highlight w:val="auto"/>
        </w:rPr>
        <w:t>1.99</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hint="eastAsia"/>
          <w:color w:val="auto"/>
          <w:kern w:val="2"/>
          <w:sz w:val="32"/>
          <w:szCs w:val="32"/>
          <w:lang w:val="en-US" w:eastAsia="zh-CN" w:bidi="ar-SA"/>
          <w:highlight w:val="auto"/>
        </w:rPr>
        <w:t>100</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hint="eastAsia"/>
          <w:color w:val="auto"/>
          <w:kern w:val="2"/>
          <w:sz w:val="32"/>
          <w:szCs w:val="32"/>
          <w:lang w:val="en-US" w:eastAsia="zh-CN" w:bidi="ar-SA"/>
          <w:highlight w:val="auto"/>
        </w:rPr>
        <w:t>无公务接待工作</w:t>
      </w:r>
      <w:r>
        <w:rPr>
          <w:rFonts w:ascii="Times New Roman" w:eastAsia="仿宋_GB2312" w:cs="仿宋_GB2312" w:hAnsi="Times New Roman" w:hint="eastAsia"/>
          <w:color w:val="auto"/>
          <w:kern w:val="2"/>
          <w:sz w:val="32"/>
          <w:szCs w:val="32"/>
          <w:lang w:val="en-US" w:eastAsia="zh-CN" w:bidi="ar-SA"/>
          <w:highlight w:val="auto"/>
        </w:rPr>
        <w:t>。其中：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国内公务接待支出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万元，国内公务接待</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批次，</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人次（不包括陪同人员）。外事接待支出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w:t>
      </w:r>
    </w:p>
    <w:p>
      <w:pPr>
        <w:spacing w:line="600" w:lineRule="exact"/>
        <w:ind w:firstLineChars="200" w:firstLine="640"/>
        <w:outlineLvl w:val="1"/>
        <w:rPr>
          <w:rStyle w:val="2Char"/>
          <w:rFonts w:ascii="Times New Roman" w:eastAsia="黑体" w:hAnsi="Times New Roman"/>
          <w:color w:val="auto"/>
          <w:highlight w:val="auto"/>
        </w:rPr>
      </w:pPr>
      <w:bookmarkStart w:id="41" w:name="_Toc15377218"/>
      <w:bookmarkStart w:id="42" w:name="_Toc15396610"/>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41"/>
      <w:bookmarkEnd w:id="4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年度相比，政府性基金预算财政拨款支出增加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left="630"/>
        <w:outlineLvl w:val="1"/>
        <w:rPr>
          <w:rStyle w:val="2Char"/>
          <w:rFonts w:ascii="Times New Roman" w:eastAsia="黑体" w:hAnsi="Times New Roman"/>
          <w:b w:val="0"/>
          <w:color w:val="auto"/>
          <w:highlight w:val="auto"/>
        </w:rPr>
      </w:pPr>
      <w:bookmarkStart w:id="43" w:name="_Toc15396611"/>
      <w:bookmarkStart w:id="44" w:name="_Toc15377219"/>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43"/>
      <w:bookmarkEnd w:id="4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年度相比，国有资本经营预算财政拨款支出增加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left="630"/>
        <w:outlineLvl w:val="1"/>
        <w:rPr>
          <w:rStyle w:val="2Char"/>
          <w:rFonts w:ascii="Times New Roman" w:eastAsia="黑体" w:hAnsi="Times New Roman" w:hint="eastAsia"/>
          <w:b w:val="0"/>
          <w:color w:val="auto"/>
          <w:highlight w:val="auto"/>
        </w:rPr>
      </w:pPr>
      <w:bookmarkStart w:id="45" w:name="_Toc15396612"/>
      <w:bookmarkStart w:id="46" w:name="_Toc15377221"/>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45"/>
      <w:bookmarkEnd w:id="46"/>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7" w:name="_Toc15377222"/>
      <w:r>
        <w:rPr>
          <w:rFonts w:ascii="Times New Roman" w:eastAsia="楷体_GB2312" w:cs="楷体_GB2312" w:hAnsi="Times New Roman" w:hint="eastAsia"/>
          <w:b/>
          <w:color w:val="auto"/>
          <w:sz w:val="32"/>
          <w:szCs w:val="32"/>
          <w:highlight w:val="auto"/>
        </w:rPr>
        <w:t>（一）机关运行经费支出情况</w:t>
      </w:r>
      <w:bookmarkEnd w:id="47"/>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阿坝州若尔盖县巴西片区林业工作总站</w:t>
      </w:r>
      <w:r>
        <w:rPr>
          <w:rFonts w:ascii="Times New Roman" w:eastAsia="仿宋_GB2312" w:cs="仿宋_GB2312" w:hAnsi="Times New Roman" w:hint="eastAsia"/>
          <w:color w:val="auto"/>
          <w:kern w:val="2"/>
          <w:sz w:val="32"/>
          <w:szCs w:val="32"/>
          <w:lang w:val="en-US" w:eastAsia="zh-CN" w:bidi="ar-SA"/>
          <w:highlight w:val="auto"/>
        </w:rPr>
        <w:t>机关运行经费支出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万元，比</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年度增加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万元，增长</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8" w:name="_Toc15377223"/>
      <w:r>
        <w:rPr>
          <w:rFonts w:ascii="Times New Roman" w:eastAsia="楷体_GB2312" w:cs="楷体_GB2312" w:hAnsi="Times New Roman" w:hint="eastAsia"/>
          <w:b/>
          <w:color w:val="auto"/>
          <w:sz w:val="32"/>
          <w:szCs w:val="32"/>
          <w:highlight w:val="auto"/>
        </w:rPr>
        <w:t>（二）政府采购支出情况</w:t>
      </w:r>
      <w:bookmarkEnd w:id="4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阿坝州若尔盖县巴西片区林业工作总站</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万元，其中：政府采购货物支出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万元、政府采购工程支出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万元、政府采购服务支出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万元。授予中小企业合同金额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%，其中：授予小微企业合同金额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万元，占政府采购支出总额的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9" w:name="_Toc15377224"/>
      <w:r>
        <w:rPr>
          <w:rFonts w:ascii="Times New Roman" w:eastAsia="楷体_GB2312" w:cs="楷体_GB2312" w:hAnsi="Times New Roman" w:hint="eastAsia"/>
          <w:b/>
          <w:color w:val="auto"/>
          <w:sz w:val="32"/>
          <w:szCs w:val="32"/>
          <w:highlight w:val="auto"/>
        </w:rPr>
        <w:t>（三）国有资产占有使用情况</w:t>
      </w:r>
      <w:bookmarkEnd w:id="49"/>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ascii="仿宋_GB2312" w:eastAsia="仿宋_GB2312" w:cs="仿宋_GB2312" w:hint="eastAsia"/>
          <w:sz w:val="32"/>
          <w:szCs w:val="32"/>
        </w:rPr>
        <w:t>阿坝州若尔盖县巴西片区林业工作总站</w:t>
      </w:r>
      <w:r>
        <w:rPr>
          <w:rFonts w:ascii="Times New Roman" w:eastAsia="仿宋_GB2312" w:cs="仿宋_GB2312" w:hAnsi="Times New Roman" w:hint="eastAsia"/>
          <w:color w:val="auto"/>
          <w:kern w:val="2"/>
          <w:sz w:val="32"/>
          <w:szCs w:val="32"/>
          <w:lang w:val="en-US" w:eastAsia="zh-CN" w:bidi="ar-SA"/>
          <w:highlight w:val="auto"/>
        </w:rPr>
        <w:t>共有车辆</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辆，其中：副部（省）级及以上领导用车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辆、主要</w:t>
      </w:r>
      <w:r>
        <w:rPr>
          <w:rFonts w:eastAsia="仿宋_GB2312" w:cs="仿宋_GB2312" w:hint="eastAsia"/>
          <w:color w:val="auto"/>
          <w:kern w:val="2"/>
          <w:sz w:val="32"/>
          <w:szCs w:val="32"/>
          <w:lang w:val="en-US" w:eastAsia="zh-CN" w:bidi="ar-SA"/>
          <w:highlight w:val="auto"/>
        </w:rPr>
        <w:t>负责人</w:t>
      </w:r>
      <w:r>
        <w:rPr>
          <w:rFonts w:ascii="Times New Roman" w:eastAsia="仿宋_GB2312" w:cs="仿宋_GB2312" w:hAnsi="Times New Roman" w:hint="eastAsia"/>
          <w:color w:val="auto"/>
          <w:kern w:val="2"/>
          <w:sz w:val="32"/>
          <w:szCs w:val="32"/>
          <w:lang w:val="en-US" w:eastAsia="zh-CN" w:bidi="ar-SA"/>
          <w:highlight w:val="auto"/>
        </w:rPr>
        <w:t>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辆、机要通信用车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辆、应急保障用车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辆、执法执勤用车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辆、特种专业技术用车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辆、离退休干部服务用车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辆、其他用车</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单价100万元</w:t>
      </w:r>
      <w:r>
        <w:rPr>
          <w:rFonts w:eastAsia="仿宋_GB2312" w:cs="仿宋_GB2312" w:hint="eastAsia"/>
          <w:color w:val="auto"/>
          <w:kern w:val="2"/>
          <w:sz w:val="32"/>
          <w:szCs w:val="32"/>
          <w:lang w:val="en-US" w:eastAsia="zh-CN" w:bidi="ar-SA"/>
          <w:highlight w:val="auto"/>
        </w:rPr>
        <w:t>（含）</w:t>
      </w:r>
      <w:r>
        <w:rPr>
          <w:rFonts w:ascii="Times New Roman" w:eastAsia="仿宋_GB2312" w:cs="仿宋_GB2312" w:hAnsi="Times New Roman" w:hint="eastAsia"/>
          <w:color w:val="auto"/>
          <w:kern w:val="2"/>
          <w:sz w:val="32"/>
          <w:szCs w:val="32"/>
          <w:lang w:val="en-US" w:eastAsia="zh-CN" w:bidi="ar-SA"/>
          <w:highlight w:val="auto"/>
        </w:rPr>
        <w:t>以上设备（不含车辆）</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台（套）。</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keepNext w:val="0"/>
        <w:keepLines w:val="0"/>
        <w:pageBreakBefore w:val="0"/>
        <w:widowControl/>
        <w:suppressLineNumbers w:val="0"/>
        <w:suppressAutoHyphens w:val="0"/>
        <w:kinsoku/>
        <w:wordWrap/>
        <w:overflowPunct/>
        <w:topLinePunct w:val="0"/>
        <w:autoSpaceDE/>
        <w:autoSpaceDN/>
        <w:spacing w:before="0" w:beforeAutospacing="0"/>
        <w:ind w:left="0" w:firstLineChars="200" w:firstLine="640"/>
        <w:jc w:val="left"/>
        <w:rPr>
          <w:rFonts w:ascii="仿宋_GB2312" w:eastAsia="仿宋_GB2312" w:cs="Times New Roman" w:hint="eastAsia"/>
          <w:sz w:val="32"/>
          <w:szCs w:val="32"/>
        </w:rPr>
      </w:pPr>
      <w:r>
        <w:rPr>
          <w:rFonts w:ascii="仿宋_GB2312" w:eastAsia="仿宋_GB2312" w:cs="Times New Roman" w:hint="eastAsia"/>
          <w:sz w:val="32"/>
          <w:szCs w:val="32"/>
        </w:rPr>
        <w:t>根据预算绩效管理要求，本部门按要求对202</w:t>
      </w:r>
      <w:r>
        <w:rPr>
          <w:rFonts w:ascii="仿宋_GB2312" w:eastAsia="仿宋_GB2312" w:cs="Times New Roman" w:hint="eastAsia"/>
          <w:sz w:val="32"/>
          <w:szCs w:val="32"/>
          <w:lang w:val="en-US" w:eastAsia="zh-CN"/>
        </w:rPr>
        <w:t>5</w:t>
      </w:r>
      <w:r>
        <w:rPr>
          <w:rFonts w:ascii="仿宋_GB2312" w:eastAsia="仿宋_GB2312" w:cs="Times New Roman" w:hint="eastAsia"/>
          <w:sz w:val="32"/>
          <w:szCs w:val="32"/>
        </w:rPr>
        <w:t>年部门整体支出开展绩效自评，从评价情况来看：我局严格按照《中华人民共和国预算法》规定，坚持先有预算再有支出的原则，组织财务人员进行预决的编制，及时上报相关报表。部门预算经批复后，跟踪预算执行进度，结合单位业务情况，及时上报相关的用款计划，待财政审核通过后，严格按计划执行，资金支付依据和开支标准合法合规。我局严格执行中央八项规定，加强“三公”经费管理，厉行节约，严格控制公务接待，加强公务用车管理。执行情况良好。</w:t>
      </w:r>
    </w:p>
    <w:p>
      <w:pPr>
        <w:keepNext w:val="0"/>
        <w:keepLines w:val="0"/>
        <w:pageBreakBefore w:val="0"/>
        <w:widowControl/>
        <w:suppressLineNumbers w:val="0"/>
        <w:suppressAutoHyphens w:val="0"/>
        <w:kinsoku/>
        <w:wordWrap/>
        <w:overflowPunct/>
        <w:topLinePunct w:val="0"/>
        <w:autoSpaceDE/>
        <w:autoSpaceDN/>
        <w:spacing w:before="0" w:beforeAutospacing="0"/>
        <w:ind w:left="0" w:firstLineChars="200" w:firstLine="640"/>
        <w:jc w:val="left"/>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Times New Roman" w:hint="eastAsia"/>
          <w:sz w:val="32"/>
          <w:szCs w:val="32"/>
        </w:rPr>
        <w:t>根据预算绩效管理要求，本部门在202</w:t>
      </w:r>
      <w:r>
        <w:rPr>
          <w:rFonts w:ascii="仿宋_GB2312" w:eastAsia="仿宋_GB2312" w:cs="Times New Roman" w:hint="eastAsia"/>
          <w:sz w:val="32"/>
          <w:szCs w:val="32"/>
          <w:lang w:val="en-US" w:eastAsia="zh-CN"/>
        </w:rPr>
        <w:t>5</w:t>
      </w:r>
      <w:r>
        <w:rPr>
          <w:rFonts w:ascii="仿宋_GB2312" w:eastAsia="仿宋_GB2312" w:cs="Times New Roman" w:hint="eastAsia"/>
          <w:sz w:val="32"/>
          <w:szCs w:val="32"/>
        </w:rPr>
        <w:t>年度预算编制阶段，无项目开展了预算事前绩效评估。详见第四部分附件。</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jc w:val="center"/>
        <w:outlineLvl w:val="0"/>
        <w:rPr>
          <w:rFonts w:ascii="Times New Roman" w:eastAsia="黑体" w:hAnsi="Times New Roman" w:hint="eastAsia"/>
          <w:color w:val="auto"/>
          <w:sz w:val="44"/>
          <w:szCs w:val="44"/>
          <w:highlight w:val="auto"/>
        </w:rPr>
      </w:pPr>
      <w:bookmarkStart w:id="50" w:name="_Toc15377225"/>
      <w:bookmarkStart w:id="51" w:name="_Toc15396613"/>
    </w:p>
    <w:p>
      <w:pPr>
        <w:spacing w:line="600" w:lineRule="exact"/>
        <w:jc w:val="center"/>
        <w:outlineLvl w:val="0"/>
        <w:rPr>
          <w:rFonts w:ascii="Times New Roman" w:eastAsia="黑体" w:hAnsi="Times New Roman" w:hint="eastAsia"/>
          <w:color w:val="auto"/>
          <w:sz w:val="44"/>
          <w:szCs w:val="44"/>
          <w:highlight w:val="auto"/>
        </w:rPr>
      </w:pPr>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50"/>
      <w:bookmarkEnd w:id="51"/>
    </w:p>
    <w:p>
      <w:pPr>
        <w:spacing w:line="600" w:lineRule="exact"/>
        <w:jc w:val="left"/>
        <w:rPr>
          <w:rFonts w:ascii="Times New Roman" w:hAnsi="Times New Roman"/>
          <w:b/>
          <w:color w:val="auto"/>
          <w:sz w:val="44"/>
          <w:szCs w:val="44"/>
          <w:highlight w:val="auto"/>
        </w:rPr>
      </w:pP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2.</w:t>
      </w:r>
      <w:r>
        <w:rPr>
          <w:rFonts w:ascii="仿宋_GB2312" w:eastAsia="仿宋_GB2312" w:hint="eastAsia"/>
          <w:color w:val="auto"/>
          <w:sz w:val="32"/>
          <w:szCs w:val="32"/>
        </w:rPr>
        <w:t>事业收入：指事业单位开展专业业务活动及辅助活动取得的收入。</w:t>
      </w:r>
    </w:p>
    <w:p>
      <w:pPr>
        <w:pStyle w:val="32"/>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3.</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4</w:t>
      </w:r>
      <w:r>
        <w:rPr>
          <w:rFonts w:ascii="仿宋_GB2312" w:eastAsia="仿宋_GB2312"/>
          <w:color w:val="auto"/>
          <w:sz w:val="32"/>
          <w:szCs w:val="32"/>
        </w:rPr>
        <w:t>.</w:t>
      </w:r>
      <w:r>
        <w:rPr>
          <w:rFonts w:ascii="仿宋_GB2312" w:eastAsia="仿宋_GB2312" w:hint="eastAsia"/>
          <w:color w:val="auto"/>
          <w:sz w:val="32"/>
          <w:szCs w:val="32"/>
        </w:rPr>
        <w:t>年末结转和结余：指单位按有关规定结转到下年或以后年度继续使用的资金。</w:t>
      </w:r>
    </w:p>
    <w:p>
      <w:pPr>
        <w:keepNext w:val="0"/>
        <w:keepLines w:val="0"/>
        <w:pageBreakBefore w:val="0"/>
        <w:widowControl/>
        <w:suppressLineNumbers w:val="0"/>
        <w:suppressAutoHyphens w:val="0"/>
        <w:kinsoku/>
        <w:wordWrap/>
        <w:overflowPunct/>
        <w:topLinePunct w:val="0"/>
        <w:autoSpaceDE/>
        <w:autoSpaceDN/>
        <w:spacing w:before="0" w:beforeAutospacing="0"/>
        <w:ind w:left="0" w:firstLineChars="200" w:firstLine="640"/>
        <w:rPr>
          <w:rFonts w:ascii="仿宋_GB2312" w:eastAsia="仿宋_GB2312" w:cs="宋体" w:hint="eastAsia"/>
          <w:kern w:val="0"/>
          <w:sz w:val="32"/>
          <w:szCs w:val="32"/>
          <w:lang w:bidi="ar-SA"/>
        </w:rPr>
      </w:pPr>
      <w:r>
        <w:rPr>
          <w:rFonts w:ascii="仿宋_GB2312" w:eastAsia="仿宋_GB2312" w:hint="eastAsia"/>
          <w:kern w:val="0"/>
          <w:sz w:val="32"/>
          <w:szCs w:val="32"/>
        </w:rPr>
        <w:t>5.社会保障和就业支出：2080505机关事业单位基本养老保险缴费支出：指机关事业单位实施养老保险制度由单位缴纳的基本养老保险费支出；2080506机关事业单位职业年金缴费支出：指机关事业单位实施养老保险制度由单位缴纳的职业年金支出。</w:t>
      </w:r>
    </w:p>
    <w:p>
      <w:pPr>
        <w:keepNext w:val="0"/>
        <w:keepLines w:val="0"/>
        <w:pageBreakBefore w:val="0"/>
        <w:widowControl/>
        <w:suppressLineNumbers w:val="0"/>
        <w:suppressAutoHyphens w:val="0"/>
        <w:kinsoku/>
        <w:wordWrap/>
        <w:overflowPunct/>
        <w:topLinePunct w:val="0"/>
        <w:autoSpaceDE/>
        <w:autoSpaceDN/>
        <w:spacing w:before="0" w:beforeAutospacing="0"/>
        <w:ind w:left="0" w:firstLineChars="200" w:firstLine="640"/>
        <w:rPr>
          <w:rFonts w:ascii="仿宋_GB2312" w:eastAsia="仿宋_GB2312" w:cs="宋体" w:hint="eastAsia"/>
          <w:kern w:val="0"/>
          <w:sz w:val="32"/>
          <w:szCs w:val="32"/>
          <w:lang w:bidi="ar-SA"/>
        </w:rPr>
      </w:pPr>
      <w:r>
        <w:rPr>
          <w:rFonts w:ascii="仿宋_GB2312" w:eastAsia="仿宋_GB2312" w:hint="eastAsia"/>
          <w:kern w:val="0"/>
          <w:sz w:val="32"/>
          <w:szCs w:val="32"/>
        </w:rPr>
        <w:t>6. 医疗卫生与计划生育:2101102事业单位医疗：指财政部门集中安排的事业单位基本医疗保险缴费经费；2101199其他行政事业单位医疗支出：指其他用于行政事业单位医疗方面的支出。</w:t>
      </w:r>
    </w:p>
    <w:p>
      <w:pPr>
        <w:pStyle w:val="40"/>
        <w:keepNext w:val="0"/>
        <w:keepLines w:val="0"/>
        <w:pageBreakBefore w:val="0"/>
        <w:widowControl/>
        <w:suppressLineNumbers w:val="0"/>
        <w:suppressAutoHyphens w:val="0"/>
        <w:kinsoku/>
        <w:wordWrap/>
        <w:overflowPunct/>
        <w:topLinePunct w:val="0"/>
        <w:autoSpaceDE/>
        <w:autoSpaceDN/>
        <w:spacing w:before="0" w:beforeAutospacing="0"/>
        <w:ind w:left="0" w:firstLineChars="200" w:firstLine="640"/>
        <w:jc w:val="left"/>
        <w:rPr>
          <w:rFonts w:ascii="仿宋_GB2312" w:eastAsia="仿宋_GB2312" w:cs="宋体" w:hint="eastAsia"/>
          <w:kern w:val="0"/>
          <w:sz w:val="32"/>
          <w:szCs w:val="32"/>
          <w:lang w:bidi="ar-SA"/>
        </w:rPr>
      </w:pPr>
      <w:r>
        <w:rPr>
          <w:rFonts w:ascii="仿宋_GB2312" w:eastAsia="仿宋_GB2312" w:hint="eastAsia"/>
          <w:kern w:val="0"/>
          <w:sz w:val="32"/>
          <w:szCs w:val="32"/>
        </w:rPr>
        <w:t>7.农林水支出：2130204林业和草原事业机构：指用于林业事业单位的基本支出；</w:t>
      </w:r>
    </w:p>
    <w:p>
      <w:pPr>
        <w:ind w:firstLineChars="200" w:firstLine="640"/>
        <w:rPr>
          <w:rFonts w:ascii="仿宋_GB2312" w:eastAsia="仿宋_GB2312"/>
          <w:sz w:val="32"/>
          <w:szCs w:val="32"/>
        </w:rPr>
      </w:pPr>
      <w:r>
        <w:rPr>
          <w:rFonts w:ascii="仿宋_GB2312" w:eastAsia="仿宋_GB2312" w:hint="eastAsia"/>
          <w:sz w:val="32"/>
          <w:szCs w:val="32"/>
          <w:lang w:val="en-US" w:eastAsia="zh-CN"/>
        </w:rPr>
        <w:t>8</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pPr>
        <w:ind w:firstLineChars="200" w:firstLine="640"/>
        <w:rPr>
          <w:rFonts w:ascii="仿宋_GB2312" w:eastAsia="仿宋_GB2312"/>
          <w:sz w:val="32"/>
          <w:szCs w:val="32"/>
        </w:rPr>
      </w:pPr>
      <w:r>
        <w:rPr>
          <w:rFonts w:ascii="仿宋_GB2312" w:eastAsia="仿宋_GB2312" w:hint="eastAsia"/>
          <w:sz w:val="32"/>
          <w:szCs w:val="32"/>
          <w:lang w:val="en-US" w:eastAsia="zh-CN"/>
        </w:rPr>
        <w:t>9</w:t>
      </w:r>
      <w:r>
        <w:rPr>
          <w:rFonts w:ascii="仿宋_GB2312" w:eastAsia="仿宋_GB2312"/>
          <w:sz w:val="32"/>
          <w:szCs w:val="32"/>
        </w:rPr>
        <w:t>.</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pPr>
        <w:ind w:firstLineChars="200" w:firstLine="640"/>
        <w:rPr>
          <w:rFonts w:ascii="仿宋_GB2312" w:eastAsia="仿宋_GB2312"/>
          <w:sz w:val="32"/>
          <w:szCs w:val="32"/>
        </w:rPr>
      </w:pPr>
      <w:r>
        <w:rPr>
          <w:rFonts w:ascii="仿宋_GB2312" w:eastAsia="仿宋_GB2312" w:hint="eastAsia"/>
          <w:sz w:val="32"/>
          <w:szCs w:val="32"/>
          <w:lang w:val="en-US" w:eastAsia="zh-CN"/>
        </w:rPr>
        <w:t>10</w:t>
      </w:r>
      <w:r>
        <w:rPr>
          <w:rFonts w:ascii="仿宋_GB2312" w:eastAsia="仿宋_GB2312"/>
          <w:sz w:val="32"/>
          <w:szCs w:val="32"/>
        </w:rPr>
        <w:t>.</w:t>
      </w:r>
      <w:r>
        <w:rPr>
          <w:rFonts w:ascii="仿宋_GB2312" w:eastAsia="仿宋_GB2312" w:hint="eastAsia"/>
          <w:sz w:val="32"/>
          <w:szCs w:val="32"/>
        </w:rPr>
        <w:t>经营支出：指事业单位在专业业务活动及其辅助活动之外开展非独立核算经营活动发生的支出。</w:t>
      </w:r>
    </w:p>
    <w:p>
      <w:pPr>
        <w:pStyle w:val="32"/>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lang w:val="en-US" w:eastAsia="zh-CN"/>
        </w:rPr>
        <w:t>11</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2"/>
        <w:spacing w:line="560" w:lineRule="exact"/>
        <w:ind w:firstLineChars="200" w:firstLine="640"/>
        <w:rPr>
          <w:rFonts w:ascii="Times New Roman" w:eastAsia="仿宋_GB2312" w:cs="仿宋_GB2312" w:hAnsi="Times New Roman" w:hint="eastAsia"/>
          <w:b/>
          <w:bCs/>
          <w:color w:val="auto"/>
          <w:kern w:val="2"/>
          <w:sz w:val="32"/>
          <w:szCs w:val="32"/>
          <w:lang w:val="en-US" w:eastAsia="zh-CN" w:bidi="ar-SA"/>
          <w:highlight w:val="auto"/>
        </w:rPr>
      </w:pPr>
      <w:r>
        <w:rPr>
          <w:rFonts w:ascii="仿宋_GB2312" w:eastAsia="仿宋_GB2312" w:hint="eastAsia"/>
          <w:color w:val="auto"/>
          <w:sz w:val="32"/>
          <w:szCs w:val="32"/>
          <w:lang w:val="en-US" w:eastAsia="zh-CN"/>
        </w:rPr>
        <w:t>12</w:t>
      </w:r>
      <w:r>
        <w:rPr>
          <w:rFonts w:ascii="仿宋_GB2312" w:eastAsia="仿宋_GB2312"/>
          <w:color w:val="auto"/>
          <w:sz w:val="32"/>
          <w:szCs w:val="32"/>
        </w:rPr>
        <w:t>.</w:t>
      </w:r>
      <w:r>
        <w:rPr>
          <w:rFonts w:ascii="仿宋_GB2312" w:eastAsia="仿宋_GB2312" w:hint="eastAsia"/>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ascii="方正小标宋简体" w:eastAsia="方正小标宋简体" w:cs="方正小标宋简体" w:hint="eastAsia"/>
          <w:color w:val="auto"/>
          <w:sz w:val="44"/>
          <w:szCs w:val="44"/>
          <w:highlight w:val="auto"/>
        </w:rPr>
      </w:pPr>
      <w:bookmarkStart w:id="52" w:name="_Toc15396614"/>
      <w:bookmarkStart w:id="53" w:name="_Toc15377226"/>
    </w:p>
    <w:p>
      <w:pPr>
        <w:spacing w:line="600" w:lineRule="exact"/>
        <w:jc w:val="center"/>
        <w:rPr>
          <w:rFonts w:ascii="方正小标宋简体" w:eastAsia="方正小标宋简体" w:cs="方正小标宋简体" w:hint="eastAsia"/>
          <w:color w:val="auto"/>
          <w:sz w:val="44"/>
          <w:szCs w:val="44"/>
          <w:highlight w:val="auto"/>
        </w:rPr>
      </w:pPr>
    </w:p>
    <w:p>
      <w:pPr>
        <w:spacing w:line="600" w:lineRule="exact"/>
        <w:jc w:val="center"/>
        <w:rPr>
          <w:rFonts w:ascii="方正小标宋简体" w:eastAsia="方正小标宋简体" w:cs="方正小标宋简体" w:hint="eastAsia"/>
          <w:color w:val="auto"/>
          <w:sz w:val="44"/>
          <w:szCs w:val="44"/>
          <w:highlight w:val="auto"/>
        </w:rPr>
      </w:pPr>
    </w:p>
    <w:p>
      <w:pPr>
        <w:spacing w:line="600" w:lineRule="exact"/>
        <w:jc w:val="center"/>
        <w:rPr>
          <w:rFonts w:ascii="方正小标宋简体" w:eastAsia="方正小标宋简体" w:cs="方正小标宋简体" w:hint="eastAsia"/>
          <w:color w:val="auto"/>
          <w:sz w:val="44"/>
          <w:szCs w:val="44"/>
          <w:highlight w:val="auto"/>
        </w:rPr>
      </w:pPr>
    </w:p>
    <w:p>
      <w:pPr>
        <w:spacing w:line="600" w:lineRule="exact"/>
        <w:jc w:val="center"/>
        <w:rPr>
          <w:rStyle w:val="1Char"/>
          <w:rFonts w:ascii="方正小标宋简体" w:eastAsia="方正小标宋简体" w:cs="方正小标宋简体" w:hint="eastAsia"/>
          <w:b w:val="0"/>
          <w:color w:val="auto"/>
          <w:lang w:eastAsia="zh-CN"/>
          <w:highlight w:val="auto"/>
        </w:rPr>
      </w:pPr>
      <w:r>
        <w:rPr>
          <w:rFonts w:ascii="方正小标宋简体" w:eastAsia="方正小标宋简体" w:cs="方正小标宋简体" w:hint="eastAsia"/>
          <w:color w:val="auto"/>
          <w:sz w:val="44"/>
          <w:szCs w:val="44"/>
          <w:highlight w:val="auto"/>
        </w:rPr>
        <w:t>第四部分</w:t>
      </w:r>
      <w:r>
        <w:rPr>
          <w:rFonts w:ascii="方正小标宋简体" w:eastAsia="方正小标宋简体" w:cs="方正小标宋简体" w:hint="eastAsia"/>
          <w:color w:val="auto"/>
          <w:sz w:val="44"/>
          <w:szCs w:val="44"/>
          <w:lang w:val="en-US" w:eastAsia="zh-CN"/>
          <w:highlight w:val="auto"/>
        </w:rPr>
        <w:t xml:space="preserve"> </w:t>
      </w:r>
      <w:r>
        <w:rPr>
          <w:rFonts w:ascii="方正小标宋简体" w:eastAsia="方正小标宋简体" w:cs="方正小标宋简体" w:hint="eastAsia"/>
          <w:color w:val="auto"/>
          <w:sz w:val="44"/>
          <w:szCs w:val="44"/>
          <w:highlight w:val="auto"/>
        </w:rPr>
        <w:t xml:space="preserve"> 附件</w:t>
      </w:r>
      <w:bookmarkEnd w:id="52"/>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FF0000"/>
          <w:sz w:val="32"/>
          <w:szCs w:val="32"/>
          <w:highlight w:val="auto"/>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sz w:val="32"/>
          <w:szCs w:val="32"/>
        </w:rPr>
      </w:pPr>
      <w:r>
        <w:rPr>
          <w:sz w:val="32"/>
        </w:rPr>
        <w:t>注：</w:t>
      </w:r>
      <w:r>
        <w:rPr>
          <w:rFonts w:hint="eastAsia"/>
          <w:sz w:val="32"/>
          <w:lang w:eastAsia="zh-CN"/>
        </w:rPr>
        <w:t>详见</w:t>
      </w:r>
      <w:r>
        <w:rPr>
          <w:rFonts w:hint="eastAsia"/>
          <w:sz w:val="32"/>
          <w:szCs w:val="32"/>
        </w:rPr>
        <w:t>部门预算项目支出绩效自评表</w:t>
      </w:r>
      <w:bookmarkStart w:id="54" w:name="_Toc15396618"/>
    </w:p>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ascii="方正小标宋简体" w:eastAsia="方正小标宋简体" w:cs="方正小标宋简体" w:hint="eastAsia"/>
          <w:color w:val="auto"/>
          <w:sz w:val="44"/>
          <w:szCs w:val="44"/>
          <w:highlight w:val="auto"/>
        </w:rPr>
      </w:pPr>
    </w:p>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ascii="Times New Roman" w:eastAsia="仿宋" w:hAnsi="Times New Roman" w:hint="eastAsia"/>
          <w:b w:val="0"/>
          <w:color w:val="auto"/>
          <w:highlight w:val="auto"/>
        </w:rPr>
      </w:pPr>
      <w:r>
        <w:rPr>
          <w:rFonts w:ascii="方正小标宋简体" w:eastAsia="方正小标宋简体" w:cs="方正小标宋简体" w:hint="eastAsia"/>
          <w:color w:val="auto"/>
          <w:sz w:val="44"/>
          <w:szCs w:val="44"/>
          <w:highlight w:val="auto"/>
        </w:rPr>
        <w:t>第</w:t>
      </w:r>
      <w:r>
        <w:rPr>
          <w:rStyle w:val="1Char"/>
          <w:rFonts w:ascii="方正小标宋简体" w:eastAsia="方正小标宋简体" w:cs="方正小标宋简体" w:hint="eastAsia"/>
          <w:b w:val="0"/>
          <w:color w:val="auto"/>
          <w:highlight w:val="auto"/>
        </w:rPr>
        <w:t>五部分 附表</w:t>
      </w:r>
      <w:bookmarkStart w:id="55" w:name="_Toc15396619"/>
      <w:bookmarkEnd w:id="53"/>
      <w:bookmarkEnd w:id="54"/>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55"/>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6" w:name="_Toc15396620"/>
      <w:r>
        <w:rPr>
          <w:rFonts w:ascii="Times New Roman" w:eastAsia="仿宋_GB2312" w:cs="仿宋_GB2312" w:hAnsi="Times New Roman" w:hint="eastAsia"/>
          <w:color w:val="auto"/>
          <w:sz w:val="32"/>
          <w:szCs w:val="32"/>
          <w:highlight w:val="auto"/>
        </w:rPr>
        <w:t>二、收入决算表</w:t>
      </w:r>
      <w:bookmarkEnd w:id="56"/>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7" w:name="_Toc15396621"/>
      <w:r>
        <w:rPr>
          <w:rFonts w:ascii="Times New Roman" w:eastAsia="仿宋_GB2312" w:cs="仿宋_GB2312" w:hAnsi="Times New Roman" w:hint="eastAsia"/>
          <w:color w:val="auto"/>
          <w:sz w:val="32"/>
          <w:szCs w:val="32"/>
          <w:highlight w:val="auto"/>
        </w:rPr>
        <w:t>三、支出决算表</w:t>
      </w:r>
      <w:bookmarkEnd w:id="57"/>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8" w:name="_Toc15396622"/>
      <w:r>
        <w:rPr>
          <w:rFonts w:ascii="Times New Roman" w:eastAsia="仿宋_GB2312" w:cs="仿宋_GB2312" w:hAnsi="Times New Roman" w:hint="eastAsia"/>
          <w:color w:val="auto"/>
          <w:sz w:val="32"/>
          <w:szCs w:val="32"/>
          <w:highlight w:val="auto"/>
        </w:rPr>
        <w:t>四、财政拨款收入支出决算总表</w:t>
      </w:r>
      <w:bookmarkEnd w:id="58"/>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59" w:name="_Toc15396623"/>
      <w:r>
        <w:rPr>
          <w:rFonts w:ascii="Times New Roman" w:eastAsia="仿宋_GB2312" w:cs="仿宋_GB2312" w:hAnsi="Times New Roman" w:hint="eastAsia"/>
          <w:color w:val="auto"/>
          <w:sz w:val="32"/>
          <w:szCs w:val="32"/>
          <w:highlight w:val="auto"/>
        </w:rPr>
        <w:t>五、财政拨款支出决算明细表</w:t>
      </w:r>
      <w:bookmarkStart w:id="60" w:name="_Toc15396624"/>
      <w:bookmarkEnd w:id="59"/>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60"/>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1" w:name="_Toc15396625"/>
      <w:r>
        <w:rPr>
          <w:rFonts w:ascii="Times New Roman" w:eastAsia="仿宋_GB2312" w:cs="仿宋_GB2312" w:hAnsi="Times New Roman" w:hint="eastAsia"/>
          <w:color w:val="auto"/>
          <w:sz w:val="32"/>
          <w:szCs w:val="32"/>
          <w:highlight w:val="auto"/>
        </w:rPr>
        <w:t>七、一般公共预算财政拨款支出决算明细表</w:t>
      </w:r>
      <w:bookmarkEnd w:id="61"/>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2" w:name="_Toc15396626"/>
      <w:r>
        <w:rPr>
          <w:rFonts w:ascii="Times New Roman" w:eastAsia="仿宋_GB2312" w:cs="仿宋_GB2312" w:hAnsi="Times New Roman" w:hint="eastAsia"/>
          <w:color w:val="auto"/>
          <w:sz w:val="32"/>
          <w:szCs w:val="32"/>
          <w:highlight w:val="auto"/>
        </w:rPr>
        <w:t>八、一般公共预算财政拨款基本支出决算表</w:t>
      </w:r>
      <w:bookmarkEnd w:id="62"/>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3" w:name="_Toc15396627"/>
      <w:r>
        <w:rPr>
          <w:rFonts w:ascii="Times New Roman" w:eastAsia="仿宋_GB2312" w:cs="仿宋_GB2312" w:hAnsi="Times New Roman" w:hint="eastAsia"/>
          <w:color w:val="auto"/>
          <w:sz w:val="32"/>
          <w:szCs w:val="32"/>
          <w:highlight w:val="auto"/>
        </w:rPr>
        <w:t>九、一般公共预算财政拨款项目支出决算表</w:t>
      </w:r>
      <w:bookmarkEnd w:id="63"/>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4" w:name="_Toc15396628"/>
      <w:r>
        <w:rPr>
          <w:rFonts w:ascii="Times New Roman" w:eastAsia="仿宋_GB2312" w:cs="仿宋_GB2312" w:hAnsi="Times New Roman" w:hint="eastAsia"/>
          <w:color w:val="auto"/>
          <w:sz w:val="32"/>
          <w:szCs w:val="32"/>
          <w:highlight w:val="auto"/>
        </w:rPr>
        <w:t>十、</w:t>
      </w:r>
      <w:bookmarkEnd w:id="64"/>
      <w:r>
        <w:rPr>
          <w:rFonts w:ascii="Times New Roman" w:eastAsia="仿宋_GB2312" w:cs="仿宋_GB2312" w:hAnsi="Times New Roman" w:hint="eastAsia"/>
          <w:color w:val="auto"/>
          <w:sz w:val="32"/>
          <w:szCs w:val="32"/>
          <w:highlight w:val="auto"/>
        </w:rPr>
        <w:t>政府性基金预算财政拨款收入支出决算表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5" w:name="_Toc15396629"/>
      <w:r>
        <w:rPr>
          <w:rFonts w:ascii="Times New Roman" w:eastAsia="仿宋_GB2312" w:cs="仿宋_GB2312" w:hAnsi="Times New Roman" w:hint="eastAsia"/>
          <w:color w:val="auto"/>
          <w:sz w:val="32"/>
          <w:szCs w:val="32"/>
          <w:highlight w:val="auto"/>
        </w:rPr>
        <w:t>十一、</w:t>
      </w:r>
      <w:bookmarkEnd w:id="65"/>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66" w:name="_Toc15396630"/>
      <w:r>
        <w:rPr>
          <w:rFonts w:ascii="Times New Roman" w:eastAsia="仿宋_GB2312" w:cs="仿宋_GB2312" w:hAnsi="Times New Roman" w:hint="eastAsia"/>
          <w:color w:val="auto"/>
          <w:sz w:val="32"/>
          <w:szCs w:val="32"/>
          <w:highlight w:val="auto"/>
        </w:rPr>
        <w:t>十二、</w:t>
      </w:r>
      <w:bookmarkEnd w:id="66"/>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67" w:name="_Toc15396631"/>
      <w:r>
        <w:rPr>
          <w:rFonts w:ascii="Times New Roman" w:eastAsia="仿宋_GB2312" w:cs="仿宋_GB2312" w:hAnsi="Times New Roman" w:hint="eastAsia"/>
          <w:color w:val="auto"/>
          <w:sz w:val="32"/>
          <w:szCs w:val="32"/>
          <w:highlight w:val="auto"/>
        </w:rPr>
        <w:t>十三、</w:t>
      </w:r>
      <w:bookmarkEnd w:id="67"/>
      <w:r>
        <w:rPr>
          <w:rFonts w:ascii="Times New Roman" w:eastAsia="仿宋_GB2312" w:cs="仿宋_GB2312" w:hAnsi="Times New Roman" w:hint="eastAsia"/>
          <w:color w:val="auto"/>
          <w:sz w:val="32"/>
          <w:szCs w:val="32"/>
          <w:lang w:eastAsia="zh-CN"/>
          <w:highlight w:val="auto"/>
        </w:rPr>
        <w:t>财政拨款“三公”经费支出决算表</w:t>
      </w:r>
    </w:p>
    <w:p>
      <w:pPr>
        <w:rPr>
          <w:rFonts w:ascii="Times New Roman" w:hAnsi="Times New Roman" w:hint="eastAsia"/>
          <w:lang w:eastAsia="zh-CN"/>
        </w:rPr>
      </w:pPr>
    </w:p>
    <w:sectPr>
      <w:footerReference w:type="default" r:id="rId5"/>
      <w:footerReference w:type="first" r:id="rId6"/>
      <w:pgSz w:w="11906" w:h="16838"/>
      <w:pgMar w:top="1440" w:right="1800" w:bottom="1440" w:left="1800" w:header="851" w:footer="992" w:gutter="0"/>
      <w:pgNumType w:start="2"/>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2000000000000000000"/>
    <w:charset w:val="86"/>
    <w:family w:val="script"/>
    <w:pitch w:val="variable"/>
    <w:sig w:usb0="A00002BF" w:usb1="184F6CFA" w:usb2="00000012" w:usb3="00000000" w:csb0="00040001" w:csb1="00000000"/>
  </w:font>
  <w:font w:name="宋体">
    <w:panose1 w:val="02010600030101010101"/>
    <w:charset w:val="7A"/>
    <w:family w:val="auto"/>
    <w:pitch w:val="variable"/>
    <w:sig w:usb0="00000003" w:usb1="288F0000" w:usb2="00000006" w:usb3="00000000" w:csb0="00040001"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Arial">
    <w:altName w:val="Times New Roman"/>
    <w:panose1 w:val="020B0604020202020204"/>
    <w:charset w:val="01"/>
    <w:family w:val="swiss"/>
    <w:pitch w:val="variable"/>
    <w:sig w:usb0="E0002AFF" w:usb1="C0007843" w:usb2="00000009" w:usb3="00000000" w:csb0="400001FF" w:csb1="FFFF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Cambria">
    <w:altName w:val="Noto Sans Syriac Eastern"/>
    <w:panose1 w:val="02040503050406030204"/>
    <w:charset w:val="00"/>
    <w:family w:val="roman"/>
    <w:pitch w:val="variable"/>
    <w:sig w:usb0="00000000" w:usb1="00000000" w:usb2="00000000" w:usb3="00000000" w:csb0="2000019F" w:csb1="00000000"/>
  </w:font>
  <w:font w:name="Calibri">
    <w:altName w:val="DejaVu Sans"/>
    <w:panose1 w:val="020F0502020204030204"/>
    <w:charset w:val="00"/>
    <w:family w:val="swiss"/>
    <w:pitch w:val="variable"/>
    <w:sig w:usb0="00000000" w:usb1="00000000" w:usb2="00000001" w:usb3="00000000" w:csb0="0000019F" w:csb1="00000000"/>
  </w:font>
  <w:font w:name="??">
    <w:altName w:val="仿宋"/>
    <w:panose1 w:val="00000000000000000000"/>
    <w:charset w:val="00"/>
    <w:family w:val="roman"/>
    <w:pitch w:val="variable"/>
    <w:sig w:usb0="00000000" w:usb1="00000000" w:usb2="00000000" w:usb3="00000000" w:csb0="00000000" w:csb1="00000000"/>
  </w:font>
  <w:font w:name="楷体">
    <w:panose1 w:val="02010609060101010101"/>
    <w:charset w:val="86"/>
    <w:family w:val="auto"/>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tabs>
        <w:tab w:val="center" w:pos="4153"/>
        <w:tab w:val="right" w:pos="8306"/>
      </w:tabs>
      <w:jc w:val="center"/>
    </w:pPr>
    <w:r>
      <w:rPr>
        <w:sz w:val="18"/>
      </w:rPr>
      <mc:AlternateContent>
        <mc:Choice Requires="wps">
          <w:drawing>
            <wp:anchor distT="0" distB="0" distL="114298" distR="114298" simplePos="0" relativeHeight="28"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1" name="文本框 13"/>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2">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3 3" o:spid="_x0000_s3" filled="f" stroked="f" strokeweight="0.5pt" style="position:absolute;margin-left:0.0pt;margin-top:0.0pt;width:4.562999pt;height:10.998005pt;z-index:28;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2"/>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tabs>
        <w:tab w:val="center" w:pos="4153"/>
        <w:tab w:val="right" w:pos="8306"/>
      </w:tabs>
    </w:pPr>
  </w:p>
  <w:p>
    <w:pPr>
      <w:pStyle w:val="22"/>
      <w:tabs>
        <w:tab w:val="center" w:pos="4153"/>
        <w:tab w:val="right" w:pos="8306"/>
      </w:tabs>
    </w:pPr>
    <w:r>
      <w:rPr>
        <w:sz w:val="18"/>
      </w:rPr>
      <mc:AlternateContent>
        <mc:Choice Requires="wps">
          <w:drawing>
            <wp:anchor distT="0" distB="0" distL="114298" distR="114298" simplePos="0" relativeHeight="29"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4" name="文本框 14"/>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5">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4 6" o:spid="_x0000_s6" filled="f" stroked="f" strokeweight="0.5pt" style="position:absolute;margin-left:0.0pt;margin-top:0.0pt;width:4.562999pt;height:10.998005pt;z-index:29;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tabs>
        <w:tab w:val="center" w:pos="4153"/>
        <w:tab w:val="right" w:pos="8306"/>
      </w:tabs>
      <w:jc w:val="center"/>
    </w:pPr>
    <w:r>
      <w:rPr>
        <w:sz w:val="18"/>
      </w:rPr>
      <mc:AlternateContent>
        <mc:Choice Requires="wps">
          <w:drawing>
            <wp:anchor distT="0" distB="0" distL="114298" distR="114298" simplePos="0" relativeHeight="30"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7" name="文本框 15"/>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8">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5 9" o:spid="_x0000_s9" filled="f" stroked="f" strokeweight="0.5pt" style="position:absolute;margin-left:0.0pt;margin-top:0.0pt;width:4.56301pt;height:10.997971pt;z-index:30;mso-position-horizontal:center;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22"/>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2"/>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tabs>
        <w:tab w:val="center" w:pos="4153"/>
        <w:tab w:val="right" w:pos="8306"/>
      </w:tabs>
    </w:pPr>
    <w:r>
      <w:rPr>
        <w:sz w:val="18"/>
      </w:rPr>
      <mc:AlternateContent>
        <mc:Choice Requires="wps">
          <w:drawing>
            <wp:anchor distT="0" distB="0" distL="114298" distR="114298" simplePos="0" relativeHeight="27"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10" name="文本框 6"/>
              <wp:cNvGraphicFramePr>
                <a:graphicFrameLocks noChangeAspect="0"/>
              </wp:cNvGraphicFramePr>
              <a:graphic>
                <a:graphicData uri="http://schemas.microsoft.com/office/word/2010/wordprocessingShape">
                  <wps:wsp>
                    <wps:cNvSpPr/>
                    <wps:spPr>
                      <a:xfrm rot="0">
                        <a:off x="0" y="0"/>
                        <a:ext cx="179565" cy="139674"/>
                      </a:xfrm>
                      <a:prstGeom prst="rect"/>
                      <a:noFill/>
                      <a:ln w="6350" cmpd="sng" cap="flat">
                        <a:noFill/>
                        <a:prstDash val="solid"/>
                        <a:round/>
                      </a:ln>
                    </wps:spPr>
                    <wps:txbx id="11">
                      <w:txbxContent>
                        <w:p>
                          <w:pPr>
                            <w:pStyle w:val="22"/>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type="#_x0000_t202" id="文本框 6 12" o:spid="_x0000_s12" filled="f" stroked="f" strokeweight="0.5pt" style="position:absolute;margin-left:0.0pt;margin-top:0.0pt;width:14.139006pt;height:10.998005pt;z-index:27;mso-position-horizontal:center;mso-position-horizontal-relative:margin;mso-position-vertical:absolute;mso-wrap-distance-left:8.999863pt;mso-wrap-distance-right:8.999863pt;mso-wrap-style:none;">
              <v:stroke color="#000000"/>
              <v:textbox id="858" inset="0mm,0mm,0mm,0mm" o:insetmode="custom" style="layout-flow:horizontal;v-text-anchor:top;mso-fit-shape-to-text:t;">
                <w:txbxContent>
                  <w:p>
                    <w:pPr>
                      <w:pStyle w:val="22"/>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3"/>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CD69E557"/>
    <w:multiLevelType w:val="singleLevel"/>
    <w:tmpl w:val="CD69E557"/>
    <w:lvl w:ilvl="0">
      <w:start w:val="1"/>
      <w:numFmt w:val="chineseCounting"/>
      <w:lvlRestart w:val="0"/>
      <w:suff w:val="nothing"/>
      <w:lvlText w:val="%1、"/>
      <w:lvlJc w:val="left"/>
      <w:pPr>
        <w:tabs>
          <w:tab w:val="num" w:pos="0"/>
        </w:tabs>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4"/>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paragraph" w:styleId="16">
    <w:name w:val="Body Text"/>
    <w:basedOn w:val="0"/>
    <w:pPr>
      <w:spacing w:beforeLines="30" w:before="30"/>
    </w:pPr>
    <w:rPr>
      <w:rFonts w:ascii="仿宋_GB2312" w:eastAsia="仿宋_GB2312"/>
      <w:kern w:val="0"/>
      <w:sz w:val="30"/>
    </w:rPr>
  </w:style>
  <w:style w:type="paragraph" w:styleId="17">
    <w:name w:val="Body Text Indent"/>
    <w:basedOn w:val="0"/>
    <w:next w:val="18"/>
    <w:pPr>
      <w:spacing w:after="120"/>
      <w:ind w:leftChars="200" w:left="200"/>
    </w:pPr>
    <w:rPr>
      <w:rFonts w:ascii="仿宋_GB2312" w:hAnsi="仿宋_GB2312"/>
      <w:szCs w:val="32"/>
    </w:rPr>
  </w:style>
  <w:style w:type="paragraph" w:styleId="18">
    <w:name w:val="Body Text First Indent 2"/>
    <w:basedOn w:val="17"/>
    <w:next w:val="0"/>
    <w:pPr>
      <w:ind w:firstLineChars="200" w:firstLine="200"/>
    </w:pPr>
  </w:style>
  <w:style w:type="paragraph" w:styleId="19">
    <w:name w:val="toc 3"/>
    <w:basedOn w:val="0"/>
    <w:next w:val="0"/>
    <w:pPr>
      <w:tabs>
        <w:tab w:val="right" w:leader="dot" w:pos="8296"/>
      </w:tabs>
      <w:ind w:leftChars="400" w:left="400"/>
    </w:pPr>
  </w:style>
  <w:style w:type="paragraph" w:styleId="20">
    <w:name w:val="Body Text Indent 2"/>
    <w:basedOn w:val="0"/>
    <w:pPr>
      <w:spacing w:line="317" w:lineRule="atLeast"/>
      <w:ind w:firstLine="476"/>
      <w:jc w:val="both"/>
      <w:textAlignment w:val="center"/>
    </w:pPr>
    <w:rPr>
      <w:kern w:val="28"/>
    </w:r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rFonts w:ascii="Calibri" w:hAnsi="Calibri"/>
      <w:kern w:val="0"/>
      <w:sz w:val="18"/>
      <w:szCs w:val="18"/>
    </w:rPr>
  </w:style>
  <w:style w:type="paragraph" w:styleId="23">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4">
    <w:name w:val="toc 1"/>
    <w:basedOn w:val="0"/>
    <w:next w:val="0"/>
    <w:pPr>
      <w:tabs>
        <w:tab w:val="right" w:leader="dot" w:pos="8296"/>
      </w:tabs>
      <w:spacing w:before="93"/>
      <w:jc w:val="center"/>
    </w:pPr>
    <w:rPr>
      <w:rFonts w:ascii="仿宋" w:eastAsia="仿宋"/>
      <w:sz w:val="28"/>
      <w:szCs w:val="28"/>
    </w:rPr>
  </w:style>
  <w:style w:type="paragraph" w:styleId="25">
    <w:name w:val="footnote text"/>
    <w:basedOn w:val="0"/>
    <w:next w:val="18"/>
    <w:pPr>
      <w:snapToGrid w:val="0"/>
      <w:jc w:val="left"/>
    </w:pPr>
    <w:rPr>
      <w:sz w:val="18"/>
      <w:szCs w:val="18"/>
    </w:rPr>
  </w:style>
  <w:style w:type="paragraph" w:styleId="26">
    <w:name w:val="toc 2"/>
    <w:basedOn w:val="0"/>
    <w:next w:val="0"/>
    <w:pPr>
      <w:tabs>
        <w:tab w:val="right" w:leader="dot" w:pos="8296"/>
      </w:tabs>
      <w:ind w:leftChars="200" w:left="200"/>
    </w:pPr>
  </w:style>
  <w:style w:type="character" w:styleId="27">
    <w:name w:val="Strong"/>
    <w:basedOn w:val="10"/>
    <w:rPr>
      <w:b/>
    </w:rPr>
  </w:style>
  <w:style w:type="character" w:styleId="28">
    <w:name w:val="Hyperlink"/>
    <w:basedOn w:val="10"/>
    <w:rPr>
      <w:color w:val="0000FF"/>
      <w:u w:val="single"/>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3">
    <w:name w:val="List Paragraph"/>
    <w:basedOn w:val="0"/>
    <w:pPr>
      <w:ind w:firstLineChars="200" w:firstLine="200"/>
    </w:pPr>
  </w:style>
  <w:style w:type="paragraph" w:customStyle="1" w:styleId="34">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四号正文"/>
    <w:basedOn w:val="0"/>
    <w:pPr>
      <w:spacing w:line="360" w:lineRule="auto"/>
    </w:pPr>
    <w:rPr>
      <w:rFonts w:ascii="??" w:eastAsia="宋体" w:hAnsi="??"/>
      <w:color w:val="000000"/>
      <w:kern w:val="0"/>
      <w:sz w:val="28"/>
      <w:szCs w:val="21"/>
      <w:lang w:val="zh-CN" w:eastAsia="zh-CN"/>
    </w:rPr>
  </w:style>
  <w:style w:type="paragraph" w:customStyle="1" w:styleId="37">
    <w:name w:val="样式 标题 2 + 楷体 小三 段前: 0 磅 段后: 0 磅 行距: 单倍行距"/>
    <w:basedOn w:val="2"/>
    <w:pPr>
      <w:spacing w:before="0" w:after="0" w:line="240" w:lineRule="auto"/>
    </w:pPr>
    <w:rPr>
      <w:rFonts w:ascii="楷体" w:eastAsia="楷体" w:cs="宋体"/>
      <w:b w:val="0"/>
      <w:sz w:val="30"/>
      <w:szCs w:val="20"/>
    </w:rPr>
  </w:style>
  <w:style w:type="character" w:customStyle="1" w:styleId="38">
    <w:name w:val="20"/>
    <w:basedOn w:val="10"/>
    <w:rPr>
      <w:rFonts w:ascii="Times New Roman" w:cs="Times New Roman" w:hAnsi="Times New Roman"/>
      <w:b/>
      <w:bCs/>
    </w:rPr>
  </w:style>
  <w:style w:type="character" w:customStyle="1" w:styleId="39">
    <w:name w:val="18"/>
    <w:basedOn w:val="10"/>
    <w:rPr>
      <w:rFonts w:ascii="Times New Roman" w:hAnsi="Times New Roman"/>
      <w:b/>
      <w:bCs/>
    </w:rPr>
  </w:style>
  <w:style w:type="paragraph" w:customStyle="1" w:styleId="40">
    <w:name w:val="普通(网站) Char"/>
    <w:basedOn w:val="0"/>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宋体" w:eastAsia="宋体"/>
      <w:snapToGrid/>
      <w:color w:val="auto"/>
      <w:spacing w:val="0"/>
      <w:w w:val="100"/>
      <w:kern w:val="0"/>
      <w:position w:val="0"/>
      <w:sz w:val="24"/>
      <w:szCs w:val="24"/>
      <w:u w:val="none" w:color="auto"/>
      <w:vertAlign w:val="baseline"/>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image" Target="media/14.png"/><Relationship Id="rId8" Type="http://schemas.openxmlformats.org/officeDocument/2006/relationships/image" Target="media/16.png"/><Relationship Id="rId9" Type="http://schemas.openxmlformats.org/officeDocument/2006/relationships/image" Target="media/19.png"/><Relationship Id="rId10" Type="http://schemas.openxmlformats.org/officeDocument/2006/relationships/image" Target="media/22.png"/><Relationship Id="rId11" Type="http://schemas.openxmlformats.org/officeDocument/2006/relationships/image" Target="media/24.png"/><Relationship Id="rId12" Type="http://schemas.openxmlformats.org/officeDocument/2006/relationships/image" Target="media/26.png"/><Relationship Id="rId13" Type="http://schemas.openxmlformats.org/officeDocument/2006/relationships/image" Target="media/28.png"/><Relationship Id="rId14" Type="http://schemas.openxmlformats.org/officeDocument/2006/relationships/styles" Target="styles.xml"/><Relationship Id="rId15" Type="http://schemas.openxmlformats.org/officeDocument/2006/relationships/numbering" Target="numbering.xml"/><Relationship Id="rId16" Type="http://schemas.openxmlformats.org/officeDocument/2006/relationships/fontTable" Target="fontTable.xml"/></Relationships>
</file>

<file path=docProps/app.xml><?xml version="1.0" encoding="utf-8"?>
<Properties xmlns="http://schemas.openxmlformats.org/officeDocument/2006/extended-properties">
  <Template>Normal.eit</Template>
  <TotalTime>8</TotalTime>
  <Application>Yozo_Office</Application>
  <Pages>17</Pages>
  <Words>5626</Words>
  <Characters>8004</Characters>
  <Lines>329</Lines>
  <Paragraphs>127</Paragraphs>
  <CharactersWithSpaces>8024</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32</cp:revision>
  <cp:lastPrinted>2026-08-03T17:27:00Z</cp:lastPrinted>
  <dcterms:created xsi:type="dcterms:W3CDTF">2020-08-09T01:49:00Z</dcterms:created>
  <dcterms:modified xsi:type="dcterms:W3CDTF">2026-10-15T07:40:29Z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2052-11.8.2.1132</vt:lpwstr>
  </property>
  <property fmtid="{D5CDD505-2E9C-101B-9397-08002B2CF9AE}" pid="3" name="ICV">
    <vt:lpwstr>75FB00CE9D7E46259BE35DBA9AFFCA44_13</vt:lpwstr>
  </property>
  <property fmtid="{D5CDD505-2E9C-101B-9397-08002B2CF9AE}" pid="4" name="KSOTemplateDocerSaveRecord">
    <vt:lpwstr>eyJoZGlkIjoiOTIzYzIzMDg2YzM3ODRhYjA5MGY0NGQ4YTFkNmQxYWUiLCJ1c2VySWQiOiIzMDIzNTUwODQifQ==</vt:lpwstr>
  </property>
</Properties>
</file>