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Times New Roman" w:hAnsi="Times New Roman"/>
        </w:rPr>
      </w:pPr>
      <w:bookmarkStart w:id="0" w:name="_Toc15396475"/>
      <w:bookmarkStart w:id="1" w:name="_Toc15378441"/>
      <w:bookmarkStart w:id="2" w:name="_Toc15377193"/>
      <w:bookmarkStart w:id="3" w:name="_Toc15396597"/>
      <w:bookmarkStart w:id="4" w:name="_Toc15306267"/>
      <w:bookmarkStart w:id="5" w:name="_Toc15377425"/>
    </w:p>
    <w:p>
      <w:pPr>
        <w:pStyle w:val="16"/>
        <w:rPr>
          <w:rFonts w:ascii="Times New Roman" w:eastAsia="方正小标宋简体" w:cs="Times New Roman" w:hAnsi="Times New Roman" w:hint="eastAsia"/>
          <w:color w:val="auto"/>
          <w:kern w:val="2"/>
          <w:sz w:val="72"/>
          <w:szCs w:val="72"/>
          <w:lang w:val="en-US" w:eastAsia="zh-CN" w:bidi="ar-SA"/>
          <w:highlight w:val="auto"/>
        </w:rPr>
      </w:pPr>
      <w:bookmarkEnd w:id="0"/>
      <w:bookmarkEnd w:id="1"/>
      <w:bookmarkEnd w:id="2"/>
      <w:bookmarkEnd w:id="3"/>
      <w:bookmarkEnd w:id="4"/>
      <w:bookmarkEnd w:id="5"/>
    </w:p>
    <w:p>
      <w:pPr>
        <w:pStyle w:val="16"/>
        <w:rPr>
          <w:rFonts w:ascii="Times New Roman" w:eastAsia="方正小标宋简体" w:cs="Times New Roman" w:hAnsi="Times New Roman" w:hint="eastAsia"/>
          <w:color w:val="auto"/>
          <w:kern w:val="2"/>
          <w:sz w:val="72"/>
          <w:szCs w:val="72"/>
          <w:lang w:val="en-US" w:eastAsia="zh-CN" w:bidi="ar-SA"/>
          <w:highlight w:val="auto"/>
        </w:rPr>
      </w:pPr>
    </w:p>
    <w:p>
      <w:pPr>
        <w:adjustRightInd w:val="0"/>
        <w:snapToGrid w:val="0"/>
        <w:spacing w:line="360" w:lineRule="auto"/>
        <w:jc w:val="center"/>
        <w:outlineLvl w:val="0"/>
        <w:rPr>
          <w:rFonts w:ascii="方正小标宋简体" w:eastAsia="方正小标宋简体" w:cs="方正小标宋简体"/>
          <w:sz w:val="72"/>
          <w:szCs w:val="72"/>
        </w:rPr>
      </w:pPr>
      <w:r>
        <w:rPr>
          <w:rFonts w:ascii="方正小标宋简体" w:eastAsia="方正小标宋简体" w:cs="方正小标宋简体" w:hint="eastAsia"/>
          <w:sz w:val="72"/>
          <w:szCs w:val="72"/>
        </w:rPr>
        <w:t>202</w:t>
      </w:r>
      <w:r>
        <w:rPr>
          <w:rFonts w:ascii="方正小标宋简体" w:eastAsia="方正小标宋简体" w:cs="方正小标宋简体" w:hint="eastAsia"/>
          <w:sz w:val="72"/>
          <w:szCs w:val="72"/>
          <w:lang w:val="en-US" w:eastAsia="zh-CN"/>
        </w:rPr>
        <w:t>5</w:t>
      </w:r>
      <w:r>
        <w:rPr>
          <w:rFonts w:ascii="方正小标宋简体" w:eastAsia="方正小标宋简体" w:cs="方正小标宋简体" w:hint="eastAsia"/>
          <w:sz w:val="72"/>
          <w:szCs w:val="72"/>
        </w:rPr>
        <w:t>年度</w:t>
      </w:r>
    </w:p>
    <w:p>
      <w:pPr>
        <w:adjustRightInd w:val="0"/>
        <w:snapToGrid w:val="0"/>
        <w:spacing w:line="360" w:lineRule="auto"/>
        <w:jc w:val="center"/>
        <w:outlineLvl w:val="0"/>
        <w:rPr>
          <w:rFonts w:ascii="方正小标宋简体" w:eastAsia="方正小标宋简体" w:cs="方正小标宋简体" w:hint="eastAsia"/>
          <w:sz w:val="72"/>
          <w:szCs w:val="72"/>
        </w:rPr>
      </w:pPr>
      <w:r>
        <w:rPr>
          <w:rFonts w:ascii="方正小标宋简体" w:eastAsia="方正小标宋简体" w:cs="方正小标宋简体" w:hint="eastAsia"/>
          <w:sz w:val="72"/>
          <w:szCs w:val="72"/>
        </w:rPr>
        <w:t>四川省阿坝州若尔盖县林业和草原局（汇总）</w:t>
      </w:r>
    </w:p>
    <w:p>
      <w:pPr>
        <w:widowControl/>
        <w:jc w:val="center"/>
        <w:rPr>
          <w:rFonts w:ascii="方正小标宋简体" w:eastAsia="方正小标宋简体" w:cs="方正小标宋简体" w:hint="eastAsia"/>
          <w:sz w:val="72"/>
          <w:szCs w:val="72"/>
        </w:rPr>
      </w:pPr>
      <w:r>
        <w:rPr>
          <w:rFonts w:ascii="方正小标宋简体" w:eastAsia="方正小标宋简体" w:cs="方正小标宋简体" w:hint="eastAsia"/>
          <w:sz w:val="72"/>
          <w:szCs w:val="72"/>
        </w:rPr>
        <w:t>决算</w:t>
      </w:r>
    </w:p>
    <w:p>
      <w:pPr>
        <w:widowControl/>
        <w:jc w:val="center"/>
        <w:rPr>
          <w:rFonts w:ascii="方正小标宋简体" w:eastAsia="方正小标宋简体" w:cs="方正小标宋简体" w:hint="eastAsia"/>
          <w:sz w:val="72"/>
          <w:szCs w:val="72"/>
        </w:rPr>
      </w:pPr>
    </w:p>
    <w:p>
      <w:pPr>
        <w:widowControl/>
        <w:jc w:val="center"/>
        <w:rPr>
          <w:rFonts w:ascii="方正小标宋简体" w:eastAsia="方正小标宋简体" w:cs="方正小标宋简体" w:hint="eastAsia"/>
          <w:sz w:val="72"/>
          <w:szCs w:val="72"/>
        </w:rPr>
      </w:pPr>
    </w:p>
    <w:p>
      <w:pPr>
        <w:adjustRightInd w:val="0"/>
        <w:snapToGrid w:val="0"/>
        <w:spacing w:line="360" w:lineRule="auto"/>
        <w:jc w:val="center"/>
        <w:outlineLvl w:val="0"/>
        <w:rPr>
          <w:rFonts w:ascii="Times New Roman" w:eastAsia="黑体" w:hAnsi="Times New Roman" w:hint="eastAsia"/>
          <w:color w:val="auto"/>
          <w:sz w:val="48"/>
          <w:szCs w:val="48"/>
          <w:highlight w:val="auto"/>
        </w:rPr>
        <w:sectPr>
          <w:headerReference w:type="default" r:id="rId2"/>
          <w:footerReference w:type="default" r:id="rId3"/>
          <w:footerReference w:type="first" r:id="rId4"/>
          <w:pgSz w:w="11906" w:h="16838"/>
          <w:pgMar w:top="1440" w:right="1800" w:bottom="1440" w:left="1800" w:header="851" w:footer="992" w:gutter="0"/>
          <w:pgNumType w:start="1"/>
          <w:titlePg/>
          <w:docGrid w:type="lines" w:linePitch="312" w:charSpace="0"/>
        </w:sectPr>
      </w:pPr>
      <w:r>
        <w:rPr>
          <w:rFonts w:ascii="宋体" w:eastAsia="宋体" w:hint="eastAsia"/>
          <w:kern w:val="0"/>
          <w:sz w:val="24"/>
          <w:szCs w:val="24"/>
          <w:shd w:val="clear" w:color="auto" w:fill="FFFFFF"/>
        </w:rPr>
        <w:t>已经保密审查、内容审定，同意对外公开</w:t>
      </w:r>
    </w:p>
    <w:p>
      <w:pPr>
        <w:widowControl/>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3"/>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10</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10</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3"/>
        <w:tabs>
          <w:tab w:val="right" w:leader="dot" w:pos="8296"/>
        </w:tabs>
        <w:adjustRightInd w:val="0"/>
        <w:snapToGrid w:val="0"/>
        <w:spacing w:before="0" w:line="440" w:lineRule="exact"/>
        <w:jc w:val="left"/>
        <w:rPr>
          <w:rFonts w:cs="Arial"/>
          <w:sz w:val="24"/>
          <w:szCs w:val="24"/>
        </w:rPr>
      </w:pPr>
      <w:bookmarkStart w:id="6" w:name="_Toc15377196"/>
      <w:bookmarkStart w:id="7" w:name="_Toc15396599"/>
      <w:r>
        <w:rPr>
          <w:rFonts w:ascii="黑体" w:eastAsia="黑体" w:cs="黑体" w:hint="eastAsia"/>
          <w:sz w:val="32"/>
          <w:szCs w:val="36"/>
        </w:rPr>
        <w:t>第一部分 单位概况</w:t>
      </w:r>
      <w:r>
        <w:rPr>
          <w:rFonts w:ascii="Times New Roman" w:eastAsia="宋体" w:cs="Times New Roman" w:hAnsi="Times New Roman" w:hint="eastAsia"/>
          <w:kern w:val="2"/>
          <w:sz w:val="24"/>
          <w:szCs w:val="24"/>
          <w:lang w:val="en-US" w:eastAsia="zh-CN" w:bidi="ar-SA"/>
        </w:rPr>
        <w:t>...........................................................................................</w:t>
      </w:r>
      <w:r>
        <w:rPr>
          <w:rFonts w:cs="Times New Roman" w:hint="eastAsia"/>
          <w:sz w:val="24"/>
          <w:lang w:val="en-US" w:eastAsia="zh-CN"/>
        </w:rPr>
        <w:t>4</w:t>
      </w:r>
    </w:p>
    <w:p>
      <w:pPr>
        <w:pStyle w:val="26"/>
        <w:tabs>
          <w:tab w:val="right" w:leader="dot" w:pos="8296"/>
        </w:tabs>
        <w:adjustRightInd w:val="0"/>
        <w:snapToGrid w:val="0"/>
        <w:spacing w:line="440" w:lineRule="exact"/>
        <w:jc w:val="left"/>
        <w:rPr>
          <w:sz w:val="24"/>
        </w:rPr>
      </w:pPr>
      <w:r>
        <w:rPr>
          <w:rFonts w:ascii="仿宋_GB2312" w:eastAsia="仿宋_GB2312" w:cs="仿宋_GB2312" w:hint="eastAsia"/>
          <w:sz w:val="28"/>
          <w:szCs w:val="28"/>
        </w:rPr>
        <w:t>一、主要职责</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4</w:t>
      </w:r>
    </w:p>
    <w:p>
      <w:pPr>
        <w:pStyle w:val="26"/>
        <w:tabs>
          <w:tab w:val="right" w:leader="dot" w:pos="8296"/>
        </w:tabs>
        <w:adjustRightInd w:val="0"/>
        <w:snapToGrid w:val="0"/>
        <w:spacing w:line="440" w:lineRule="exact"/>
        <w:jc w:val="left"/>
        <w:rPr>
          <w:rFonts w:eastAsia="宋体" w:hint="eastAsia"/>
          <w:lang w:val="en-US" w:eastAsia="zh-CN"/>
        </w:rPr>
      </w:pPr>
      <w:r>
        <w:rPr>
          <w:rFonts w:ascii="仿宋_GB2312" w:eastAsia="仿宋_GB2312" w:cs="仿宋_GB2312" w:hint="eastAsia"/>
          <w:sz w:val="28"/>
          <w:szCs w:val="28"/>
        </w:rPr>
        <w:t>二、机构设置</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8</w:t>
      </w:r>
    </w:p>
    <w:p>
      <w:pPr>
        <w:pStyle w:val="23"/>
        <w:tabs>
          <w:tab w:val="right" w:leader="dot" w:pos="8296"/>
        </w:tabs>
        <w:adjustRightInd w:val="0"/>
        <w:snapToGrid w:val="0"/>
        <w:spacing w:before="0" w:line="440" w:lineRule="exact"/>
        <w:jc w:val="left"/>
        <w:rPr>
          <w:rFonts w:eastAsia="仿宋"/>
          <w:sz w:val="24"/>
          <w:szCs w:val="24"/>
          <w:lang w:val="en-US" w:eastAsia="zh-CN"/>
        </w:rPr>
      </w:pPr>
      <w:r>
        <w:rPr>
          <w:rFonts w:ascii="黑体" w:eastAsia="黑体" w:cs="黑体" w:hint="eastAsia"/>
          <w:sz w:val="32"/>
          <w:szCs w:val="36"/>
        </w:rPr>
        <w:t>第二部分 202</w:t>
      </w:r>
      <w:r>
        <w:rPr>
          <w:rFonts w:ascii="黑体" w:eastAsia="黑体" w:cs="黑体" w:hint="eastAsia"/>
          <w:sz w:val="32"/>
          <w:szCs w:val="36"/>
          <w:lang w:val="en-US" w:eastAsia="zh-CN"/>
        </w:rPr>
        <w:t>5</w:t>
      </w:r>
      <w:r>
        <w:rPr>
          <w:rFonts w:ascii="黑体" w:eastAsia="黑体" w:cs="黑体" w:hint="eastAsia"/>
          <w:sz w:val="32"/>
          <w:szCs w:val="36"/>
        </w:rPr>
        <w:t>年度单位决算情况说明</w:t>
      </w:r>
      <w:r>
        <w:rPr>
          <w:rFonts w:ascii="Times New Roman" w:eastAsia="宋体" w:cs="Times New Roman" w:hAnsi="Times New Roman" w:hint="eastAsia"/>
          <w:kern w:val="2"/>
          <w:sz w:val="24"/>
          <w:szCs w:val="24"/>
          <w:lang w:val="en-US" w:eastAsia="zh-CN" w:bidi="ar-SA"/>
        </w:rPr>
        <w:t>.............................................10</w:t>
      </w:r>
    </w:p>
    <w:p>
      <w:pPr>
        <w:pStyle w:val="26"/>
        <w:tabs>
          <w:tab w:val="right" w:leader="dot" w:pos="8296"/>
        </w:tabs>
        <w:adjustRightInd w:val="0"/>
        <w:snapToGrid w:val="0"/>
        <w:spacing w:line="440" w:lineRule="exact"/>
        <w:jc w:val="left"/>
        <w:rPr>
          <w:rFonts w:ascii="仿宋" w:eastAsia="宋体" w:cs="Arial" w:hAnsi="仿宋"/>
          <w:sz w:val="24"/>
          <w:lang w:val="en-US" w:eastAsia="zh-CN"/>
        </w:rPr>
      </w:pPr>
      <w:r>
        <w:rPr>
          <w:rFonts w:ascii="仿宋_GB2312" w:eastAsia="仿宋_GB2312" w:cs="仿宋_GB2312" w:hint="eastAsia"/>
          <w:sz w:val="28"/>
          <w:szCs w:val="28"/>
        </w:rPr>
        <w:t>一、收入支出决算总体情况说明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10</w:t>
      </w:r>
    </w:p>
    <w:p>
      <w:pPr>
        <w:pStyle w:val="26"/>
        <w:tabs>
          <w:tab w:val="right" w:leader="dot" w:pos="8296"/>
        </w:tabs>
        <w:adjustRightInd w:val="0"/>
        <w:snapToGrid w:val="0"/>
        <w:spacing w:line="440" w:lineRule="exact"/>
        <w:jc w:val="left"/>
        <w:rPr>
          <w:rFonts w:ascii="仿宋" w:eastAsia="宋体" w:cs="Arial" w:hAnsi="仿宋"/>
          <w:sz w:val="24"/>
          <w:lang w:val="en-US" w:eastAsia="zh-CN"/>
        </w:rPr>
      </w:pPr>
      <w:r>
        <w:rPr>
          <w:rFonts w:ascii="仿宋_GB2312" w:eastAsia="仿宋_GB2312" w:cs="仿宋_GB2312" w:hint="eastAsia"/>
          <w:sz w:val="28"/>
          <w:szCs w:val="28"/>
        </w:rPr>
        <w:t>二、收入决算情况说明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10</w:t>
      </w:r>
    </w:p>
    <w:p>
      <w:pPr>
        <w:pStyle w:val="26"/>
        <w:tabs>
          <w:tab w:val="right" w:leader="dot" w:pos="8296"/>
        </w:tabs>
        <w:adjustRightInd w:val="0"/>
        <w:snapToGrid w:val="0"/>
        <w:spacing w:line="440" w:lineRule="exact"/>
        <w:jc w:val="left"/>
        <w:rPr>
          <w:rFonts w:ascii="仿宋" w:eastAsia="宋体" w:cs="Arial" w:hAnsi="仿宋"/>
          <w:sz w:val="24"/>
          <w:lang w:val="en-US" w:eastAsia="zh-CN"/>
        </w:rPr>
      </w:pPr>
      <w:r>
        <w:rPr>
          <w:rFonts w:ascii="仿宋_GB2312" w:eastAsia="仿宋_GB2312" w:cs="仿宋_GB2312" w:hint="eastAsia"/>
          <w:sz w:val="28"/>
          <w:szCs w:val="28"/>
        </w:rPr>
        <w:t>三、支出决算情况说明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................................11</w:t>
      </w:r>
      <w:r>
        <w:rPr>
          <w:rFonts w:ascii="仿宋_GB2312" w:eastAsia="仿宋_GB2312" w:cs="仿宋_GB2312" w:hint="eastAsia"/>
          <w:sz w:val="28"/>
          <w:szCs w:val="28"/>
        </w:rPr>
        <w:t>四、财政拨款收入支出决算总体情况说明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........11</w:t>
      </w:r>
    </w:p>
    <w:p>
      <w:pPr>
        <w:pStyle w:val="26"/>
        <w:tabs>
          <w:tab w:val="right" w:leader="dot" w:pos="8296"/>
        </w:tabs>
        <w:adjustRightInd w:val="0"/>
        <w:snapToGrid w:val="0"/>
        <w:spacing w:line="440" w:lineRule="exact"/>
        <w:jc w:val="left"/>
        <w:rPr>
          <w:rFonts w:ascii="仿宋" w:eastAsia="宋体" w:cs="Arial" w:hAnsi="仿宋"/>
          <w:sz w:val="24"/>
          <w:lang w:val="en-US" w:eastAsia="zh-CN"/>
        </w:rPr>
      </w:pPr>
      <w:r>
        <w:rPr>
          <w:rFonts w:ascii="仿宋_GB2312" w:eastAsia="仿宋_GB2312" w:cs="仿宋_GB2312" w:hint="eastAsia"/>
          <w:sz w:val="28"/>
          <w:szCs w:val="28"/>
        </w:rPr>
        <w:t>五、一般公共预算财政拨款支出决算情况说明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12</w:t>
      </w:r>
      <w:r>
        <w:rPr>
          <w:rFonts w:ascii="仿宋_GB2312" w:eastAsia="仿宋_GB2312" w:cs="仿宋_GB2312" w:hint="eastAsia"/>
          <w:sz w:val="28"/>
          <w:szCs w:val="28"/>
        </w:rPr>
        <w:t>六、一般公共预算财政拨款基本支出决算情况说明</w:t>
      </w:r>
      <w:r>
        <w:rPr>
          <w:rFonts w:cs="Times New Roman" w:hint="eastAsia"/>
          <w:sz w:val="24"/>
        </w:rPr>
        <w:t>........................</w:t>
      </w:r>
      <w:r>
        <w:rPr>
          <w:rFonts w:cs="Times New Roman" w:hint="eastAsia"/>
          <w:sz w:val="24"/>
          <w:lang w:val="en-US" w:eastAsia="zh-CN"/>
        </w:rPr>
        <w:t>...18</w:t>
      </w:r>
    </w:p>
    <w:p>
      <w:pPr>
        <w:pStyle w:val="26"/>
        <w:tabs>
          <w:tab w:val="right" w:leader="dot" w:pos="8296"/>
        </w:tabs>
        <w:adjustRightInd w:val="0"/>
        <w:snapToGrid w:val="0"/>
        <w:spacing w:line="440" w:lineRule="exact"/>
        <w:jc w:val="left"/>
        <w:rPr>
          <w:rFonts w:ascii="仿宋" w:eastAsia="仿宋" w:cs="Arial"/>
          <w:sz w:val="24"/>
          <w:lang w:val="en-US"/>
        </w:rPr>
      </w:pPr>
      <w:r>
        <w:rPr>
          <w:rFonts w:ascii="仿宋_GB2312" w:eastAsia="仿宋_GB2312" w:cs="仿宋_GB2312" w:hint="eastAsia"/>
          <w:sz w:val="28"/>
          <w:szCs w:val="28"/>
        </w:rPr>
        <w:t>七、财政拨款“三公”经费支出决算情况说明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18</w:t>
      </w:r>
    </w:p>
    <w:p>
      <w:pPr>
        <w:pStyle w:val="26"/>
        <w:tabs>
          <w:tab w:val="right" w:leader="dot" w:pos="8296"/>
        </w:tabs>
        <w:adjustRightInd w:val="0"/>
        <w:snapToGrid w:val="0"/>
        <w:spacing w:line="440" w:lineRule="exact"/>
        <w:jc w:val="left"/>
        <w:rPr>
          <w:rFonts w:ascii="仿宋" w:eastAsia="仿宋" w:cs="Arial"/>
          <w:sz w:val="24"/>
          <w:lang w:val="en-US"/>
        </w:rPr>
      </w:pPr>
      <w:r>
        <w:rPr>
          <w:rFonts w:ascii="仿宋_GB2312" w:eastAsia="仿宋_GB2312" w:cs="仿宋_GB2312" w:hint="eastAsia"/>
          <w:sz w:val="28"/>
          <w:szCs w:val="28"/>
        </w:rPr>
        <w:t>八、政府性基金预算支出决算情况说明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....20</w:t>
      </w:r>
    </w:p>
    <w:p>
      <w:pPr>
        <w:pStyle w:val="26"/>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九、国有资本经营预算支出决算情况说明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20</w:t>
      </w:r>
    </w:p>
    <w:p>
      <w:pPr>
        <w:pStyle w:val="26"/>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十、其他重要事项的情况说明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..................21</w:t>
      </w:r>
    </w:p>
    <w:p>
      <w:pPr>
        <w:pStyle w:val="23"/>
        <w:tabs>
          <w:tab w:val="right" w:leader="dot" w:pos="8296"/>
        </w:tabs>
        <w:adjustRightInd w:val="0"/>
        <w:snapToGrid w:val="0"/>
        <w:spacing w:before="0" w:line="440" w:lineRule="exact"/>
        <w:jc w:val="left"/>
        <w:rPr>
          <w:rFonts w:ascii="Times New Roman" w:eastAsia="宋体" w:cs="Times New Roman" w:hAnsi="Times New Roman"/>
          <w:kern w:val="2"/>
          <w:sz w:val="24"/>
          <w:szCs w:val="24"/>
          <w:lang w:val="en-US" w:eastAsia="zh-CN" w:bidi="ar-SA"/>
        </w:rPr>
      </w:pPr>
      <w:r>
        <w:rPr>
          <w:rFonts w:ascii="黑体" w:eastAsia="黑体" w:cs="黑体" w:hint="eastAsia"/>
          <w:sz w:val="32"/>
          <w:szCs w:val="36"/>
        </w:rPr>
        <w:t>第三部分 名词解释</w:t>
      </w:r>
      <w:r>
        <w:rPr>
          <w:rFonts w:ascii="Times New Roman" w:eastAsia="宋体" w:cs="Times New Roman" w:hAnsi="Times New Roman" w:hint="eastAsia"/>
          <w:kern w:val="2"/>
          <w:sz w:val="24"/>
          <w:szCs w:val="24"/>
          <w:lang w:val="en-US" w:eastAsia="zh-CN" w:bidi="ar-SA"/>
        </w:rPr>
        <w:t>.........................................................................................23</w:t>
      </w:r>
    </w:p>
    <w:p>
      <w:pPr>
        <w:pStyle w:val="23"/>
        <w:tabs>
          <w:tab w:val="right" w:leader="dot" w:pos="8296"/>
        </w:tabs>
        <w:adjustRightInd w:val="0"/>
        <w:snapToGrid w:val="0"/>
        <w:spacing w:before="0" w:line="440" w:lineRule="exact"/>
        <w:jc w:val="left"/>
        <w:rPr>
          <w:rFonts w:ascii="Times New Roman" w:eastAsia="宋体" w:cs="Times New Roman" w:hAnsi="Times New Roman"/>
          <w:kern w:val="2"/>
          <w:sz w:val="24"/>
          <w:szCs w:val="24"/>
          <w:lang w:val="en-US" w:eastAsia="zh-CN" w:bidi="ar-SA"/>
        </w:rPr>
      </w:pPr>
      <w:r>
        <w:rPr>
          <w:rFonts w:ascii="黑体" w:eastAsia="黑体" w:cs="黑体" w:hint="eastAsia"/>
          <w:sz w:val="32"/>
          <w:szCs w:val="36"/>
        </w:rPr>
        <w:t>第四部分 附件</w:t>
      </w:r>
      <w:r>
        <w:rPr>
          <w:rFonts w:ascii="Times New Roman" w:eastAsia="宋体" w:cs="Times New Roman" w:hAnsi="Times New Roman" w:hint="eastAsia"/>
          <w:kern w:val="2"/>
          <w:sz w:val="24"/>
          <w:szCs w:val="24"/>
          <w:lang w:val="en-US" w:eastAsia="zh-CN" w:bidi="ar-SA"/>
        </w:rPr>
        <w:t>...................................................................................................27</w:t>
      </w:r>
      <w:r>
        <w:rPr>
          <w:rFonts w:ascii="黑体" w:eastAsia="黑体" w:cs="黑体" w:hint="eastAsia"/>
          <w:sz w:val="32"/>
          <w:szCs w:val="36"/>
        </w:rPr>
        <w:t>第五部分 附表</w:t>
      </w:r>
      <w:r>
        <w:rPr>
          <w:rFonts w:ascii="Times New Roman" w:eastAsia="宋体" w:cs="Times New Roman" w:hAnsi="Times New Roman" w:hint="eastAsia"/>
          <w:kern w:val="2"/>
          <w:sz w:val="24"/>
          <w:szCs w:val="24"/>
          <w:lang w:val="en-US" w:eastAsia="zh-CN" w:bidi="ar-SA"/>
        </w:rPr>
        <w:t>...................................................................................................27</w:t>
      </w:r>
    </w:p>
    <w:p>
      <w:pPr>
        <w:pStyle w:val="26"/>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一、收入支出决算总表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r>
        <w:rPr>
          <w:rFonts w:ascii="仿宋_GB2312" w:eastAsia="仿宋_GB2312" w:cs="仿宋_GB2312" w:hint="eastAsia"/>
          <w:sz w:val="28"/>
          <w:szCs w:val="28"/>
        </w:rPr>
        <w:t>二、收入决算表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r>
        <w:rPr>
          <w:rFonts w:ascii="仿宋_GB2312" w:eastAsia="仿宋_GB2312" w:cs="仿宋_GB2312" w:hint="eastAsia"/>
          <w:sz w:val="28"/>
          <w:szCs w:val="28"/>
        </w:rPr>
        <w:t>三、支出决算表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p>
    <w:p>
      <w:pPr>
        <w:pStyle w:val="26"/>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四、财政拨款收入支出决算总表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r>
        <w:rPr>
          <w:rFonts w:ascii="仿宋_GB2312" w:eastAsia="仿宋_GB2312" w:cs="仿宋_GB2312" w:hint="eastAsia"/>
          <w:sz w:val="28"/>
          <w:szCs w:val="28"/>
        </w:rPr>
        <w:t>五、财政拨款支出决算明细表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p>
    <w:p>
      <w:pPr>
        <w:pStyle w:val="26"/>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六、一般公共预算财政拨款支出决算表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r>
        <w:rPr>
          <w:rFonts w:ascii="仿宋_GB2312" w:eastAsia="仿宋_GB2312" w:cs="仿宋_GB2312" w:hint="eastAsia"/>
          <w:sz w:val="28"/>
          <w:szCs w:val="28"/>
        </w:rPr>
        <w:t>七、一般公共预算财政拨款支出决算明细表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r>
        <w:rPr>
          <w:rFonts w:ascii="仿宋_GB2312" w:eastAsia="仿宋_GB2312" w:cs="仿宋_GB2312" w:hint="eastAsia"/>
          <w:sz w:val="28"/>
          <w:szCs w:val="28"/>
        </w:rPr>
        <w:t>八、一般公共预算财政拨款基本支出决算明细表</w:t>
      </w:r>
      <w:r>
        <w:rPr>
          <w:rFonts w:cs="Times New Roman" w:hint="eastAsia"/>
          <w:sz w:val="24"/>
        </w:rPr>
        <w:t>....................</w:t>
      </w:r>
      <w:r>
        <w:rPr>
          <w:rFonts w:cs="Times New Roman" w:hint="eastAsia"/>
          <w:sz w:val="24"/>
          <w:lang w:val="en-US" w:eastAsia="zh-CN"/>
        </w:rPr>
        <w:t>...........27</w:t>
      </w:r>
    </w:p>
    <w:p>
      <w:pPr>
        <w:pStyle w:val="26"/>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九、一般公共预算财政拨款项目支出决算表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p>
    <w:p>
      <w:pPr>
        <w:pStyle w:val="26"/>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十、政府性基金预算财政拨款收入支出决算表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r>
        <w:rPr>
          <w:rFonts w:ascii="仿宋_GB2312" w:eastAsia="仿宋_GB2312" w:cs="仿宋_GB2312" w:hint="eastAsia"/>
          <w:sz w:val="28"/>
          <w:szCs w:val="28"/>
        </w:rPr>
        <w:t>十一、国有资本经营预算财政拨款收入支出决算表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r>
        <w:rPr>
          <w:rFonts w:ascii="仿宋_GB2312" w:eastAsia="仿宋_GB2312" w:cs="仿宋_GB2312" w:hint="eastAsia"/>
          <w:sz w:val="28"/>
          <w:szCs w:val="28"/>
        </w:rPr>
        <w:t>十二、国有资本经营预算财政拨款支出决算表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r>
        <w:rPr>
          <w:rFonts w:ascii="仿宋_GB2312" w:eastAsia="仿宋_GB2312" w:cs="仿宋_GB2312" w:hint="eastAsia"/>
          <w:sz w:val="28"/>
          <w:szCs w:val="28"/>
        </w:rPr>
        <w:t>十三、财政拨款“三公”经费支出决算表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27</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r>
        <w:rPr>
          <w:rFonts w:ascii="Times New Roman" w:eastAsia="仿宋_GB2312" w:cs="仿宋_GB2312" w:hAnsi="Times New Roman" w:hint="eastAsia"/>
          <w:b/>
          <w:color w:val="auto"/>
          <w:sz w:val="32"/>
          <w:szCs w:val="32"/>
          <w:highlight w:val="auto"/>
        </w:rPr>
        <w:br w:type="page"/>
      </w:r>
    </w:p>
    <w:p>
      <w:pPr>
        <w:pStyle w:val="1"/>
        <w:jc w:val="center"/>
        <w:rPr>
          <w:rFonts w:ascii="Times New Roman" w:eastAsia="黑体" w:hAnsi="Times New Roman"/>
          <w:color w:val="auto"/>
          <w:sz w:val="32"/>
          <w:szCs w:val="32"/>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6"/>
      <w:bookmarkEnd w:id="7"/>
    </w:p>
    <w:p>
      <w:pPr>
        <w:pStyle w:val="2"/>
        <w:numPr>
          <w:ilvl w:val="0"/>
          <w:numId w:val="1"/>
        </w:numPr>
        <w:rPr>
          <w:rFonts w:ascii="Times New Roman" w:eastAsia="黑体" w:hAnsi="Times New Roman" w:hint="eastAsia"/>
          <w:b w:val="0"/>
          <w:color w:val="auto"/>
          <w:lang w:eastAsia="zh-CN"/>
          <w:highlight w:val="auto"/>
        </w:rPr>
      </w:pPr>
      <w:r>
        <w:rPr>
          <w:rFonts w:ascii="Times New Roman" w:eastAsia="黑体" w:hAnsi="Times New Roman" w:hint="eastAsia"/>
          <w:b w:val="0"/>
          <w:color w:val="auto"/>
          <w:lang w:eastAsia="zh-CN"/>
          <w:highlight w:val="auto"/>
        </w:rPr>
        <w:t>部门职责</w:t>
      </w:r>
    </w:p>
    <w:p>
      <w:pPr>
        <w:snapToGrid w:val="0"/>
        <w:spacing w:line="520" w:lineRule="exact"/>
        <w:ind w:firstLineChars="200" w:firstLine="640"/>
        <w:rPr>
          <w:rFonts w:ascii="黑体" w:eastAsia="黑体" w:hint="eastAsia"/>
          <w:sz w:val="32"/>
          <w:szCs w:val="32"/>
        </w:rPr>
      </w:pPr>
      <w:r>
        <w:rPr>
          <w:rFonts w:ascii="黑体" w:eastAsia="黑体" w:hint="eastAsia"/>
          <w:sz w:val="32"/>
          <w:szCs w:val="32"/>
        </w:rPr>
        <w:t>（一）基本情况。</w:t>
      </w:r>
    </w:p>
    <w:p>
      <w:pPr>
        <w:snapToGrid w:val="0"/>
        <w:spacing w:line="520" w:lineRule="exact"/>
        <w:ind w:firstLineChars="200" w:firstLine="640"/>
        <w:rPr>
          <w:rFonts w:ascii="仿宋_GB2312" w:eastAsia="仿宋_GB2312" w:hint="eastAsia"/>
          <w:sz w:val="32"/>
          <w:szCs w:val="32"/>
        </w:rPr>
      </w:pPr>
      <w:r>
        <w:rPr>
          <w:rFonts w:ascii="仿宋_GB2312" w:eastAsia="仿宋_GB2312" w:hint="eastAsia"/>
          <w:sz w:val="32"/>
          <w:szCs w:val="32"/>
        </w:rPr>
        <w:t>1．主要职能。</w:t>
      </w:r>
    </w:p>
    <w:p>
      <w:pPr>
        <w:snapToGrid w:val="0"/>
        <w:spacing w:line="520" w:lineRule="exact"/>
        <w:ind w:firstLineChars="200" w:firstLine="640"/>
        <w:rPr>
          <w:rFonts w:ascii="仿宋_GB2312" w:eastAsia="仿宋_GB2312" w:hint="eastAsia"/>
          <w:sz w:val="32"/>
          <w:szCs w:val="32"/>
        </w:rPr>
      </w:pPr>
      <w:r>
        <w:rPr>
          <w:rFonts w:ascii="仿宋_GB2312" w:eastAsia="仿宋_GB2312" w:hint="eastAsia"/>
          <w:sz w:val="32"/>
          <w:szCs w:val="32"/>
        </w:rPr>
        <w:t>若尔盖县林业和草原局的主要职责是：承担全县森林、草原和湿地、荒漠化动态监测和考核评价；监督和管理各类自然保护地；负责全县森林(公益林）、草原、湿地、陆生野生动植物、自然保护区、湿地公园、生物多样性的监督管理和保护；编制全县森林采伐限额并指导监督林木凭证采伐、运输；组织编制林地保护利用及草原、湿地开发利用规划；承担国际湿地公约履约有关工作；指导编制森林经营规划和森林经营方案；开展陆生野生动植物资源调查和资源状况评估，研究提出全县重点保护陆生野生动植物名录调整意见，指导陆生野生动植物疫源疫病的监测，按分工监督管理野生动植物进出口；监督管理全县林木种苗、草种质量和指导生产经营行为、检验检疫工作，开展林业和草原有害生物防治工作；负责森林和草原火情监测、预警、预防工作；指导基层林业站的建设和管理；负责本系统行政执法工作；承担审批服务便民化有关工作。组织实施草原、自然保护地、湿地等生态修复工作；实施植树造林、封山育林和公益林建设；负责全县草原沙化监测及治理工作；负责全县天然林资源保护工程和退耕还林工程的实施；组织开展全县草原建设、退化草原治理、鼠虫害监测及防治等先进实用技术的推广服务工作；负责草原禁牧、草畜平衡工作，负责全县基本草原划定监督管理工作；组织开展全县林业和草原先进技术推广工作；承担县绿化委员会日常工作。</w:t>
      </w:r>
    </w:p>
    <w:p>
      <w:pPr>
        <w:snapToGrid w:val="0"/>
        <w:spacing w:line="520" w:lineRule="exact"/>
        <w:ind w:firstLineChars="200" w:firstLine="640"/>
        <w:rPr>
          <w:rFonts w:ascii="楷体_GB2312" w:eastAsia="楷体_GB2312" w:hint="eastAsia"/>
          <w:b/>
          <w:sz w:val="32"/>
          <w:szCs w:val="32"/>
        </w:rPr>
      </w:pPr>
      <w:r>
        <w:rPr>
          <w:rFonts w:ascii="楷体_GB2312" w:eastAsia="楷体_GB2312" w:hint="eastAsia"/>
          <w:b/>
          <w:sz w:val="32"/>
          <w:szCs w:val="32"/>
        </w:rPr>
        <w:t>（二）当年取得的主要事业成效。</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楷体_GB2312" w:eastAsia="楷体_GB2312" w:cs="楷体_GB2312" w:hint="eastAsia"/>
          <w:b/>
          <w:bCs/>
          <w:i w:val="0"/>
          <w:iCs w:val="0"/>
          <w:caps w:val="0"/>
          <w:smallCaps w:val="0"/>
          <w:spacing w:val="0"/>
          <w:sz w:val="32"/>
          <w:szCs w:val="32"/>
        </w:rPr>
      </w:pPr>
      <w:r>
        <w:rPr>
          <w:rFonts w:ascii="楷体_GB2312" w:eastAsia="楷体_GB2312" w:cs="楷体_GB2312" w:hint="eastAsia"/>
          <w:b/>
          <w:bCs/>
          <w:kern w:val="2"/>
          <w:sz w:val="32"/>
          <w:szCs w:val="32"/>
          <w:lang w:val="en-US" w:eastAsia="zh-CN" w:bidi="ar-SA"/>
        </w:rPr>
        <w:t>1、</w:t>
      </w:r>
      <w:r>
        <w:rPr>
          <w:rFonts w:ascii="楷体_GB2312" w:eastAsia="楷体_GB2312" w:cs="楷体_GB2312" w:hint="eastAsia"/>
          <w:b/>
          <w:bCs/>
          <w:i w:val="0"/>
          <w:iCs w:val="0"/>
          <w:caps w:val="0"/>
          <w:smallCaps w:val="0"/>
          <w:spacing w:val="0"/>
          <w:sz w:val="32"/>
          <w:szCs w:val="32"/>
        </w:rPr>
        <w:t xml:space="preserve">党建领航聚合力，筑牢生态保护组织堡垒 </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b w:val="0"/>
          <w:bCs w:val="0"/>
          <w:kern w:val="2"/>
          <w:sz w:val="32"/>
          <w:szCs w:val="32"/>
          <w:lang w:val="en-US" w:eastAsia="zh-CN" w:bidi="ar-SA"/>
        </w:rPr>
      </w:pPr>
      <w:r>
        <w:rPr>
          <w:rFonts w:ascii="仿宋_GB2312" w:eastAsia="仿宋_GB2312" w:cs="仿宋_GB2312" w:hint="eastAsia"/>
          <w:b w:val="0"/>
          <w:bCs w:val="0"/>
          <w:kern w:val="2"/>
          <w:sz w:val="32"/>
          <w:szCs w:val="32"/>
          <w:lang w:val="en-US" w:eastAsia="zh-CN" w:bidi="ar-SA"/>
        </w:rPr>
        <w:t>以高质量党建引领林草事业发展，将政治建设贯穿始终</w:t>
      </w:r>
      <w:r>
        <w:rPr>
          <w:rFonts w:ascii="仿宋_GB2312" w:eastAsia="仿宋_GB2312" w:cs="仿宋_GB2312" w:hint="eastAsia"/>
          <w:b/>
          <w:bCs/>
          <w:kern w:val="2"/>
          <w:sz w:val="32"/>
          <w:szCs w:val="32"/>
          <w:lang w:val="en-US" w:eastAsia="zh-CN" w:bidi="ar-SA"/>
        </w:rPr>
        <w:t>。一是</w:t>
      </w:r>
      <w:r>
        <w:rPr>
          <w:rFonts w:ascii="仿宋_GB2312" w:eastAsia="仿宋_GB2312" w:cs="仿宋_GB2312" w:hint="eastAsia"/>
          <w:b w:val="0"/>
          <w:bCs w:val="0"/>
          <w:kern w:val="2"/>
          <w:sz w:val="32"/>
          <w:szCs w:val="32"/>
          <w:lang w:val="en-US" w:eastAsia="zh-CN" w:bidi="ar-SA"/>
        </w:rPr>
        <w:t>深化理论武装，严格执行 “第一议题” 制度，聚焦习近平总书记关于生态文明建设、林草工作的重要论述构建 “学思践悟” 闭环，全年开展专题学习研讨 13 次，推动理论落地。</w:t>
      </w:r>
      <w:r>
        <w:rPr>
          <w:rFonts w:ascii="仿宋_GB2312" w:eastAsia="仿宋_GB2312" w:cs="仿宋_GB2312" w:hint="eastAsia"/>
          <w:b/>
          <w:bCs/>
          <w:kern w:val="2"/>
          <w:sz w:val="32"/>
          <w:szCs w:val="32"/>
          <w:lang w:val="en-US" w:eastAsia="zh-CN" w:bidi="ar-SA"/>
        </w:rPr>
        <w:t>二是</w:t>
      </w:r>
      <w:r>
        <w:rPr>
          <w:rFonts w:ascii="仿宋_GB2312" w:eastAsia="仿宋_GB2312" w:cs="仿宋_GB2312" w:hint="eastAsia"/>
          <w:b w:val="0"/>
          <w:bCs w:val="0"/>
          <w:kern w:val="2"/>
          <w:sz w:val="32"/>
          <w:szCs w:val="32"/>
          <w:lang w:val="en-US" w:eastAsia="zh-CN" w:bidi="ar-SA"/>
        </w:rPr>
        <w:t>夯实组织基础，以党支部标准化建设为抓手，落实 “三会一课” 等制度，创新 “党建 + 生态保护”“党建 + 林草普法” 模式，全年召开组织生活会2次，实现谈心谈话全覆盖，强化党员管理。</w:t>
      </w:r>
      <w:r>
        <w:rPr>
          <w:rFonts w:ascii="仿宋_GB2312" w:eastAsia="仿宋_GB2312" w:cs="仿宋_GB2312" w:hint="eastAsia"/>
          <w:b/>
          <w:bCs/>
          <w:kern w:val="2"/>
          <w:sz w:val="32"/>
          <w:szCs w:val="32"/>
          <w:lang w:val="en-US" w:eastAsia="zh-CN" w:bidi="ar-SA"/>
        </w:rPr>
        <w:t>三是</w:t>
      </w:r>
      <w:r>
        <w:rPr>
          <w:rFonts w:ascii="仿宋_GB2312" w:eastAsia="仿宋_GB2312" w:cs="仿宋_GB2312" w:hint="eastAsia"/>
          <w:b w:val="0"/>
          <w:bCs w:val="0"/>
          <w:kern w:val="2"/>
          <w:sz w:val="32"/>
          <w:szCs w:val="32"/>
          <w:lang w:val="en-US" w:eastAsia="zh-CN" w:bidi="ar-SA"/>
        </w:rPr>
        <w:t>健全责任体系，构建 “党组统筹、支部主抓、党员尽责” 三级网络，将党建与林长制、森林草原防灭火等中心工作同考核，层层压实责任。</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楷体_GB2312" w:eastAsia="楷体_GB2312" w:cs="楷体_GB2312" w:hint="eastAsia"/>
          <w:b/>
          <w:bCs/>
          <w:kern w:val="2"/>
          <w:sz w:val="32"/>
          <w:szCs w:val="32"/>
          <w:lang w:val="en-US" w:eastAsia="zh-CN" w:bidi="ar-SA"/>
        </w:rPr>
      </w:pPr>
      <w:r>
        <w:rPr>
          <w:rFonts w:ascii="楷体_GB2312" w:eastAsia="楷体_GB2312" w:cs="楷体_GB2312" w:hint="eastAsia"/>
          <w:b/>
          <w:bCs/>
          <w:kern w:val="2"/>
          <w:sz w:val="32"/>
          <w:szCs w:val="32"/>
          <w:lang w:val="en-US" w:eastAsia="zh-CN" w:bidi="ar-SA"/>
        </w:rPr>
        <w:t>2、廉润林草守底线，涵养风清气正政治生态</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b w:val="0"/>
          <w:bCs w:val="0"/>
          <w:kern w:val="2"/>
          <w:sz w:val="32"/>
          <w:szCs w:val="32"/>
          <w:lang w:val="en-US" w:eastAsia="zh-CN" w:bidi="ar-SA"/>
        </w:rPr>
      </w:pPr>
      <w:r>
        <w:rPr>
          <w:rFonts w:ascii="仿宋_GB2312" w:eastAsia="仿宋_GB2312" w:cs="仿宋_GB2312" w:hint="eastAsia"/>
          <w:b w:val="0"/>
          <w:bCs w:val="0"/>
          <w:kern w:val="2"/>
          <w:sz w:val="32"/>
          <w:szCs w:val="32"/>
          <w:lang w:val="en-US" w:eastAsia="zh-CN" w:bidi="ar-SA"/>
        </w:rPr>
        <w:t>坚持严的基调推进全面从严治党。</w:t>
      </w:r>
      <w:r>
        <w:rPr>
          <w:rFonts w:ascii="仿宋_GB2312" w:eastAsia="仿宋_GB2312" w:cs="仿宋_GB2312" w:hint="eastAsia"/>
          <w:b/>
          <w:bCs/>
          <w:kern w:val="2"/>
          <w:sz w:val="32"/>
          <w:szCs w:val="32"/>
          <w:lang w:val="en-US" w:eastAsia="zh-CN" w:bidi="ar-SA"/>
        </w:rPr>
        <w:t>一是</w:t>
      </w:r>
      <w:r>
        <w:rPr>
          <w:rFonts w:ascii="仿宋_GB2312" w:eastAsia="仿宋_GB2312" w:cs="仿宋_GB2312" w:hint="eastAsia"/>
          <w:b w:val="0"/>
          <w:bCs w:val="0"/>
          <w:kern w:val="2"/>
          <w:sz w:val="32"/>
          <w:szCs w:val="32"/>
          <w:lang w:val="en-US" w:eastAsia="zh-CN" w:bidi="ar-SA"/>
        </w:rPr>
        <w:t>压实 “两个责任”，建立廉政与业务工作同研究、同部署、同落实、同检查“四同步” 机制。</w:t>
      </w:r>
      <w:r>
        <w:rPr>
          <w:rFonts w:ascii="仿宋_GB2312" w:eastAsia="仿宋_GB2312" w:cs="仿宋_GB2312" w:hint="eastAsia"/>
          <w:b/>
          <w:bCs/>
          <w:kern w:val="2"/>
          <w:sz w:val="32"/>
          <w:szCs w:val="32"/>
          <w:lang w:val="en-US" w:eastAsia="zh-CN" w:bidi="ar-SA"/>
        </w:rPr>
        <w:t>二是</w:t>
      </w:r>
      <w:r>
        <w:rPr>
          <w:rFonts w:ascii="仿宋_GB2312" w:eastAsia="仿宋_GB2312" w:cs="仿宋_GB2312" w:hint="eastAsia"/>
          <w:b w:val="0"/>
          <w:bCs w:val="0"/>
          <w:kern w:val="2"/>
          <w:sz w:val="32"/>
          <w:szCs w:val="32"/>
          <w:lang w:val="en-US" w:eastAsia="zh-CN" w:bidi="ar-SA"/>
        </w:rPr>
        <w:t>强化制度约束，不断健全和完善请销假、上下班考勤等制度，紧盯重要节假日，坚持常态化廉洁教育提醒，切实提高党员干部纪律、规矩意识；</w:t>
      </w:r>
      <w:r>
        <w:rPr>
          <w:rFonts w:ascii="仿宋_GB2312" w:eastAsia="仿宋_GB2312" w:cs="仿宋_GB2312" w:hint="eastAsia"/>
          <w:b/>
          <w:bCs/>
          <w:kern w:val="2"/>
          <w:sz w:val="32"/>
          <w:szCs w:val="32"/>
          <w:lang w:val="en-US" w:eastAsia="zh-CN" w:bidi="ar-SA"/>
        </w:rPr>
        <w:t>三是</w:t>
      </w:r>
      <w:r>
        <w:rPr>
          <w:rFonts w:ascii="仿宋_GB2312" w:eastAsia="仿宋_GB2312" w:cs="仿宋_GB2312" w:hint="eastAsia"/>
          <w:b w:val="0"/>
          <w:bCs w:val="0"/>
          <w:kern w:val="2"/>
          <w:sz w:val="32"/>
          <w:szCs w:val="32"/>
          <w:lang w:val="en-US" w:eastAsia="zh-CN" w:bidi="ar-SA"/>
        </w:rPr>
        <w:t>深化警示教育，组织观看《</w:t>
      </w:r>
      <w:r>
        <w:rPr>
          <w:rFonts w:ascii="仿宋_GB2312" w:eastAsia="仿宋_GB2312" w:cs="仿宋_GB2312" w:hint="eastAsia"/>
          <w:b w:val="0"/>
          <w:bCs w:val="0"/>
          <w:sz w:val="32"/>
          <w:szCs w:val="32"/>
          <w:lang w:eastAsia="zh-CN"/>
        </w:rPr>
        <w:t>灭蚁</w:t>
      </w:r>
      <w:r>
        <w:rPr>
          <w:rFonts w:ascii="仿宋_GB2312" w:eastAsia="仿宋_GB2312" w:cs="仿宋_GB2312" w:hint="eastAsia"/>
          <w:b w:val="0"/>
          <w:bCs w:val="0"/>
          <w:kern w:val="2"/>
          <w:sz w:val="32"/>
          <w:szCs w:val="32"/>
          <w:lang w:val="en-US" w:eastAsia="zh-CN" w:bidi="ar-SA"/>
        </w:rPr>
        <w:t>》《正风》等影片、学习典型案例，全年开展警示教育3次，覆盖60余人次，</w:t>
      </w:r>
      <w:r>
        <w:rPr>
          <w:rFonts w:ascii="仿宋_GB2312" w:eastAsia="仿宋_GB2312" w:cs="仿宋_GB2312" w:hint="eastAsia"/>
          <w:kern w:val="2"/>
          <w:sz w:val="32"/>
          <w:szCs w:val="32"/>
          <w:lang w:val="en-US" w:eastAsia="zh-CN" w:bidi="ar-SA"/>
        </w:rPr>
        <w:t>进一步打牢廉洁从政的思想政治基础</w:t>
      </w:r>
      <w:r>
        <w:rPr>
          <w:rFonts w:ascii="仿宋_GB2312" w:eastAsia="仿宋_GB2312" w:cs="仿宋_GB2312" w:hint="eastAsia"/>
          <w:b w:val="0"/>
          <w:bCs w:val="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楷体_GB2312" w:eastAsia="楷体_GB2312" w:cs="楷体_GB2312" w:hint="eastAsia"/>
          <w:b/>
          <w:bCs/>
          <w:kern w:val="2"/>
          <w:sz w:val="32"/>
          <w:szCs w:val="32"/>
          <w:lang w:val="en-US" w:eastAsia="zh-CN" w:bidi="ar-SA"/>
        </w:rPr>
      </w:pPr>
      <w:r>
        <w:rPr>
          <w:rFonts w:ascii="楷体_GB2312" w:eastAsia="楷体_GB2312" w:cs="楷体_GB2312" w:hint="eastAsia"/>
          <w:b/>
          <w:bCs/>
          <w:kern w:val="2"/>
          <w:sz w:val="32"/>
          <w:szCs w:val="32"/>
          <w:lang w:val="en-US" w:eastAsia="zh-CN" w:bidi="ar-SA"/>
        </w:rPr>
        <w:t>3、增绿固屏担使命，筑牢生态安全屏障</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2025年，我局持续坚持“事前精准、事中精细、事后精致”的项目三精管理模式，总投资9126.55万元，实施生态治理项目16个（其中新建项目6个、补植补栽项目10个）。累计完成沙化治理1.13 万亩，草原生态修复5.15万亩（天然草原改良4万亩、补播乡土草种1.15万亩、围栏封育2.45万米）、防控鼠害16.14万亩，湿地封禁4.75万亩、建设围栏5.42万米。</w:t>
      </w:r>
    </w:p>
    <w:p>
      <w:pPr>
        <w:pStyle w:val="21"/>
        <w:keepNext w:val="0"/>
        <w:keepLines w:val="0"/>
        <w:pageBreakBefore w:val="0"/>
        <w:widowControl w:val="0"/>
        <w:tabs>
          <w:tab w:val="center" w:pos="4153"/>
          <w:tab w:val="right" w:pos="8306"/>
        </w:tabs>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bCs/>
          <w:kern w:val="2"/>
          <w:sz w:val="32"/>
          <w:szCs w:val="32"/>
          <w:lang w:val="en-US" w:eastAsia="zh-CN" w:bidi="ar-SA"/>
        </w:rPr>
        <w:t>（1）.沙化治理项目。</w:t>
      </w:r>
      <w:r>
        <w:rPr>
          <w:rFonts w:ascii="仿宋_GB2312" w:eastAsia="仿宋_GB2312" w:cs="仿宋_GB2312" w:hint="eastAsia"/>
          <w:b w:val="0"/>
          <w:bCs w:val="0"/>
          <w:sz w:val="32"/>
          <w:szCs w:val="32"/>
          <w:lang w:val="en-US" w:eastAsia="zh-CN"/>
        </w:rPr>
        <w:t>总投资2910万元，新建项目2个。</w:t>
      </w:r>
      <w:r>
        <w:rPr>
          <w:rFonts w:ascii="仿宋_GB2312" w:eastAsia="仿宋_GB2312" w:cs="仿宋_GB2312" w:hint="eastAsia"/>
          <w:b/>
          <w:bCs/>
          <w:sz w:val="32"/>
          <w:szCs w:val="32"/>
          <w:lang w:val="en-US" w:eastAsia="zh-CN"/>
        </w:rPr>
        <w:t>一是</w:t>
      </w:r>
      <w:r>
        <w:rPr>
          <w:rFonts w:ascii="仿宋_GB2312" w:eastAsia="仿宋_GB2312" w:cs="仿宋_GB2312" w:hint="eastAsia"/>
          <w:b w:val="0"/>
          <w:bCs w:val="0"/>
          <w:sz w:val="32"/>
          <w:szCs w:val="32"/>
          <w:lang w:val="en-US" w:eastAsia="zh-CN"/>
        </w:rPr>
        <w:t>“2024年若尔盖县省级财政林业草原改革发展专项资金沙化治理项目”，投资910万元，完成沙化治理面积1.13万亩,已完成初步验收;</w:t>
      </w:r>
      <w:r>
        <w:rPr>
          <w:rFonts w:ascii="仿宋_GB2312" w:eastAsia="仿宋_GB2312" w:cs="仿宋_GB2312" w:hint="eastAsia"/>
          <w:b/>
          <w:bCs/>
          <w:sz w:val="32"/>
          <w:szCs w:val="32"/>
          <w:lang w:val="en-US" w:eastAsia="zh-CN"/>
        </w:rPr>
        <w:t>二是</w:t>
      </w:r>
      <w:r>
        <w:rPr>
          <w:rFonts w:ascii="仿宋_GB2312" w:eastAsia="仿宋_GB2312" w:cs="仿宋_GB2312" w:hint="eastAsia"/>
          <w:b w:val="0"/>
          <w:bCs w:val="0"/>
          <w:sz w:val="32"/>
          <w:szCs w:val="32"/>
          <w:lang w:val="en-US" w:eastAsia="zh-CN"/>
        </w:rPr>
        <w:t>“2025年若尔盖县省级财政林业草原改革发展专项资金沙化治理项目”，投资2000万元，完成沙障570.25亩，浸塑围栏安装49.245公里，已完成项目总工程量的34.7％。</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b/>
          <w:bCs/>
          <w:kern w:val="2"/>
          <w:sz w:val="32"/>
          <w:szCs w:val="32"/>
          <w:lang w:val="en-US" w:eastAsia="zh-CN" w:bidi="ar-SA"/>
        </w:rPr>
        <w:t>（2）.草原生态建设项目。</w:t>
      </w:r>
      <w:r>
        <w:rPr>
          <w:rFonts w:ascii="仿宋_GB2312" w:eastAsia="仿宋_GB2312" w:cs="仿宋_GB2312" w:hint="eastAsia"/>
          <w:sz w:val="32"/>
          <w:szCs w:val="32"/>
          <w:lang w:val="en-US" w:eastAsia="zh-CN"/>
        </w:rPr>
        <w:t>总投资5816.55万元，新建项目3个。</w:t>
      </w:r>
      <w:r>
        <w:rPr>
          <w:rFonts w:ascii="仿宋_GB2312" w:eastAsia="仿宋_GB2312" w:cs="仿宋_GB2312" w:hint="eastAsia"/>
          <w:b/>
          <w:bCs/>
          <w:sz w:val="32"/>
          <w:szCs w:val="32"/>
          <w:lang w:val="en-US" w:eastAsia="zh-CN"/>
        </w:rPr>
        <w:t>一是</w:t>
      </w:r>
      <w:r>
        <w:rPr>
          <w:rFonts w:ascii="仿宋_GB2312" w:eastAsia="仿宋_GB2312" w:cs="仿宋_GB2312" w:hint="eastAsia"/>
          <w:sz w:val="32"/>
          <w:szCs w:val="32"/>
          <w:lang w:val="en-US" w:eastAsia="zh-CN"/>
        </w:rPr>
        <w:t>“2024年度四川省阿坝州若尔盖草原湿地水源涵养生态保护和修复项目（若尔盖县部分）”，投资3854.2万元，已完成初步验收。</w:t>
      </w:r>
      <w:r>
        <w:rPr>
          <w:rFonts w:ascii="仿宋_GB2312" w:eastAsia="仿宋_GB2312" w:cs="仿宋_GB2312" w:hint="eastAsia"/>
          <w:b/>
          <w:bCs/>
          <w:sz w:val="32"/>
          <w:szCs w:val="32"/>
          <w:lang w:val="en-US" w:eastAsia="zh-CN"/>
        </w:rPr>
        <w:t>二是</w:t>
      </w:r>
      <w:r>
        <w:rPr>
          <w:rFonts w:ascii="仿宋_GB2312" w:eastAsia="仿宋_GB2312" w:cs="仿宋_GB2312" w:hint="eastAsia"/>
          <w:sz w:val="32"/>
          <w:szCs w:val="32"/>
          <w:lang w:val="en-US" w:eastAsia="zh-CN"/>
        </w:rPr>
        <w:t>“若尔盖县2025年鼠害综合防控以工代赈项目”，总投资679.35万元，完成控鼠16.14万亩，建设围栏1.05万米，已完成总体工程量的100%。</w:t>
      </w:r>
      <w:r>
        <w:rPr>
          <w:rFonts w:ascii="仿宋_GB2312" w:eastAsia="仿宋_GB2312" w:cs="仿宋_GB2312" w:hint="eastAsia"/>
          <w:b/>
          <w:bCs/>
          <w:sz w:val="32"/>
          <w:szCs w:val="32"/>
          <w:lang w:val="en-US" w:eastAsia="zh-CN"/>
        </w:rPr>
        <w:t>三是</w:t>
      </w:r>
      <w:r>
        <w:rPr>
          <w:rFonts w:ascii="仿宋_GB2312" w:eastAsia="仿宋_GB2312" w:cs="仿宋_GB2312" w:hint="eastAsia"/>
          <w:sz w:val="32"/>
          <w:szCs w:val="32"/>
          <w:lang w:val="en-US" w:eastAsia="zh-CN"/>
        </w:rPr>
        <w:t>“若尔盖县2024年中央财政林业草原专项资金预算（第三批）—草原生态修复治理项目”，投资1283万元，目前已完成施工、监理招标工作。</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 w:val="0"/>
          <w:bCs w:val="0"/>
          <w:kern w:val="2"/>
          <w:sz w:val="32"/>
          <w:szCs w:val="32"/>
          <w:lang w:val="en-US" w:eastAsia="zh-CN"/>
        </w:rPr>
      </w:pPr>
      <w:r>
        <w:rPr>
          <w:rFonts w:ascii="仿宋_GB2312" w:eastAsia="仿宋_GB2312" w:cs="仿宋_GB2312" w:hint="eastAsia"/>
          <w:b/>
          <w:bCs/>
          <w:kern w:val="2"/>
          <w:sz w:val="32"/>
          <w:szCs w:val="32"/>
          <w:lang w:val="en-US" w:eastAsia="zh-CN" w:bidi="ar-SA"/>
        </w:rPr>
        <w:t>（3）.森林草原防火基础设施建设项目。</w:t>
      </w:r>
      <w:r>
        <w:rPr>
          <w:rFonts w:ascii="仿宋_GB2312" w:eastAsia="仿宋_GB2312" w:cs="仿宋_GB2312" w:hint="eastAsia"/>
          <w:b w:val="0"/>
          <w:bCs w:val="0"/>
          <w:kern w:val="2"/>
          <w:sz w:val="32"/>
          <w:szCs w:val="32"/>
          <w:lang w:val="en-US" w:eastAsia="zh-CN"/>
        </w:rPr>
        <w:t>总投资400万元，已完成路扩宽、错车道、路基碾压、道路沿线管涵改建安装及浆砌滴水井、八字墙、挡土墙等工程，完成总体工程量的93%。</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b/>
          <w:bCs/>
          <w:kern w:val="2"/>
          <w:sz w:val="32"/>
          <w:szCs w:val="32"/>
          <w:lang w:val="en-US" w:eastAsia="zh-CN"/>
        </w:rPr>
        <w:t>（4）.补植补栽（播）项目。</w:t>
      </w:r>
      <w:r>
        <w:rPr>
          <w:rFonts w:ascii="仿宋_GB2312" w:eastAsia="仿宋_GB2312" w:cs="仿宋_GB2312" w:hint="eastAsia"/>
          <w:b w:val="0"/>
          <w:bCs w:val="0"/>
          <w:kern w:val="2"/>
          <w:sz w:val="32"/>
          <w:szCs w:val="32"/>
          <w:lang w:val="en-US" w:eastAsia="zh-CN"/>
        </w:rPr>
        <w:t>完成2024年项目补植补栽（播）10个，共计补植云杉17.5万余株、高山柳43.2万余株、补播草种27.7吨、维修网围栏81000米。</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楷体_GB2312" w:eastAsia="楷体_GB2312" w:cs="楷体_GB2312" w:hint="eastAsia"/>
          <w:b/>
          <w:bCs/>
          <w:kern w:val="2"/>
          <w:sz w:val="32"/>
          <w:szCs w:val="32"/>
          <w:lang w:val="en-US" w:eastAsia="zh-CN" w:bidi="ar-SA"/>
        </w:rPr>
      </w:pPr>
      <w:r>
        <w:rPr>
          <w:rFonts w:ascii="楷体_GB2312" w:eastAsia="楷体_GB2312" w:cs="楷体_GB2312" w:hint="eastAsia"/>
          <w:b/>
          <w:bCs/>
          <w:kern w:val="2"/>
          <w:sz w:val="32"/>
          <w:szCs w:val="32"/>
          <w:lang w:val="en-US" w:eastAsia="zh-CN" w:bidi="ar-SA"/>
        </w:rPr>
        <w:t>4、护绿提质促发展，织密林草安全管护网络</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kern w:val="2"/>
          <w:sz w:val="32"/>
          <w:szCs w:val="32"/>
          <w:lang w:val="en-US" w:eastAsia="zh-CN" w:bidi="ar-SA"/>
        </w:rPr>
      </w:pPr>
      <w:r>
        <w:rPr>
          <w:rFonts w:ascii="仿宋_GB2312" w:eastAsia="仿宋_GB2312" w:cs="仿宋_GB2312" w:hint="eastAsia"/>
          <w:b/>
          <w:bCs/>
          <w:kern w:val="2"/>
          <w:sz w:val="32"/>
          <w:szCs w:val="32"/>
          <w:lang w:val="en-US" w:eastAsia="zh-CN" w:bidi="ar-SA"/>
        </w:rPr>
        <w:t>（1）.</w:t>
      </w:r>
      <w:r>
        <w:rPr>
          <w:rFonts w:ascii="仿宋_GB2312" w:eastAsia="仿宋_GB2312" w:cs="仿宋_GB2312" w:hint="eastAsia"/>
          <w:b/>
          <w:bCs/>
          <w:sz w:val="32"/>
          <w:szCs w:val="32"/>
          <w:lang w:val="en-US" w:eastAsia="zh-CN"/>
        </w:rPr>
        <w:t>森林草原防火。</w:t>
      </w:r>
      <w:r>
        <w:rPr>
          <w:rFonts w:ascii="仿宋_GB2312" w:eastAsia="仿宋_GB2312" w:cs="仿宋_GB2312" w:hint="eastAsia"/>
          <w:b/>
          <w:bCs/>
          <w:kern w:val="2"/>
          <w:sz w:val="32"/>
          <w:szCs w:val="32"/>
          <w:lang w:val="en-US" w:eastAsia="zh-CN" w:bidi="ar-SA"/>
        </w:rPr>
        <w:t>一是</w:t>
      </w:r>
      <w:r>
        <w:rPr>
          <w:rFonts w:ascii="仿宋_GB2312" w:eastAsia="仿宋_GB2312" w:cs="仿宋_GB2312" w:hint="eastAsia"/>
          <w:color w:val="auto"/>
          <w:kern w:val="2"/>
          <w:sz w:val="32"/>
          <w:szCs w:val="32"/>
          <w:lang w:val="en-US" w:eastAsia="zh-CN" w:bidi="ar-SA"/>
        </w:rPr>
        <w:t>加强隐患排查。按照“纵向到头、横向到边、不留死角、不留空白”的原则，对辖区内重点时段、重点区域、重点山头、重点沟壑进行隐患排查并建立台账，截止目前</w:t>
      </w:r>
      <w:r>
        <w:rPr>
          <w:rFonts w:ascii="仿宋_GB2312" w:eastAsia="仿宋_GB2312" w:cs="仿宋_GB2312" w:hint="eastAsia"/>
          <w:b w:val="0"/>
          <w:bCs w:val="0"/>
          <w:kern w:val="2"/>
          <w:sz w:val="32"/>
          <w:szCs w:val="32"/>
          <w:lang w:val="en-US" w:eastAsia="zh-CN"/>
        </w:rPr>
        <w:t>排查隐患62处，已整改62处</w:t>
      </w:r>
      <w:r>
        <w:rPr>
          <w:rFonts w:ascii="仿宋_GB2312" w:eastAsia="仿宋_GB2312" w:cs="仿宋_GB2312" w:hint="eastAsia"/>
          <w:kern w:val="2"/>
          <w:sz w:val="32"/>
          <w:szCs w:val="32"/>
          <w:lang w:val="en-US" w:eastAsia="zh-CN" w:bidi="ar-SA"/>
        </w:rPr>
        <w:t>；</w:t>
      </w:r>
      <w:r>
        <w:rPr>
          <w:rFonts w:ascii="仿宋_GB2312" w:eastAsia="仿宋_GB2312" w:cs="仿宋_GB2312" w:hint="eastAsia"/>
          <w:b/>
          <w:bCs/>
          <w:kern w:val="2"/>
          <w:sz w:val="32"/>
          <w:szCs w:val="32"/>
          <w:lang w:val="en-US" w:eastAsia="zh-CN" w:bidi="ar-SA"/>
        </w:rPr>
        <w:t>二是</w:t>
      </w:r>
      <w:r>
        <w:rPr>
          <w:rFonts w:ascii="仿宋_GB2312" w:eastAsia="仿宋_GB2312" w:cs="仿宋_GB2312" w:hint="eastAsia"/>
          <w:color w:val="auto"/>
          <w:kern w:val="2"/>
          <w:sz w:val="32"/>
          <w:szCs w:val="32"/>
          <w:lang w:val="en-US" w:eastAsia="zh-CN" w:bidi="ar-SA"/>
        </w:rPr>
        <w:t>加强火源管控。设置11个“固定+临时”的防火检查卡点，采用“六步走”工作方法，</w:t>
      </w:r>
      <w:r>
        <w:rPr>
          <w:rFonts w:ascii="仿宋_GB2312" w:eastAsia="仿宋_GB2312" w:cs="仿宋_GB2312" w:hint="eastAsia"/>
          <w:color w:val="auto"/>
          <w:kern w:val="2"/>
          <w:sz w:val="32"/>
          <w:szCs w:val="32"/>
          <w:lang w:val="en-US" w:bidi="ar-SA"/>
        </w:rPr>
        <w:t>登记</w:t>
      </w:r>
      <w:r>
        <w:rPr>
          <w:rFonts w:ascii="仿宋_GB2312" w:eastAsia="仿宋_GB2312" w:cs="仿宋_GB2312" w:hint="eastAsia"/>
          <w:color w:val="auto"/>
          <w:kern w:val="2"/>
          <w:sz w:val="32"/>
          <w:szCs w:val="32"/>
          <w:lang w:val="en-US" w:eastAsia="zh-CN" w:bidi="ar-SA"/>
        </w:rPr>
        <w:t>过往人员、车辆400</w:t>
      </w:r>
      <w:r>
        <w:rPr>
          <w:rFonts w:ascii="仿宋_GB2312" w:eastAsia="仿宋_GB2312" w:cs="仿宋_GB2312" w:hint="eastAsia"/>
          <w:color w:val="auto"/>
          <w:kern w:val="2"/>
          <w:sz w:val="32"/>
          <w:szCs w:val="32"/>
          <w:lang w:val="en-US" w:bidi="ar-SA"/>
        </w:rPr>
        <w:t>余次</w:t>
      </w:r>
      <w:r>
        <w:rPr>
          <w:rFonts w:ascii="仿宋_GB2312" w:eastAsia="仿宋_GB2312" w:cs="仿宋_GB2312" w:hint="eastAsia"/>
          <w:color w:val="auto"/>
          <w:kern w:val="2"/>
          <w:sz w:val="32"/>
          <w:szCs w:val="32"/>
          <w:lang w:val="en-US" w:eastAsia="zh-CN" w:bidi="ar-SA"/>
        </w:rPr>
        <w:t>，并收缴火源50余个，</w:t>
      </w:r>
      <w:r>
        <w:rPr>
          <w:rFonts w:ascii="仿宋_GB2312" w:eastAsia="仿宋_GB2312" w:cs="仿宋_GB2312" w:hint="eastAsia"/>
          <w:kern w:val="2"/>
          <w:sz w:val="32"/>
          <w:szCs w:val="32"/>
          <w:lang w:val="en-US" w:eastAsia="zh-CN" w:bidi="ar-SA"/>
        </w:rPr>
        <w:t>用火审批备案200起；</w:t>
      </w:r>
      <w:r>
        <w:rPr>
          <w:rFonts w:ascii="仿宋_GB2312" w:eastAsia="仿宋_GB2312" w:cs="仿宋_GB2312" w:hint="eastAsia"/>
          <w:b/>
          <w:bCs/>
          <w:kern w:val="2"/>
          <w:sz w:val="32"/>
          <w:szCs w:val="32"/>
          <w:lang w:val="en-US" w:eastAsia="zh-CN" w:bidi="ar-SA"/>
        </w:rPr>
        <w:t>三是</w:t>
      </w:r>
      <w:r>
        <w:rPr>
          <w:rFonts w:ascii="仿宋_GB2312" w:eastAsia="仿宋_GB2312" w:cs="仿宋_GB2312" w:hint="eastAsia"/>
          <w:color w:val="auto"/>
          <w:kern w:val="2"/>
          <w:sz w:val="32"/>
          <w:szCs w:val="32"/>
          <w:lang w:val="en-US" w:eastAsia="zh-CN" w:bidi="ar-SA"/>
        </w:rPr>
        <w:t>加强应急准备工作。严格</w:t>
      </w:r>
      <w:r>
        <w:rPr>
          <w:rFonts w:ascii="仿宋_GB2312" w:eastAsia="仿宋_GB2312" w:cs="仿宋_GB2312" w:hint="eastAsia"/>
          <w:kern w:val="2"/>
          <w:sz w:val="32"/>
          <w:szCs w:val="32"/>
          <w:lang w:val="en-US" w:eastAsia="zh-CN" w:bidi="ar-SA"/>
        </w:rPr>
        <w:t>执行领导干部带班、局</w:t>
      </w:r>
      <w:r>
        <w:rPr>
          <w:rFonts w:ascii="仿宋_GB2312" w:eastAsia="仿宋_GB2312" w:cs="仿宋_GB2312" w:hint="eastAsia"/>
          <w:b w:val="0"/>
          <w:bCs w:val="0"/>
          <w:color w:val="auto"/>
          <w:kern w:val="2"/>
          <w:sz w:val="32"/>
          <w:szCs w:val="32"/>
          <w:lang w:val="en-US" w:eastAsia="zh-CN" w:bidi="ar-SA"/>
        </w:rPr>
        <w:t>防火值班室和全县139处防火哨</w:t>
      </w:r>
      <w:r>
        <w:rPr>
          <w:rFonts w:ascii="仿宋_GB2312" w:eastAsia="仿宋_GB2312" w:cs="仿宋_GB2312" w:hint="eastAsia"/>
          <w:sz w:val="32"/>
          <w:szCs w:val="32"/>
        </w:rPr>
        <w:t>严格</w:t>
      </w:r>
      <w:r>
        <w:rPr>
          <w:rFonts w:ascii="仿宋_GB2312" w:eastAsia="仿宋_GB2312" w:cs="仿宋_GB2312" w:hint="eastAsia"/>
          <w:sz w:val="32"/>
          <w:szCs w:val="32"/>
          <w:lang w:eastAsia="zh-CN"/>
        </w:rPr>
        <w:t>执行“白</w:t>
      </w:r>
      <w:r>
        <w:rPr>
          <w:rFonts w:ascii="仿宋_GB2312" w:eastAsia="仿宋_GB2312" w:cs="仿宋_GB2312" w:hint="eastAsia"/>
          <w:sz w:val="32"/>
          <w:szCs w:val="32"/>
          <w:lang w:val="en-US" w:eastAsia="zh-CN"/>
        </w:rPr>
        <w:t>+夜”24小时值班制</w:t>
      </w:r>
      <w:r>
        <w:rPr>
          <w:rFonts w:ascii="仿宋_GB2312" w:eastAsia="仿宋_GB2312" w:cs="仿宋_GB2312" w:hint="eastAsia"/>
          <w:b w:val="0"/>
          <w:bCs w:val="0"/>
          <w:color w:val="auto"/>
          <w:kern w:val="2"/>
          <w:sz w:val="32"/>
          <w:szCs w:val="32"/>
          <w:lang w:val="en-US" w:eastAsia="zh-CN" w:bidi="ar-SA"/>
        </w:rPr>
        <w:t>，确保实现“火情早发现、早报告、早处置”。压实</w:t>
      </w:r>
      <w:r>
        <w:rPr>
          <w:rFonts w:ascii="仿宋_GB2312" w:eastAsia="仿宋_GB2312" w:cs="仿宋_GB2312" w:hint="eastAsia"/>
          <w:color w:val="auto"/>
          <w:kern w:val="2"/>
          <w:sz w:val="32"/>
          <w:szCs w:val="32"/>
          <w:lang w:val="en-US" w:eastAsia="zh-CN" w:bidi="ar-SA"/>
        </w:rPr>
        <w:t>全县58名森林管护人员每日巡山巡护，督促871名生态护林员每日使用APP打卡巡护，</w:t>
      </w:r>
      <w:r>
        <w:rPr>
          <w:rFonts w:ascii="仿宋_GB2312" w:eastAsia="仿宋_GB2312" w:cs="仿宋_GB2312" w:hint="eastAsia"/>
          <w:kern w:val="2"/>
          <w:sz w:val="32"/>
          <w:szCs w:val="32"/>
          <w:lang w:val="en-US" w:eastAsia="zh-CN" w:bidi="ar-SA"/>
        </w:rPr>
        <w:t>顺利实现了全县连续53年无重特大森林草原火灾目标。</w:t>
      </w:r>
    </w:p>
    <w:p>
      <w:pPr>
        <w:pStyle w:val="16"/>
        <w:keepNext w:val="0"/>
        <w:keepLines w:val="0"/>
        <w:pageBreakBefore w:val="0"/>
        <w:widowControl w:val="0"/>
        <w:kinsoku/>
        <w:overflowPunct/>
        <w:topLinePunct w:val="0"/>
        <w:autoSpaceDE/>
        <w:autoSpaceDN/>
        <w:bidi w:val="0"/>
        <w:adjustRightInd/>
        <w:snapToGrid/>
        <w:spacing w:line="560" w:lineRule="exact"/>
        <w:ind w:firstLine="640"/>
        <w:textAlignment w:val="auto"/>
        <w:rPr>
          <w:rFonts w:ascii="仿宋_GB2312" w:eastAsia="仿宋_GB2312" w:cs="仿宋_GB2312" w:hint="eastAsia"/>
          <w:b w:val="0"/>
          <w:bCs w:val="0"/>
          <w:kern w:val="2"/>
          <w:sz w:val="32"/>
          <w:szCs w:val="32"/>
          <w:lang w:val="en-US" w:eastAsia="zh-CN" w:bidi="ar-SA"/>
        </w:rPr>
      </w:pPr>
      <w:r>
        <w:rPr>
          <w:rFonts w:cs="仿宋_GB2312" w:hint="eastAsia"/>
          <w:b/>
          <w:bCs/>
          <w:kern w:val="2"/>
          <w:sz w:val="32"/>
          <w:szCs w:val="32"/>
          <w:lang w:val="en-US" w:eastAsia="zh-CN" w:bidi="ar-SA"/>
        </w:rPr>
        <w:t>（2）</w:t>
      </w:r>
      <w:r>
        <w:rPr>
          <w:rFonts w:ascii="仿宋_GB2312" w:eastAsia="仿宋_GB2312" w:cs="仿宋_GB2312" w:hint="eastAsia"/>
          <w:b/>
          <w:bCs/>
          <w:kern w:val="2"/>
          <w:sz w:val="32"/>
          <w:szCs w:val="32"/>
          <w:lang w:val="en-US" w:eastAsia="zh-CN" w:bidi="ar-SA"/>
        </w:rPr>
        <w:t>.林业有害生物防治。一是</w:t>
      </w:r>
      <w:r>
        <w:rPr>
          <w:rFonts w:ascii="仿宋_GB2312" w:eastAsia="仿宋_GB2312" w:cs="仿宋_GB2312" w:hint="eastAsia"/>
          <w:color w:val="auto"/>
          <w:kern w:val="2"/>
          <w:sz w:val="32"/>
          <w:szCs w:val="32"/>
          <w:lang w:val="en-US" w:eastAsia="zh-CN" w:bidi="ar-SA"/>
        </w:rPr>
        <w:t>全面</w:t>
      </w:r>
      <w:r>
        <w:rPr>
          <w:rFonts w:ascii="仿宋_GB2312" w:cs="仿宋_GB2312" w:hint="eastAsia"/>
          <w:color w:val="auto"/>
          <w:kern w:val="2"/>
          <w:sz w:val="32"/>
          <w:szCs w:val="32"/>
          <w:lang w:val="en-US" w:eastAsia="zh-CN" w:bidi="ar-SA"/>
        </w:rPr>
        <w:t>开展</w:t>
      </w:r>
      <w:r>
        <w:rPr>
          <w:rFonts w:ascii="仿宋_GB2312" w:eastAsia="仿宋_GB2312" w:cs="仿宋_GB2312" w:hint="eastAsia"/>
          <w:color w:val="auto"/>
          <w:kern w:val="2"/>
          <w:sz w:val="32"/>
          <w:szCs w:val="32"/>
          <w:lang w:val="en-US" w:eastAsia="zh-CN" w:bidi="ar-SA"/>
        </w:rPr>
        <w:t>普查。</w:t>
      </w:r>
      <w:r>
        <w:rPr>
          <w:rFonts w:ascii="仿宋_GB2312" w:cs="仿宋_GB2312" w:hint="eastAsia"/>
          <w:b w:val="0"/>
          <w:bCs w:val="0"/>
          <w:kern w:val="2"/>
          <w:sz w:val="32"/>
          <w:szCs w:val="32"/>
          <w:lang w:val="en-US" w:eastAsia="zh-CN" w:bidi="ar-SA"/>
        </w:rPr>
        <w:t>累计完成</w:t>
      </w:r>
      <w:r>
        <w:rPr>
          <w:rFonts w:ascii="仿宋_GB2312" w:eastAsia="仿宋_GB2312" w:cs="仿宋_GB2312" w:hint="eastAsia"/>
          <w:b w:val="0"/>
          <w:bCs w:val="0"/>
          <w:kern w:val="2"/>
          <w:sz w:val="32"/>
          <w:szCs w:val="32"/>
          <w:lang w:val="en-US" w:eastAsia="zh-CN" w:bidi="ar-SA"/>
        </w:rPr>
        <w:t>若尔盖县松材线虫病普查2</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5</w:t>
      </w:r>
      <w:r>
        <w:rPr>
          <w:rFonts w:ascii="仿宋_GB2312" w:cs="仿宋_GB2312" w:hint="eastAsia"/>
          <w:b w:val="0"/>
          <w:bCs w:val="0"/>
          <w:kern w:val="2"/>
          <w:sz w:val="32"/>
          <w:szCs w:val="32"/>
          <w:lang w:val="en-US" w:eastAsia="zh-CN" w:bidi="ar-SA"/>
        </w:rPr>
        <w:t>8万</w:t>
      </w:r>
      <w:r>
        <w:rPr>
          <w:rFonts w:ascii="仿宋_GB2312" w:eastAsia="仿宋_GB2312" w:cs="仿宋_GB2312" w:hint="eastAsia"/>
          <w:b w:val="0"/>
          <w:bCs w:val="0"/>
          <w:kern w:val="2"/>
          <w:sz w:val="32"/>
          <w:szCs w:val="32"/>
          <w:lang w:val="en-US" w:eastAsia="zh-CN" w:bidi="ar-SA"/>
        </w:rPr>
        <w:t>亩，小班364个，普查完成率100%；</w:t>
      </w:r>
      <w:r>
        <w:rPr>
          <w:rFonts w:ascii="仿宋_GB2312" w:eastAsia="仿宋_GB2312" w:cs="仿宋_GB2312"/>
          <w:b/>
          <w:bCs/>
          <w:kern w:val="2"/>
          <w:sz w:val="32"/>
          <w:szCs w:val="32"/>
          <w:lang w:val="en-US" w:eastAsia="zh-CN" w:bidi="ar-SA"/>
        </w:rPr>
        <w:t>二</w:t>
      </w:r>
      <w:r>
        <w:rPr>
          <w:rFonts w:ascii="仿宋_GB2312" w:eastAsia="仿宋_GB2312" w:cs="仿宋_GB2312" w:hint="eastAsia"/>
          <w:b/>
          <w:bCs/>
          <w:kern w:val="2"/>
          <w:sz w:val="32"/>
          <w:szCs w:val="32"/>
          <w:lang w:val="en-US" w:eastAsia="zh-CN" w:bidi="ar-SA"/>
        </w:rPr>
        <w:t>是</w:t>
      </w:r>
      <w:r>
        <w:rPr>
          <w:rFonts w:ascii="仿宋_GB2312" w:eastAsia="仿宋_GB2312" w:cs="仿宋_GB2312" w:hint="eastAsia"/>
          <w:color w:val="auto"/>
          <w:kern w:val="2"/>
          <w:sz w:val="32"/>
          <w:szCs w:val="32"/>
          <w:lang w:val="en-US" w:eastAsia="zh-CN" w:bidi="ar-SA"/>
        </w:rPr>
        <w:t>强化产地检疫。</w:t>
      </w:r>
      <w:r>
        <w:rPr>
          <w:rFonts w:ascii="仿宋_GB2312" w:eastAsia="仿宋_GB2312" w:cs="仿宋_GB2312" w:hint="eastAsia"/>
          <w:b w:val="0"/>
          <w:bCs w:val="0"/>
          <w:kern w:val="2"/>
          <w:sz w:val="32"/>
          <w:szCs w:val="32"/>
          <w:lang w:val="en-US" w:eastAsia="zh-CN" w:bidi="ar-SA"/>
        </w:rPr>
        <w:t>完成产地检疫苗木1350.3余万株，其中高山柳31</w:t>
      </w:r>
      <w:r>
        <w:rPr>
          <w:rFonts w:ascii="仿宋_GB2312" w:cs="仿宋_GB2312" w:hint="eastAsia"/>
          <w:b w:val="0"/>
          <w:bCs w:val="0"/>
          <w:kern w:val="2"/>
          <w:sz w:val="32"/>
          <w:szCs w:val="32"/>
          <w:lang w:val="en-US" w:eastAsia="zh-CN" w:bidi="ar-SA"/>
        </w:rPr>
        <w:t>万</w:t>
      </w:r>
      <w:r>
        <w:rPr>
          <w:rFonts w:ascii="仿宋_GB2312" w:eastAsia="仿宋_GB2312" w:cs="仿宋_GB2312" w:hint="eastAsia"/>
          <w:b w:val="0"/>
          <w:bCs w:val="0"/>
          <w:kern w:val="2"/>
          <w:sz w:val="32"/>
          <w:szCs w:val="32"/>
          <w:lang w:val="en-US" w:eastAsia="zh-CN" w:bidi="ar-SA"/>
        </w:rPr>
        <w:t>株、云杉10</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3</w:t>
      </w:r>
      <w:r>
        <w:rPr>
          <w:rFonts w:ascii="仿宋_GB2312" w:cs="仿宋_GB2312" w:hint="eastAsia"/>
          <w:b w:val="0"/>
          <w:bCs w:val="0"/>
          <w:kern w:val="2"/>
          <w:sz w:val="32"/>
          <w:szCs w:val="32"/>
          <w:lang w:val="en-US" w:eastAsia="zh-CN" w:bidi="ar-SA"/>
        </w:rPr>
        <w:t>万</w:t>
      </w:r>
      <w:r>
        <w:rPr>
          <w:rFonts w:ascii="仿宋_GB2312" w:eastAsia="仿宋_GB2312" w:cs="仿宋_GB2312" w:hint="eastAsia"/>
          <w:b w:val="0"/>
          <w:bCs w:val="0"/>
          <w:kern w:val="2"/>
          <w:sz w:val="32"/>
          <w:szCs w:val="32"/>
          <w:lang w:val="en-US" w:eastAsia="zh-CN" w:bidi="ar-SA"/>
        </w:rPr>
        <w:t xml:space="preserve">株 </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未发现林业有害生物；</w:t>
      </w:r>
      <w:r>
        <w:rPr>
          <w:rFonts w:ascii="仿宋_GB2312" w:eastAsia="仿宋_GB2312" w:cs="仿宋_GB2312" w:hint="eastAsia"/>
          <w:b/>
          <w:bCs/>
          <w:kern w:val="2"/>
          <w:sz w:val="32"/>
          <w:szCs w:val="32"/>
          <w:lang w:val="en-US" w:eastAsia="zh-CN" w:bidi="ar-SA"/>
        </w:rPr>
        <w:t>三是</w:t>
      </w:r>
      <w:r>
        <w:rPr>
          <w:rFonts w:ascii="仿宋_GB2312" w:eastAsia="仿宋_GB2312" w:cs="仿宋_GB2312" w:hint="eastAsia"/>
          <w:color w:val="auto"/>
          <w:kern w:val="2"/>
          <w:sz w:val="32"/>
          <w:szCs w:val="32"/>
          <w:lang w:val="en-US" w:eastAsia="zh-CN" w:bidi="ar-SA"/>
        </w:rPr>
        <w:t>严格复检抽样。按照</w:t>
      </w:r>
      <w:r>
        <w:rPr>
          <w:rFonts w:ascii="仿宋_GB2312" w:eastAsia="仿宋_GB2312" w:cs="仿宋_GB2312" w:hint="eastAsia"/>
          <w:b w:val="0"/>
          <w:bCs w:val="0"/>
          <w:kern w:val="2"/>
          <w:sz w:val="32"/>
          <w:szCs w:val="32"/>
          <w:lang w:val="en-US" w:eastAsia="zh-CN" w:bidi="ar-SA"/>
        </w:rPr>
        <w:t>“两证一签”制度及“一车一证，一车一检”原则，累计完成苗木复检26次，其中高山柳3.1万株、云杉10.307万株；</w:t>
      </w:r>
      <w:r>
        <w:rPr>
          <w:rFonts w:ascii="仿宋_GB2312" w:eastAsia="仿宋_GB2312" w:cs="仿宋_GB2312" w:hint="eastAsia"/>
          <w:b/>
          <w:bCs/>
          <w:kern w:val="2"/>
          <w:sz w:val="32"/>
          <w:szCs w:val="32"/>
          <w:lang w:val="en-US" w:eastAsia="zh-CN" w:bidi="ar-SA"/>
        </w:rPr>
        <w:t>四是</w:t>
      </w:r>
      <w:r>
        <w:rPr>
          <w:rFonts w:ascii="仿宋_GB2312" w:eastAsia="仿宋_GB2312" w:cs="仿宋_GB2312" w:hint="eastAsia"/>
          <w:b w:val="0"/>
          <w:bCs w:val="0"/>
          <w:kern w:val="2"/>
          <w:sz w:val="32"/>
          <w:szCs w:val="32"/>
          <w:lang w:val="en-US" w:eastAsia="zh-CN" w:bidi="ar-SA"/>
        </w:rPr>
        <w:t>加强执法检查。对电信、移动、电力公司、涉木企业等执法检查18余次，摩托车销售点复检包装箱6次、物流快递网点检查1次。</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 w:val="0"/>
          <w:bCs w:val="0"/>
          <w:kern w:val="2"/>
          <w:sz w:val="32"/>
          <w:szCs w:val="32"/>
          <w:lang w:val="en-US" w:eastAsia="zh-CN" w:bidi="ar-SA"/>
        </w:rPr>
      </w:pPr>
      <w:r>
        <w:rPr>
          <w:rFonts w:ascii="仿宋_GB2312" w:eastAsia="仿宋_GB2312" w:cs="仿宋_GB2312" w:hint="eastAsia"/>
          <w:b/>
          <w:bCs/>
          <w:kern w:val="2"/>
          <w:sz w:val="32"/>
          <w:szCs w:val="32"/>
          <w:lang w:val="en-US" w:eastAsia="zh-CN" w:bidi="ar-SA"/>
        </w:rPr>
        <w:t>（3）.林草资源管理与保护工作。一是</w:t>
      </w:r>
      <w:r>
        <w:rPr>
          <w:rFonts w:ascii="仿宋_GB2312" w:eastAsia="仿宋_GB2312" w:cs="仿宋_GB2312" w:hint="eastAsia"/>
          <w:b w:val="0"/>
          <w:bCs w:val="0"/>
          <w:kern w:val="2"/>
          <w:sz w:val="32"/>
          <w:szCs w:val="32"/>
          <w:lang w:val="en-US" w:eastAsia="zh-CN" w:bidi="ar-SA"/>
        </w:rPr>
        <w:t>落实871名生态管护员、58名临聘人员，设立2个片区、9个乡级森林管护站及6个护林站，实现林草湿资源“全域覆盖、精准管护”，结合巡护培训与考核兑现管护员劳务报酬827.45万元；</w:t>
      </w:r>
      <w:r>
        <w:rPr>
          <w:rFonts w:ascii="仿宋_GB2312" w:eastAsia="仿宋_GB2312" w:cs="仿宋_GB2312" w:hint="eastAsia"/>
          <w:b/>
          <w:bCs/>
          <w:color w:val="auto"/>
          <w:sz w:val="32"/>
          <w:szCs w:val="32"/>
          <w:lang w:val="en-US" w:eastAsia="zh-CN"/>
        </w:rPr>
        <w:t>二是</w:t>
      </w:r>
      <w:r>
        <w:rPr>
          <w:rFonts w:ascii="仿宋_GB2312" w:eastAsia="仿宋_GB2312" w:cs="仿宋_GB2312" w:hint="eastAsia"/>
          <w:b w:val="0"/>
          <w:bCs w:val="0"/>
          <w:kern w:val="2"/>
          <w:sz w:val="32"/>
          <w:szCs w:val="32"/>
          <w:lang w:val="en-US" w:eastAsia="zh-CN" w:bidi="ar-SA"/>
        </w:rPr>
        <w:t>全县设立各级林（草）长332名，构建“党政领导负责、三级体系联动、全员协同参与”的林草湿保护格局，各级林（草）长及“一长三员”累计巡林9000余人次；</w:t>
      </w:r>
      <w:r>
        <w:rPr>
          <w:rFonts w:ascii="仿宋_GB2312" w:eastAsia="仿宋_GB2312" w:cs="仿宋_GB2312" w:hint="eastAsia"/>
          <w:b/>
          <w:bCs/>
          <w:sz w:val="32"/>
          <w:szCs w:val="32"/>
          <w:lang w:val="en-US" w:eastAsia="zh-CN"/>
        </w:rPr>
        <w:t>三是</w:t>
      </w:r>
      <w:r>
        <w:rPr>
          <w:rFonts w:ascii="仿宋_GB2312" w:eastAsia="仿宋_GB2312" w:cs="仿宋_GB2312" w:hint="eastAsia"/>
          <w:b w:val="0"/>
          <w:bCs w:val="0"/>
          <w:kern w:val="2"/>
          <w:sz w:val="32"/>
          <w:szCs w:val="32"/>
          <w:lang w:val="en-US" w:eastAsia="zh-CN" w:bidi="ar-SA"/>
        </w:rPr>
        <w:t>开展野生动物疫源疫情监测工作18800余人次，监测面积4000余万亩，收容救护野生动物62头（只、条）、放归12头（只、条）、无害化处理153头（只、条），未发现野生动物异常情况。</w:t>
      </w:r>
    </w:p>
    <w:p>
      <w:pPr>
        <w:pStyle w:val="25"/>
        <w:rPr>
          <w:rFonts w:hint="eastAsia"/>
          <w:lang w:eastAsia="zh-CN"/>
        </w:rPr>
      </w:pPr>
      <w:r>
        <w:rPr>
          <w:rFonts w:ascii="仿宋_GB2312" w:eastAsia="仿宋_GB2312" w:cs="仿宋_GB2312" w:hint="eastAsia"/>
          <w:b/>
          <w:bCs/>
          <w:kern w:val="2"/>
          <w:sz w:val="32"/>
          <w:szCs w:val="32"/>
          <w:lang w:val="en-US" w:eastAsia="zh-CN" w:bidi="ar-SA"/>
        </w:rPr>
        <w:t>（4）.林草行政许可及执法工作。</w:t>
      </w:r>
      <w:r>
        <w:rPr>
          <w:rFonts w:ascii="仿宋_GB2312" w:eastAsia="仿宋_GB2312" w:cs="仿宋_GB2312" w:hint="eastAsia"/>
          <w:b/>
          <w:bCs/>
          <w:sz w:val="32"/>
          <w:szCs w:val="32"/>
          <w:lang w:val="en-US" w:eastAsia="zh-CN"/>
        </w:rPr>
        <w:t>一是</w:t>
      </w:r>
      <w:r>
        <w:rPr>
          <w:rFonts w:ascii="仿宋_GB2312" w:eastAsia="仿宋_GB2312" w:cs="仿宋_GB2312" w:hint="eastAsia"/>
          <w:b w:val="0"/>
          <w:bCs w:val="0"/>
          <w:kern w:val="2"/>
          <w:sz w:val="32"/>
          <w:szCs w:val="32"/>
          <w:lang w:val="en-US" w:eastAsia="zh-CN" w:bidi="ar-SA"/>
        </w:rPr>
        <w:t>严厉打击破坏草原违法行为。完成查处草原违法案件25起，涉案面积129.76亩，收缴罚没款153071.6元；</w:t>
      </w:r>
      <w:r>
        <w:rPr>
          <w:rFonts w:ascii="仿宋_GB2312" w:eastAsia="仿宋_GB2312" w:cs="仿宋_GB2312" w:hint="eastAsia"/>
          <w:b/>
          <w:bCs/>
          <w:color w:val="auto"/>
          <w:sz w:val="32"/>
          <w:szCs w:val="32"/>
          <w:lang w:val="en-US" w:eastAsia="zh-CN"/>
        </w:rPr>
        <w:t>二是</w:t>
      </w:r>
      <w:r>
        <w:rPr>
          <w:rFonts w:ascii="仿宋_GB2312" w:eastAsia="仿宋_GB2312" w:cs="仿宋_GB2312" w:hint="eastAsia"/>
          <w:b w:val="0"/>
          <w:bCs w:val="0"/>
          <w:kern w:val="2"/>
          <w:sz w:val="32"/>
          <w:szCs w:val="32"/>
          <w:lang w:val="en-US" w:eastAsia="zh-CN" w:bidi="ar-SA"/>
        </w:rPr>
        <w:t>严格审批机制，办理林地、草原、湿地征占用及进入保护地许可等审批事项97件，办结率100%，实现“零投诉、零违规”；</w:t>
      </w:r>
      <w:r>
        <w:rPr>
          <w:rFonts w:ascii="仿宋_GB2312" w:eastAsia="仿宋_GB2312" w:cs="仿宋_GB2312" w:hint="eastAsia"/>
          <w:b/>
          <w:bCs/>
          <w:sz w:val="32"/>
          <w:szCs w:val="32"/>
          <w:lang w:val="en-US" w:eastAsia="zh-CN"/>
        </w:rPr>
        <w:t>三是</w:t>
      </w:r>
      <w:r>
        <w:rPr>
          <w:rFonts w:ascii="仿宋_GB2312" w:eastAsia="仿宋_GB2312" w:cs="仿宋_GB2312" w:hint="eastAsia"/>
          <w:b w:val="0"/>
          <w:bCs w:val="0"/>
          <w:kern w:val="2"/>
          <w:sz w:val="32"/>
          <w:szCs w:val="32"/>
          <w:lang w:val="en-US" w:eastAsia="zh-CN" w:bidi="ar-SA"/>
        </w:rPr>
        <w:t>加强林草法律法规宣传。在“3.30”警示日、世界湿地日、世界野生动植物日等重要时间节点开展林草法律法规宣传，发放宣传资料41000余份，宣传人数达22000余人。</w:t>
      </w:r>
    </w:p>
    <w:p>
      <w:pPr>
        <w:pStyle w:val="2"/>
        <w:rPr>
          <w:rStyle w:val="2Char"/>
          <w:rFonts w:ascii="Times New Roman" w:hAnsi="Times New Roman"/>
          <w:b w:val="0"/>
          <w:bCs w:val="0"/>
          <w:color w:val="auto"/>
          <w:highlight w:val="auto"/>
        </w:rPr>
      </w:pPr>
      <w:bookmarkStart w:id="8" w:name="_Toc15396601"/>
      <w:bookmarkStart w:id="9" w:name="_Toc15377200"/>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8"/>
      <w:bookmarkEnd w:id="9"/>
    </w:p>
    <w:p>
      <w:pPr>
        <w:spacing w:line="546" w:lineRule="exact"/>
        <w:ind w:firstLineChars="200" w:firstLine="640"/>
        <w:rPr>
          <w:rFonts w:ascii="仿宋_GB2312" w:eastAsia="仿宋_GB2312" w:hint="eastAsia"/>
          <w:sz w:val="32"/>
          <w:szCs w:val="32"/>
        </w:rPr>
      </w:pPr>
      <w:r>
        <w:rPr>
          <w:rFonts w:ascii="仿宋_GB2312" w:eastAsia="仿宋_GB2312" w:hint="eastAsia"/>
          <w:sz w:val="32"/>
          <w:szCs w:val="32"/>
        </w:rPr>
        <w:t>阿坝州若尔盖县林业和草原局（本级）下属二级</w:t>
      </w:r>
      <w:r>
        <w:rPr>
          <w:rFonts w:ascii="仿宋_GB2312" w:eastAsia="仿宋_GB2312" w:hint="eastAsia"/>
          <w:sz w:val="32"/>
          <w:szCs w:val="32"/>
          <w:lang w:eastAsia="zh-CN"/>
        </w:rPr>
        <w:t>预算</w:t>
      </w:r>
      <w:r>
        <w:rPr>
          <w:rFonts w:ascii="仿宋_GB2312" w:eastAsia="仿宋_GB2312" w:hint="eastAsia"/>
          <w:sz w:val="32"/>
          <w:szCs w:val="32"/>
        </w:rPr>
        <w:t>单位</w:t>
      </w:r>
      <w:r>
        <w:rPr>
          <w:rFonts w:ascii="仿宋_GB2312" w:eastAsia="仿宋_GB2312" w:hint="eastAsia"/>
          <w:sz w:val="32"/>
          <w:szCs w:val="32"/>
          <w:lang w:val="en-US" w:eastAsia="zh-CN"/>
        </w:rPr>
        <w:t>14</w:t>
      </w:r>
      <w:r>
        <w:rPr>
          <w:rFonts w:ascii="仿宋_GB2312" w:eastAsia="仿宋_GB2312" w:hint="eastAsia"/>
          <w:sz w:val="32"/>
          <w:szCs w:val="32"/>
        </w:rPr>
        <w:t>个，其中行政单位</w:t>
      </w:r>
      <w:r>
        <w:rPr>
          <w:rFonts w:ascii="仿宋_GB2312" w:eastAsia="仿宋_GB2312" w:hint="eastAsia"/>
          <w:sz w:val="32"/>
          <w:szCs w:val="32"/>
          <w:lang w:val="en-US" w:eastAsia="zh-CN"/>
        </w:rPr>
        <w:t>1</w:t>
      </w:r>
      <w:r>
        <w:rPr>
          <w:rFonts w:ascii="仿宋_GB2312" w:eastAsia="仿宋_GB2312" w:hint="eastAsia"/>
          <w:sz w:val="32"/>
          <w:szCs w:val="32"/>
        </w:rPr>
        <w:t>个，参照公务员法管理的事业单位</w:t>
      </w:r>
      <w:r>
        <w:rPr>
          <w:rFonts w:ascii="仿宋_GB2312" w:eastAsia="仿宋_GB2312" w:hint="eastAsia"/>
          <w:sz w:val="32"/>
          <w:szCs w:val="32"/>
          <w:lang w:val="en-US" w:eastAsia="zh-CN"/>
        </w:rPr>
        <w:t>2</w:t>
      </w:r>
      <w:r>
        <w:rPr>
          <w:rFonts w:ascii="仿宋_GB2312" w:eastAsia="仿宋_GB2312" w:hint="eastAsia"/>
          <w:sz w:val="32"/>
          <w:szCs w:val="32"/>
        </w:rPr>
        <w:t>个，其他事业单位</w:t>
      </w:r>
      <w:r>
        <w:rPr>
          <w:rFonts w:ascii="仿宋_GB2312" w:eastAsia="仿宋_GB2312" w:hint="eastAsia"/>
          <w:sz w:val="32"/>
          <w:szCs w:val="32"/>
          <w:lang w:val="en-US" w:eastAsia="zh-CN"/>
        </w:rPr>
        <w:t>11</w:t>
      </w:r>
      <w:r>
        <w:rPr>
          <w:rFonts w:ascii="仿宋_GB2312" w:eastAsia="仿宋_GB2312" w:hint="eastAsia"/>
          <w:sz w:val="32"/>
          <w:szCs w:val="32"/>
        </w:rPr>
        <w:t>个。</w:t>
      </w:r>
    </w:p>
    <w:p>
      <w:pPr>
        <w:spacing w:line="546" w:lineRule="exact"/>
        <w:ind w:firstLineChars="200" w:firstLine="640"/>
        <w:rPr>
          <w:rFonts w:ascii="仿宋_GB2312" w:eastAsia="仿宋_GB2312" w:hint="eastAsia"/>
          <w:sz w:val="32"/>
          <w:szCs w:val="32"/>
        </w:rPr>
      </w:pPr>
      <w:r>
        <w:rPr>
          <w:rFonts w:ascii="仿宋_GB2312" w:eastAsia="仿宋_GB2312" w:hint="eastAsia"/>
          <w:sz w:val="32"/>
          <w:szCs w:val="32"/>
          <w:lang w:val="en-US" w:eastAsia="zh-CN"/>
        </w:rPr>
        <w:t>本单位本年度年末实有人数为22人，比上年增加1人；年末实有离退休人数为115人，比上年减少3人；变动情况及原因为退休人员增加。年末实有其他人数为0人，比上年增加0人。</w:t>
      </w:r>
    </w:p>
    <w:p>
      <w:pPr>
        <w:spacing w:line="546" w:lineRule="exact"/>
        <w:ind w:firstLineChars="200" w:firstLine="640"/>
        <w:rPr>
          <w:rFonts w:ascii="Times New Roman" w:eastAsia="仿宋" w:hAnsi="Times New Roman"/>
          <w:color w:val="auto"/>
          <w:kern w:val="0"/>
          <w:sz w:val="32"/>
          <w:szCs w:val="32"/>
          <w:highlight w:val="auto"/>
        </w:rPr>
      </w:pPr>
      <w:r>
        <w:rPr>
          <w:rFonts w:ascii="仿宋_GB2312" w:eastAsia="仿宋_GB2312" w:hint="eastAsia"/>
          <w:sz w:val="32"/>
          <w:szCs w:val="32"/>
        </w:rPr>
        <w:t>纳入阿坝州若尔盖县林业和草原局（本级）</w:t>
      </w:r>
      <w:r>
        <w:rPr>
          <w:rFonts w:ascii="仿宋_GB2312" w:eastAsia="仿宋_GB2312" w:hint="eastAsia"/>
          <w:sz w:val="32"/>
          <w:szCs w:val="32"/>
          <w:lang w:eastAsia="zh-CN"/>
        </w:rPr>
        <w:t>202</w:t>
      </w:r>
      <w:r>
        <w:rPr>
          <w:rFonts w:ascii="仿宋_GB2312" w:eastAsia="仿宋_GB2312" w:hint="eastAsia"/>
          <w:sz w:val="32"/>
          <w:szCs w:val="32"/>
          <w:lang w:val="en-US" w:eastAsia="zh-CN"/>
        </w:rPr>
        <w:t>5</w:t>
      </w:r>
      <w:r>
        <w:rPr>
          <w:rFonts w:ascii="仿宋_GB2312" w:eastAsia="仿宋_GB2312" w:hint="eastAsia"/>
          <w:sz w:val="32"/>
          <w:szCs w:val="32"/>
          <w:lang w:eastAsia="zh-CN"/>
        </w:rPr>
        <w:t>年度</w:t>
      </w:r>
      <w:r>
        <w:rPr>
          <w:rFonts w:ascii="仿宋_GB2312" w:eastAsia="仿宋_GB2312" w:hint="eastAsia"/>
          <w:sz w:val="32"/>
          <w:szCs w:val="32"/>
        </w:rPr>
        <w:t>部门决算编制范围的二级预算单位包括：</w:t>
      </w:r>
      <w:r>
        <w:rPr>
          <w:rFonts w:ascii="仿宋_GB2312" w:eastAsia="仿宋_GB2312" w:hint="eastAsia"/>
          <w:sz w:val="32"/>
          <w:szCs w:val="32"/>
          <w:lang w:val="en-US" w:eastAsia="zh-CN"/>
        </w:rPr>
        <w:t>若尔盖县巴西片区林业工作总站。</w:t>
      </w:r>
      <w:r>
        <w:rPr>
          <w:rFonts w:ascii="Times New Roman" w:eastAsia="仿宋" w:hAnsi="Times New Roman"/>
          <w:color w:val="auto"/>
          <w:sz w:val="32"/>
          <w:szCs w:val="32"/>
          <w:highlight w:val="auto"/>
        </w:rPr>
        <w:br w:type="page"/>
      </w:r>
    </w:p>
    <w:p>
      <w:pPr>
        <w:pStyle w:val="1"/>
        <w:jc w:val="center"/>
        <w:rPr>
          <w:rFonts w:ascii="Times New Roman" w:hAnsi="Times New Roman"/>
          <w:color w:val="auto"/>
          <w:highlight w:val="auto"/>
        </w:rPr>
      </w:pPr>
      <w:bookmarkStart w:id="10" w:name="_Toc15377204"/>
      <w:bookmarkStart w:id="11" w:name="_Toc15396602"/>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10"/>
      <w:bookmarkEnd w:id="11"/>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12" w:name="_Toc15396603"/>
      <w:bookmarkStart w:id="13" w:name="_Toc15377205"/>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12"/>
      <w:bookmarkEnd w:id="13"/>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sz w:val="32"/>
          <w:szCs w:val="32"/>
          <w:lang w:val="en-US"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hint="eastAsia"/>
          <w:sz w:val="32"/>
          <w:szCs w:val="32"/>
        </w:rPr>
        <w:t>15421.48</w:t>
      </w:r>
      <w:r>
        <w:rPr>
          <w:rFonts w:ascii="Times New Roman" w:eastAsia="仿宋_GB2312" w:cs="仿宋_GB2312" w:hAnsi="Times New Roman" w:hint="eastAsia"/>
          <w:color w:val="auto"/>
          <w:sz w:val="32"/>
          <w:szCs w:val="32"/>
          <w:highlight w:val="auto"/>
        </w:rPr>
        <w:t>万元。与</w:t>
      </w:r>
      <w:r>
        <w:rPr>
          <w:rFonts w:eastAsia="仿宋_GB2312" w:cs="仿宋_GB2312" w:hint="eastAsia"/>
          <w:color w:val="auto"/>
          <w:sz w:val="32"/>
          <w:szCs w:val="32"/>
          <w:lang w:eastAsia="zh-CN"/>
          <w:highlight w:val="auto"/>
        </w:rPr>
        <w:t>上</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总计各减少</w:t>
      </w:r>
      <w:r>
        <w:rPr>
          <w:rFonts w:eastAsia="仿宋_GB2312" w:cs="仿宋_GB2312" w:hint="eastAsia"/>
          <w:color w:val="auto"/>
          <w:sz w:val="32"/>
          <w:szCs w:val="32"/>
          <w:lang w:val="en-US" w:eastAsia="zh-CN"/>
          <w:highlight w:val="auto"/>
        </w:rPr>
        <w:t>10183.36</w:t>
      </w:r>
      <w:r>
        <w:rPr>
          <w:rFonts w:ascii="Times New Roman" w:eastAsia="仿宋_GB2312" w:cs="仿宋_GB2312" w:hAnsi="Times New Roman" w:hint="eastAsia"/>
          <w:color w:val="auto"/>
          <w:sz w:val="32"/>
          <w:szCs w:val="32"/>
          <w:highlight w:val="auto"/>
        </w:rPr>
        <w:t>万元，下降</w:t>
      </w:r>
      <w:r>
        <w:rPr>
          <w:rFonts w:eastAsia="仿宋_GB2312" w:cs="仿宋_GB2312" w:hint="eastAsia"/>
          <w:color w:val="auto"/>
          <w:sz w:val="32"/>
          <w:szCs w:val="32"/>
          <w:lang w:val="en-US" w:eastAsia="zh-CN"/>
          <w:highlight w:val="auto"/>
        </w:rPr>
        <w:t>39.77</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sz w:val="32"/>
          <w:szCs w:val="32"/>
          <w:lang w:val="en-US" w:eastAsia="zh-CN"/>
          <w:highlight w:val="auto"/>
        </w:rPr>
        <w:t>项目资金减少。</w:t>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keepNext w:val="0"/>
        <w:keepLines w:val="0"/>
        <w:pageBreakBefore w:val="0"/>
        <w:widowControl w:val="0"/>
        <w:kinsoku/>
        <w:wordWrap/>
        <w:overflowPunct/>
        <w:topLinePunct w:val="0"/>
        <w:autoSpaceDE/>
        <w:autoSpaceDN/>
        <w:bidi w:val="0"/>
        <w:adjustRightInd/>
        <w:snapToGrid/>
        <w:ind w:firstLineChars="200" w:firstLine="420"/>
        <w:textAlignment w:val="auto"/>
        <w:rPr>
          <w:rFonts w:ascii="Times New Roman" w:eastAsia="仿宋_GB2312" w:cs="仿宋_GB2312" w:hAnsi="Times New Roman" w:hint="eastAsia"/>
          <w:color w:val="auto"/>
          <w:sz w:val="32"/>
          <w:szCs w:val="32"/>
          <w:highlight w:val="auto"/>
        </w:rPr>
      </w:pPr>
      <w: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color="#FFFFFF" stroked="t" style="width:380.0pt;height:216.0pt;" o:ole="">
            <v:stroke color="#000000"/>
            <v:imagedata r:id="rId8" o:title=""/>
          </v:shape>
          <o:OLEObject Type="Embed" ProgID="Package" ShapeID="_x0000_i1" DrawAspect="Icon" ObjectID="_1393063351"/>
        </w:object>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14" w:name="_Toc15396604"/>
      <w:bookmarkStart w:id="15" w:name="_Toc15377206"/>
      <w:r>
        <w:rPr>
          <w:rFonts w:ascii="Times New Roman" w:eastAsia="黑体" w:hAnsi="Times New Roman" w:hint="eastAsia"/>
          <w:color w:val="auto"/>
          <w:sz w:val="32"/>
          <w:szCs w:val="32"/>
          <w:lang w:eastAsia="zh-CN"/>
          <w:highlight w:val="auto"/>
        </w:rPr>
        <w:t>二、收入决算情况说明</w:t>
      </w:r>
      <w:bookmarkEnd w:id="14"/>
      <w:bookmarkEnd w:id="15"/>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本年收入合计</w:t>
      </w:r>
      <w:r>
        <w:rPr>
          <w:rFonts w:ascii="仿宋_GB2312" w:eastAsia="仿宋_GB2312" w:cs="仿宋_GB2312" w:hint="eastAsia"/>
          <w:sz w:val="32"/>
          <w:szCs w:val="32"/>
        </w:rPr>
        <w:t>6364.17</w:t>
      </w:r>
      <w:r>
        <w:rPr>
          <w:rFonts w:ascii="Times New Roman" w:eastAsia="仿宋_GB2312" w:cs="仿宋_GB2312" w:hAnsi="Times New Roman" w:hint="eastAsia"/>
          <w:color w:val="auto"/>
          <w:sz w:val="32"/>
          <w:szCs w:val="32"/>
          <w:lang w:eastAsia="zh-CN"/>
          <w:highlight w:val="auto"/>
        </w:rPr>
        <w:t>万元，其中：一般公共预算财政拨款收入</w:t>
      </w:r>
      <w:r>
        <w:rPr>
          <w:rFonts w:ascii="仿宋_GB2312" w:eastAsia="仿宋_GB2312" w:cs="仿宋_GB2312" w:hint="eastAsia"/>
          <w:sz w:val="32"/>
          <w:szCs w:val="32"/>
        </w:rPr>
        <w:t>6364.17</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100</w:t>
      </w:r>
      <w:r>
        <w:rPr>
          <w:rFonts w:ascii="Times New Roman" w:eastAsia="仿宋_GB2312" w:cs="仿宋_GB2312" w:hAnsi="Times New Roman"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%；国有资本经营预算财政拨款收入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%；上级补助收入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%；事业收入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%；其他收入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（图2：收入决算结构图）（饼状图）</w:t>
      </w:r>
    </w:p>
    <w:p>
      <w:pPr>
        <w:ind w:firstLineChars="250" w:firstLine="525"/>
        <w:rPr>
          <w:rFonts w:ascii="Times New Roman" w:eastAsia="仿宋_GB2312" w:cs="仿宋_GB2312" w:hAnsi="Times New Roman" w:hint="eastAsia"/>
          <w:color w:val="auto"/>
          <w:sz w:val="32"/>
          <w:szCs w:val="32"/>
          <w:lang w:eastAsia="zh-CN"/>
          <w:highlight w:val="auto"/>
        </w:rPr>
      </w:pPr>
      <w:r>
        <w:drawing>
          <wp:inline distT="0" distB="0" distL="114300" distR="114300">
            <wp:extent cx="4491355" cy="2369185"/>
            <wp:effectExtent l="0" t="0" r="0" b="0"/>
            <wp:docPr id="15" name="图表 3"/>
            <wp:cNvGraphicFramePr>
              <a:graphicFrameLocks noChangeAspect="0"/>
            </wp:cNvGraphicFramePr>
            <a:graphic>
              <a:graphicData uri="http://schemas.openxmlformats.org/drawingml/2006/picture">
                <pic:pic>
                  <pic:nvPicPr>
                    <pic:cNvPr id="17" name="图表 3 17"/>
                    <pic:cNvPicPr/>
                  </pic:nvPicPr>
                  <pic:blipFill>
                    <a:blip r:embed="rId9"/>
                    <a:stretch>
                      <a:fillRect/>
                    </a:stretch>
                  </pic:blipFill>
                  <pic:spPr>
                    <a:xfrm rot="0">
                      <a:off x="0" y="0"/>
                      <a:ext cx="4491355" cy="2369185"/>
                    </a:xfrm>
                    <a:prstGeom prst="rect"/>
                    <a:ln w="9525" cmpd="sng" cap="flat">
                      <a:solidFill>
                        <a:srgbClr val="000000"/>
                      </a:solidFill>
                      <a:prstDash val="solid"/>
                      <a:miter/>
                    </a:ln>
                  </pic:spPr>
                </pic:pic>
              </a:graphicData>
            </a:graphic>
          </wp:inline>
        </w:drawing>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16" w:name="_Toc15396605"/>
      <w:bookmarkStart w:id="17" w:name="_Toc15377207"/>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16"/>
      <w:bookmarkEnd w:id="17"/>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本年支出合计</w:t>
      </w:r>
      <w:r>
        <w:rPr>
          <w:rFonts w:ascii="仿宋_GB2312" w:eastAsia="仿宋_GB2312" w:cs="仿宋_GB2312" w:hint="eastAsia"/>
          <w:sz w:val="32"/>
          <w:szCs w:val="32"/>
        </w:rPr>
        <w:t>15421.48</w:t>
      </w:r>
      <w:r>
        <w:rPr>
          <w:rFonts w:ascii="Times New Roman" w:eastAsia="仿宋_GB2312" w:cs="仿宋_GB2312" w:hAnsi="Times New Roman" w:hint="eastAsia"/>
          <w:color w:val="auto"/>
          <w:sz w:val="32"/>
          <w:szCs w:val="32"/>
          <w:lang w:eastAsia="zh-CN"/>
          <w:highlight w:val="auto"/>
        </w:rPr>
        <w:t>万元，其中：基本支出</w:t>
      </w:r>
      <w:r>
        <w:rPr>
          <w:rFonts w:ascii="仿宋_GB2312" w:eastAsia="仿宋_GB2312" w:cs="仿宋_GB2312" w:hint="eastAsia"/>
          <w:sz w:val="32"/>
          <w:szCs w:val="32"/>
        </w:rPr>
        <w:t>2104.24</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13.64</w:t>
      </w:r>
      <w:r>
        <w:rPr>
          <w:rFonts w:ascii="Times New Roman" w:eastAsia="仿宋_GB2312" w:cs="仿宋_GB2312" w:hAnsi="Times New Roman" w:hint="eastAsia"/>
          <w:color w:val="auto"/>
          <w:sz w:val="32"/>
          <w:szCs w:val="32"/>
          <w:lang w:eastAsia="zh-CN"/>
          <w:highlight w:val="auto"/>
        </w:rPr>
        <w:t>%；项目支出</w:t>
      </w:r>
      <w:r>
        <w:rPr>
          <w:rFonts w:ascii="仿宋_GB2312" w:eastAsia="仿宋_GB2312" w:cs="仿宋_GB2312" w:hint="eastAsia"/>
          <w:sz w:val="32"/>
          <w:szCs w:val="32"/>
        </w:rPr>
        <w:t>13317.24</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86.35</w:t>
      </w:r>
      <w:r>
        <w:rPr>
          <w:rFonts w:ascii="Times New Roman" w:eastAsia="仿宋_GB2312" w:cs="仿宋_GB2312" w:hAnsi="Times New Roman" w:hint="eastAsia"/>
          <w:color w:val="auto"/>
          <w:sz w:val="32"/>
          <w:szCs w:val="32"/>
          <w:lang w:eastAsia="zh-CN"/>
          <w:highlight w:val="auto"/>
        </w:rPr>
        <w:t>%；上缴上级支出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（图3：支出决算结构图）（饼状图）</w:t>
      </w:r>
    </w:p>
    <w:p>
      <w:pPr>
        <w:ind w:firstLineChars="250" w:firstLine="525"/>
        <w:rPr>
          <w:rFonts w:ascii="Times New Roman" w:eastAsia="仿宋_GB2312" w:cs="仿宋_GB2312" w:hAnsi="Times New Roman" w:hint="eastAsia"/>
          <w:color w:val="auto"/>
          <w:sz w:val="32"/>
          <w:szCs w:val="32"/>
          <w:lang w:eastAsia="zh-CN"/>
          <w:highlight w:val="auto"/>
        </w:rPr>
      </w:pPr>
      <w:r>
        <w:object>
          <v:shape id="_x0000_i2" type="#_x0000_t75" fillcolor="#FFFFFF" stroked="t" style="width:380.0pt;height:216.0pt;" o:ole="">
            <v:stroke color="#000000"/>
            <v:imagedata r:id="rId10" o:title=""/>
          </v:shape>
          <o:OLEObject Type="Embed" ProgID="Package" ShapeID="_x0000_i2" DrawAspect="Icon" ObjectID="_1393063352"/>
        </w:object>
      </w:r>
    </w:p>
    <w:p>
      <w:pPr>
        <w:spacing w:line="600" w:lineRule="exact"/>
        <w:ind w:firstLineChars="200" w:firstLine="640"/>
        <w:outlineLvl w:val="1"/>
        <w:rPr>
          <w:rStyle w:val="2Char"/>
          <w:rFonts w:ascii="Times New Roman" w:eastAsia="黑体" w:hAnsi="Times New Roman"/>
          <w:b w:val="0"/>
          <w:color w:val="auto"/>
          <w:highlight w:val="auto"/>
        </w:rPr>
      </w:pPr>
      <w:bookmarkStart w:id="18" w:name="_Toc15396606"/>
      <w:bookmarkStart w:id="19" w:name="_Toc15377208"/>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18"/>
      <w:bookmarkEnd w:id="19"/>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财政拨款收入、支出总计均为</w:t>
      </w:r>
      <w:r>
        <w:rPr>
          <w:rFonts w:ascii="仿宋_GB2312" w:eastAsia="仿宋_GB2312" w:cs="仿宋_GB2312" w:hint="eastAsia"/>
          <w:sz w:val="32"/>
          <w:szCs w:val="32"/>
        </w:rPr>
        <w:t>15421.48</w:t>
      </w:r>
      <w:r>
        <w:rPr>
          <w:rFonts w:ascii="Times New Roman" w:eastAsia="仿宋_GB2312" w:cs="仿宋_GB2312" w:hAnsi="Times New Roman" w:hint="eastAsia"/>
          <w:color w:val="auto"/>
          <w:kern w:val="2"/>
          <w:sz w:val="32"/>
          <w:szCs w:val="32"/>
          <w:lang w:val="en-US" w:eastAsia="zh-CN" w:bidi="ar-SA"/>
          <w:highlight w:val="auto"/>
        </w:rPr>
        <w:t>万元。与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年度相比，财政拨款收入、支出总计各减少</w:t>
      </w:r>
      <w:r>
        <w:rPr>
          <w:rFonts w:eastAsia="仿宋_GB2312" w:cs="仿宋_GB2312" w:hint="eastAsia"/>
          <w:color w:val="auto"/>
          <w:kern w:val="2"/>
          <w:sz w:val="32"/>
          <w:szCs w:val="32"/>
          <w:lang w:val="en-US" w:eastAsia="zh-CN" w:bidi="ar-SA"/>
          <w:highlight w:val="auto"/>
        </w:rPr>
        <w:t>10183.36</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39.77</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eastAsia="仿宋_GB2312" w:cs="仿宋_GB2312" w:hint="eastAsia"/>
          <w:color w:val="auto"/>
          <w:kern w:val="2"/>
          <w:sz w:val="32"/>
          <w:szCs w:val="32"/>
          <w:lang w:val="en-US" w:eastAsia="zh-CN" w:bidi="ar-SA"/>
          <w:highlight w:val="auto"/>
        </w:rPr>
        <w:t>项目资金减少。</w:t>
      </w: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r>
        <w:object>
          <v:shape id="_x0000_i3" type="#_x0000_t75" fillcolor="#FFFFFF" stroked="t" style="position:absolute;margin-left:39.85pt;margin-top:8.6pt;width:380.0pt;height:216.0pt;z-index:24;mso-position-horizontal:absolute;mso-position-vertical:absolute;" o:ole="">
            <v:stroke color="#000000"/>
            <v:imagedata r:id="rId11" o:title=""/>
            <w10:wrap type="topAndBottom"/>
          </v:shape>
          <o:OLEObject Type="Embed" ProgID="Package" ShapeID="_x0000_i3" DrawAspect="Icon" ObjectID="_1393063353"/>
        </w:object>
      </w:r>
    </w:p>
    <w:p>
      <w:pPr>
        <w:spacing w:line="600" w:lineRule="exact"/>
        <w:ind w:firstLineChars="200" w:firstLine="640"/>
        <w:outlineLvl w:val="1"/>
        <w:rPr>
          <w:rStyle w:val="2Char"/>
          <w:rFonts w:ascii="Times New Roman" w:eastAsia="黑体" w:hAnsi="Times New Roman"/>
          <w:b w:val="0"/>
          <w:color w:val="auto"/>
          <w:highlight w:val="auto"/>
        </w:rPr>
      </w:pPr>
      <w:bookmarkStart w:id="20" w:name="_Toc15396607"/>
      <w:bookmarkStart w:id="21" w:name="_Toc15377209"/>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0"/>
      <w:bookmarkEnd w:id="21"/>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2"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22"/>
    </w:p>
    <w:p>
      <w:pPr>
        <w:spacing w:line="600" w:lineRule="exact"/>
        <w:ind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15421.48</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年度相比，一般公共预算财政拨款支出减少</w:t>
      </w:r>
      <w:r>
        <w:rPr>
          <w:rFonts w:eastAsia="仿宋_GB2312" w:cs="仿宋_GB2312" w:hint="eastAsia"/>
          <w:color w:val="auto"/>
          <w:kern w:val="2"/>
          <w:sz w:val="32"/>
          <w:szCs w:val="32"/>
          <w:lang w:val="en-US" w:eastAsia="zh-CN" w:bidi="ar-SA"/>
          <w:highlight w:val="auto"/>
        </w:rPr>
        <w:t>10183.36</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39.77</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eastAsia="仿宋_GB2312" w:cs="仿宋_GB2312" w:hint="eastAsia"/>
          <w:color w:val="auto"/>
          <w:kern w:val="2"/>
          <w:sz w:val="32"/>
          <w:szCs w:val="32"/>
          <w:lang w:val="en-US" w:eastAsia="zh-CN" w:bidi="ar-SA"/>
          <w:highlight w:val="auto"/>
        </w:rPr>
        <w:t>项目资金减少。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r>
        <w:object>
          <v:shape id="_x0000_i4" type="#_x0000_t75" fillcolor="#FFFFFF" stroked="t" style="position:absolute;margin-left:32.35pt;margin-top:-193.15001pt;width:349.15pt;height:213.94998pt;z-index:25;mso-position-horizontal:absolute;mso-position-vertical:absolute;" o:ole="">
            <v:stroke color="#000000"/>
            <v:imagedata r:id="rId12" o:title=""/>
            <w10:wrap type="topAndBottom"/>
          </v:shape>
          <o:OLEObject Type="Embed" ProgID="Package" ShapeID="_x0000_i4" DrawAspect="Icon" ObjectID="_1393063354"/>
        </w:objec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3"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23"/>
    </w:p>
    <w:p>
      <w:pPr>
        <w:spacing w:line="600" w:lineRule="exact"/>
        <w:ind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15421.48</w:t>
      </w:r>
      <w:r>
        <w:rPr>
          <w:rFonts w:ascii="Times New Roman" w:eastAsia="仿宋_GB2312" w:cs="仿宋_GB2312" w:hAnsi="Times New Roman" w:hint="eastAsia"/>
          <w:color w:val="auto"/>
          <w:kern w:val="2"/>
          <w:sz w:val="32"/>
          <w:szCs w:val="32"/>
          <w:lang w:val="en-US" w:eastAsia="zh-CN" w:bidi="ar-SA"/>
          <w:highlight w:val="auto"/>
        </w:rPr>
        <w:t>万元，主要用于以下方面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eastAsia="仿宋_GB2312" w:cs="仿宋_GB2312" w:hint="eastAsia"/>
          <w:color w:val="auto"/>
          <w:kern w:val="2"/>
          <w:sz w:val="32"/>
          <w:szCs w:val="32"/>
          <w:lang w:val="en-US" w:eastAsia="zh-CN" w:bidi="ar-SA"/>
          <w:highlight w:val="auto"/>
        </w:rPr>
        <w:t>1153.04</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7.48</w:t>
      </w:r>
      <w:r>
        <w:rPr>
          <w:rFonts w:ascii="Times New Roman" w:eastAsia="仿宋_GB2312" w:cs="仿宋_GB2312" w:hAnsi="Times New Roman" w:hint="eastAsia"/>
          <w:color w:val="auto"/>
          <w:kern w:val="2"/>
          <w:sz w:val="32"/>
          <w:szCs w:val="32"/>
          <w:lang w:val="en-US" w:eastAsia="zh-CN" w:bidi="ar-SA"/>
          <w:highlight w:val="auto"/>
        </w:rPr>
        <w:t>%；卫生健康支出</w:t>
      </w:r>
      <w:r>
        <w:rPr>
          <w:rFonts w:eastAsia="仿宋_GB2312" w:cs="仿宋_GB2312" w:hint="eastAsia"/>
          <w:color w:val="auto"/>
          <w:kern w:val="2"/>
          <w:sz w:val="32"/>
          <w:szCs w:val="32"/>
          <w:lang w:val="en-US" w:eastAsia="zh-CN" w:bidi="ar-SA"/>
          <w:highlight w:val="auto"/>
        </w:rPr>
        <w:t>116.94</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0.76</w:t>
      </w:r>
      <w:r>
        <w:rPr>
          <w:rFonts w:ascii="Times New Roman" w:eastAsia="仿宋_GB2312" w:cs="仿宋_GB2312" w:hAnsi="Times New Roman" w:hint="eastAsia"/>
          <w:color w:val="auto"/>
          <w:kern w:val="2"/>
          <w:sz w:val="32"/>
          <w:szCs w:val="32"/>
          <w:lang w:val="en-US" w:eastAsia="zh-CN" w:bidi="ar-SA"/>
          <w:highlight w:val="auto"/>
        </w:rPr>
        <w:t>%；住房保障支出</w:t>
      </w:r>
      <w:r>
        <w:rPr>
          <w:rFonts w:eastAsia="仿宋_GB2312" w:cs="仿宋_GB2312" w:hint="eastAsia"/>
          <w:color w:val="auto"/>
          <w:kern w:val="2"/>
          <w:sz w:val="32"/>
          <w:szCs w:val="32"/>
          <w:lang w:val="en-US" w:eastAsia="zh-CN" w:bidi="ar-SA"/>
          <w:highlight w:val="auto"/>
        </w:rPr>
        <w:t>151.09</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0.98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节能环保支出7052.42万元，占45.73%；农林水支出6697.35万元，占43.43%；自然资源海洋气象等支出250.64万元；占1.63%。</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object>
          <v:shape id="_x0000_i5" type="#_x0000_t75" fillcolor="#FFFFFF" stroked="t" style="position:absolute;margin-left:36.85pt;margin-top:40.45pt;width:368.74997pt;height:196.54999pt;z-index:26;mso-position-horizontal:absolute;mso-position-vertical:absolute;" o:ole="">
            <v:stroke color="#000000"/>
            <v:imagedata r:id="rId13" o:title=""/>
            <w10:wrap type="topAndBottom"/>
          </v:shape>
          <o:OLEObject Type="Embed" ProgID="Package" ShapeID="_x0000_i5" DrawAspect="Icon" ObjectID="_1393063355"/>
        </w:object>
      </w: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4"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2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25" w:name="_Toc15378460"/>
      <w:bookmarkStart w:id="26" w:name="_Toc15377444"/>
      <w:bookmarkStart w:id="27" w:name="_Toc15377213"/>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仿宋_GB2312" w:eastAsia="仿宋_GB2312" w:cs="仿宋_GB2312" w:hint="eastAsia"/>
          <w:sz w:val="32"/>
          <w:szCs w:val="32"/>
        </w:rPr>
        <w:t>15421.48</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25"/>
      <w:bookmarkEnd w:id="26"/>
      <w:bookmarkEnd w:id="27"/>
    </w:p>
    <w:p>
      <w:pPr>
        <w:keepNext w:val="0"/>
        <w:keepLines w:val="0"/>
        <w:pageBreakBefore w:val="0"/>
        <w:widowControl/>
        <w:suppressLineNumbers w:val="0"/>
        <w:suppressAutoHyphens w:val="0"/>
        <w:kinsoku/>
        <w:wordWrap/>
        <w:overflowPunct/>
        <w:topLinePunct w:val="0"/>
        <w:autoSpaceDE/>
        <w:autoSpaceDN/>
        <w:ind w:left="0" w:firstLineChars="200" w:firstLine="640"/>
        <w:rPr>
          <w:rFonts w:ascii="仿宋_GB2312" w:eastAsia="仿宋_GB2312" w:cs="仿宋_GB2312" w:hint="eastAsia"/>
          <w:b/>
          <w:bCs/>
          <w:kern w:val="0"/>
          <w:sz w:val="32"/>
          <w:szCs w:val="32"/>
        </w:rPr>
      </w:pPr>
      <w:r>
        <w:rPr>
          <w:rStyle w:val="38"/>
          <w:rFonts w:ascii="仿宋_GB2312" w:eastAsia="仿宋_GB2312" w:cs="仿宋_GB2312" w:hint="eastAsia"/>
          <w:bCs/>
          <w:sz w:val="32"/>
          <w:szCs w:val="32"/>
          <w:lang w:val="en-US" w:eastAsia="zh-CN"/>
        </w:rPr>
        <w:t>1.</w:t>
      </w:r>
      <w:r>
        <w:rPr>
          <w:rStyle w:val="38"/>
          <w:rFonts w:ascii="仿宋_GB2312" w:eastAsia="仿宋_GB2312" w:cs="仿宋_GB2312" w:hint="eastAsia"/>
          <w:bCs/>
          <w:sz w:val="32"/>
          <w:szCs w:val="32"/>
        </w:rPr>
        <w:t>社会保障和就业：</w:t>
      </w:r>
    </w:p>
    <w:p>
      <w:pPr>
        <w:keepNext w:val="0"/>
        <w:keepLines w:val="0"/>
        <w:pageBreakBefore w:val="0"/>
        <w:widowControl/>
        <w:suppressLineNumbers w:val="0"/>
        <w:suppressAutoHyphens w:val="0"/>
        <w:kinsoku/>
        <w:wordWrap/>
        <w:overflowPunct/>
        <w:topLinePunct w:val="0"/>
        <w:autoSpaceDE/>
        <w:autoSpaceDN/>
        <w:ind w:left="0" w:firstLineChars="200" w:firstLine="640"/>
        <w:rPr>
          <w:rFonts w:ascii="仿宋_GB2312" w:eastAsia="仿宋_GB2312" w:cs="仿宋_GB2312" w:hint="eastAsia"/>
          <w:bCs/>
          <w:kern w:val="0"/>
          <w:sz w:val="32"/>
          <w:szCs w:val="32"/>
        </w:rPr>
      </w:pPr>
      <w:r>
        <w:rPr>
          <w:rStyle w:val="38"/>
          <w:rFonts w:ascii="仿宋_GB2312" w:eastAsia="仿宋_GB2312" w:cs="仿宋_GB2312" w:hint="eastAsia"/>
          <w:b/>
          <w:bCs w:val="0"/>
          <w:color w:val="auto"/>
          <w:sz w:val="32"/>
          <w:szCs w:val="32"/>
        </w:rPr>
        <w:t>机关事业单位基本养老保险缴费</w:t>
      </w:r>
      <w:r>
        <w:rPr>
          <w:rStyle w:val="38"/>
          <w:rFonts w:ascii="仿宋_GB2312" w:eastAsia="仿宋_GB2312" w:cs="仿宋_GB2312" w:hint="eastAsia"/>
          <w:b/>
          <w:bCs w:val="0"/>
          <w:sz w:val="32"/>
          <w:szCs w:val="32"/>
        </w:rPr>
        <w:t>（类）208（款）05（项）05:</w:t>
      </w:r>
      <w:r>
        <w:rPr>
          <w:rStyle w:val="38"/>
          <w:rFonts w:ascii="仿宋_GB2312" w:eastAsia="仿宋_GB2312" w:cs="仿宋_GB2312" w:hint="eastAsia"/>
          <w:b w:val="0"/>
          <w:bCs/>
          <w:sz w:val="32"/>
          <w:szCs w:val="32"/>
        </w:rPr>
        <w:t xml:space="preserve"> 支出决算为</w:t>
      </w:r>
      <w:r>
        <w:rPr>
          <w:rStyle w:val="38"/>
          <w:rFonts w:ascii="仿宋_GB2312" w:eastAsia="仿宋_GB2312" w:cs="仿宋_GB2312" w:hint="eastAsia"/>
          <w:b w:val="0"/>
          <w:bCs/>
          <w:sz w:val="32"/>
          <w:szCs w:val="32"/>
          <w:lang w:val="en-US" w:eastAsia="zh-CN"/>
        </w:rPr>
        <w:t>180.09</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Style w:val="38"/>
          <w:rFonts w:ascii="仿宋_GB2312" w:eastAsia="仿宋_GB2312" w:cs="仿宋_GB2312" w:hint="eastAsia"/>
          <w:b w:val="0"/>
          <w:bCs/>
          <w:sz w:val="32"/>
          <w:szCs w:val="32"/>
          <w:lang w:val="en-US" w:eastAsia="zh-CN"/>
        </w:rPr>
      </w:pPr>
      <w:r>
        <w:rPr>
          <w:rStyle w:val="38"/>
          <w:rFonts w:ascii="仿宋_GB2312" w:eastAsia="仿宋_GB2312" w:cs="仿宋_GB2312" w:hint="eastAsia"/>
          <w:b/>
          <w:bCs w:val="0"/>
          <w:color w:val="auto"/>
          <w:sz w:val="32"/>
          <w:szCs w:val="32"/>
        </w:rPr>
        <w:t>机关事业单位职业年金缴费</w:t>
      </w:r>
      <w:r>
        <w:rPr>
          <w:rStyle w:val="38"/>
          <w:rFonts w:ascii="仿宋_GB2312" w:eastAsia="仿宋_GB2312" w:cs="仿宋_GB2312" w:hint="eastAsia"/>
          <w:b/>
          <w:bCs w:val="0"/>
          <w:sz w:val="32"/>
          <w:szCs w:val="32"/>
        </w:rPr>
        <w:t>（类）208（款）05（项）06：</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90.95</w:t>
      </w:r>
      <w:r>
        <w:rPr>
          <w:rStyle w:val="38"/>
          <w:rFonts w:ascii="仿宋_GB2312" w:eastAsia="仿宋_GB2312" w:cs="仿宋_GB2312" w:hint="eastAsia"/>
          <w:b w:val="0"/>
          <w:bCs/>
          <w:sz w:val="32"/>
          <w:szCs w:val="32"/>
        </w:rPr>
        <w:t>万元，完成预算100%，决算数等于预算数的主要原因是严格按照预算执行</w:t>
      </w:r>
      <w:r>
        <w:rPr>
          <w:rStyle w:val="38"/>
          <w:rFonts w:ascii="仿宋_GB2312" w:eastAsia="仿宋_GB2312" w:cs="仿宋_GB2312" w:hint="eastAsia"/>
          <w:b w:val="0"/>
          <w:bCs/>
          <w:sz w:val="32"/>
          <w:szCs w:val="32"/>
          <w:lang w:val="en-US" w:eastAsia="zh-CN"/>
        </w:rPr>
        <w:t>.</w:t>
      </w:r>
    </w:p>
    <w:p>
      <w:pPr>
        <w:spacing w:line="600" w:lineRule="exact"/>
        <w:ind w:firstLineChars="200" w:firstLine="640"/>
        <w:rPr>
          <w:rFonts w:hint="eastAsia"/>
          <w:lang w:val="en-US" w:eastAsia="zh-CN"/>
        </w:rPr>
      </w:pPr>
      <w:r>
        <w:rPr>
          <w:rStyle w:val="40"/>
          <w:rFonts w:ascii="宋体" w:eastAsia="宋体" w:cs="宋体" w:hint="eastAsia"/>
          <w:b/>
          <w:bCs/>
          <w:color w:val="000000"/>
          <w:sz w:val="32"/>
          <w:szCs w:val="32"/>
          <w:lang w:eastAsia="zh-CN"/>
        </w:rPr>
        <w:t>公益性岗位补贴</w:t>
      </w:r>
      <w:r>
        <w:rPr>
          <w:rStyle w:val="40"/>
          <w:rFonts w:ascii="宋体" w:eastAsia="宋体" w:cs="宋体" w:hint="eastAsia"/>
          <w:b/>
          <w:bCs/>
          <w:sz w:val="32"/>
          <w:szCs w:val="32"/>
        </w:rPr>
        <w:t>类208（款）0</w:t>
      </w:r>
      <w:r>
        <w:rPr>
          <w:rStyle w:val="40"/>
          <w:rFonts w:ascii="宋体" w:cs="宋体" w:hint="eastAsia"/>
          <w:b/>
          <w:bCs/>
          <w:sz w:val="32"/>
          <w:szCs w:val="32"/>
          <w:lang w:val="en-US" w:eastAsia="zh-CN"/>
        </w:rPr>
        <w:t>7</w:t>
      </w:r>
      <w:r>
        <w:rPr>
          <w:rStyle w:val="40"/>
          <w:rFonts w:ascii="宋体" w:eastAsia="宋体" w:cs="宋体" w:hint="eastAsia"/>
          <w:b/>
          <w:bCs/>
          <w:sz w:val="32"/>
          <w:szCs w:val="32"/>
        </w:rPr>
        <w:t>（项）0</w:t>
      </w:r>
      <w:r>
        <w:rPr>
          <w:rStyle w:val="40"/>
          <w:rFonts w:ascii="宋体" w:cs="宋体" w:hint="eastAsia"/>
          <w:b/>
          <w:bCs/>
          <w:sz w:val="32"/>
          <w:szCs w:val="32"/>
          <w:lang w:val="en-US" w:eastAsia="zh-CN"/>
        </w:rPr>
        <w:t>5</w:t>
      </w:r>
      <w:r>
        <w:rPr>
          <w:rStyle w:val="40"/>
          <w:rFonts w:ascii="宋体" w:eastAsia="宋体" w:cs="宋体" w:hint="eastAsia"/>
          <w:b/>
          <w:bCs/>
          <w:sz w:val="32"/>
          <w:szCs w:val="32"/>
        </w:rPr>
        <w:t>：</w:t>
      </w:r>
      <w:r>
        <w:rPr>
          <w:rStyle w:val="40"/>
          <w:rFonts w:ascii="宋体" w:eastAsia="宋体" w:cs="宋体" w:hint="eastAsia"/>
          <w:b w:val="0"/>
          <w:bCs w:val="0"/>
          <w:sz w:val="32"/>
          <w:szCs w:val="32"/>
        </w:rPr>
        <w:t>支出决算为</w:t>
      </w:r>
      <w:r>
        <w:rPr>
          <w:rStyle w:val="40"/>
          <w:rFonts w:ascii="宋体" w:cs="宋体" w:hint="eastAsia"/>
          <w:b w:val="0"/>
          <w:bCs w:val="0"/>
          <w:sz w:val="32"/>
          <w:szCs w:val="32"/>
          <w:lang w:val="en-US" w:eastAsia="zh-CN"/>
        </w:rPr>
        <w:t>882.00</w:t>
      </w:r>
      <w:r>
        <w:rPr>
          <w:rStyle w:val="40"/>
          <w:rFonts w:ascii="宋体" w:eastAsia="宋体" w:cs="宋体" w:hint="eastAsia"/>
          <w:b w:val="0"/>
          <w:bCs w:val="0"/>
          <w:sz w:val="32"/>
          <w:szCs w:val="32"/>
        </w:rPr>
        <w:t>万元，完成预算100%，决算数等于预算数的主要原因是严格按照预算执行</w:t>
      </w:r>
      <w:r>
        <w:rPr>
          <w:rStyle w:val="40"/>
          <w:rFonts w:ascii="宋体" w:cs="宋体" w:hint="eastAsia"/>
          <w:b w:val="0"/>
          <w:bCs w:val="0"/>
          <w:sz w:val="32"/>
          <w:szCs w:val="32"/>
          <w:lang w:eastAsia="zh-CN"/>
        </w:rPr>
        <w:t>。</w:t>
      </w:r>
    </w:p>
    <w:p>
      <w:pPr>
        <w:keepNext w:val="0"/>
        <w:keepLines w:val="0"/>
        <w:pageBreakBefore w:val="0"/>
        <w:widowControl/>
        <w:suppressLineNumbers w:val="0"/>
        <w:suppressAutoHyphens w:val="0"/>
        <w:ind w:left="0" w:firstLineChars="200" w:firstLine="640"/>
        <w:rPr>
          <w:rFonts w:ascii="仿宋_GB2312" w:eastAsia="仿宋_GB2312" w:cs="仿宋_GB2312" w:hint="eastAsia"/>
          <w:b/>
          <w:bCs/>
          <w:kern w:val="0"/>
          <w:sz w:val="32"/>
          <w:szCs w:val="32"/>
        </w:rPr>
      </w:pPr>
      <w:r>
        <w:rPr>
          <w:rStyle w:val="38"/>
          <w:rFonts w:ascii="仿宋_GB2312" w:eastAsia="仿宋_GB2312" w:cs="仿宋_GB2312" w:hint="eastAsia"/>
          <w:b/>
          <w:bCs w:val="0"/>
          <w:sz w:val="32"/>
          <w:szCs w:val="32"/>
          <w:lang w:val="en-US" w:eastAsia="zh-CN"/>
        </w:rPr>
        <w:t>2.</w:t>
      </w:r>
      <w:r>
        <w:rPr>
          <w:rFonts w:ascii="仿宋_GB2312" w:eastAsia="仿宋_GB2312" w:cs="仿宋_GB2312" w:hint="eastAsia"/>
          <w:b/>
          <w:bCs/>
          <w:kern w:val="0"/>
          <w:sz w:val="32"/>
          <w:szCs w:val="32"/>
        </w:rPr>
        <w:t>卫生健康：</w:t>
      </w:r>
    </w:p>
    <w:p>
      <w:pPr>
        <w:bidi w:val="0"/>
        <w:ind w:firstLineChars="200" w:firstLine="640"/>
        <w:rPr>
          <w:rFonts w:ascii="仿宋_GB2312" w:eastAsia="仿宋_GB2312" w:cs="仿宋_GB2312" w:hint="eastAsia"/>
          <w:b w:val="0"/>
          <w:kern w:val="2"/>
          <w:sz w:val="32"/>
          <w:szCs w:val="32"/>
          <w:lang w:val="en-US" w:eastAsia="zh-CN" w:bidi="ar-SA"/>
        </w:rPr>
      </w:pPr>
      <w:r>
        <w:rPr>
          <w:rFonts w:ascii="仿宋_GB2312" w:eastAsia="仿宋_GB2312" w:cs="仿宋_GB2312" w:hint="eastAsia"/>
          <w:b/>
          <w:bCs/>
          <w:kern w:val="2"/>
          <w:sz w:val="32"/>
          <w:szCs w:val="32"/>
          <w:lang w:val="en-US" w:eastAsia="zh-CN" w:bidi="ar-SA"/>
        </w:rPr>
        <w:t>事业单位医疗（类）210（款）11（项）02：</w:t>
      </w:r>
      <w:r>
        <w:rPr>
          <w:rFonts w:ascii="仿宋_GB2312" w:eastAsia="仿宋_GB2312" w:cs="仿宋_GB2312" w:hint="eastAsia"/>
          <w:b w:val="0"/>
          <w:kern w:val="2"/>
          <w:sz w:val="32"/>
          <w:szCs w:val="32"/>
          <w:lang w:val="en-US" w:eastAsia="zh-CN" w:bidi="ar-SA"/>
        </w:rPr>
        <w:t>支出决算为86.76万元，完成预算100%，决算数等于预算数的主要原因是严格按照预算执行；</w:t>
      </w:r>
    </w:p>
    <w:p>
      <w:pPr>
        <w:bidi w:val="0"/>
        <w:ind w:firstLineChars="200" w:firstLine="640"/>
        <w:rPr>
          <w:rFonts w:ascii="仿宋_GB2312" w:eastAsia="仿宋_GB2312" w:cs="仿宋_GB2312" w:hint="eastAsia"/>
          <w:kern w:val="0"/>
          <w:szCs w:val="32"/>
          <w:shd w:val="clear" w:color="auto" w:fill="FFFFFF"/>
        </w:rPr>
      </w:pPr>
      <w:r>
        <w:rPr>
          <w:rFonts w:ascii="仿宋_GB2312" w:eastAsia="仿宋_GB2312" w:cs="仿宋_GB2312" w:hint="eastAsia"/>
          <w:b/>
          <w:bCs/>
          <w:sz w:val="32"/>
          <w:szCs w:val="32"/>
        </w:rPr>
        <w:t>公务员医疗补助（类）210（款）11（项）03</w:t>
      </w:r>
      <w:r>
        <w:rPr>
          <w:rFonts w:ascii="仿宋_GB2312" w:eastAsia="仿宋_GB2312" w:cs="仿宋_GB2312" w:hint="eastAsia"/>
          <w:b/>
          <w:bCs/>
          <w:sz w:val="32"/>
          <w:szCs w:val="32"/>
          <w:lang w:eastAsia="zh-CN"/>
        </w:rPr>
        <w:t>：</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30.18</w:t>
      </w:r>
      <w:r>
        <w:rPr>
          <w:rFonts w:ascii="仿宋_GB2312" w:eastAsia="仿宋_GB2312" w:cs="仿宋_GB2312" w:hint="eastAsia"/>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
          <w:bCs/>
          <w:kern w:val="0"/>
          <w:sz w:val="32"/>
          <w:szCs w:val="32"/>
        </w:rPr>
      </w:pPr>
      <w:r>
        <w:rPr>
          <w:rFonts w:ascii="仿宋_GB2312" w:eastAsia="仿宋_GB2312" w:cs="仿宋_GB2312" w:hint="eastAsia"/>
          <w:b/>
          <w:bCs/>
          <w:kern w:val="0"/>
          <w:sz w:val="32"/>
          <w:szCs w:val="32"/>
          <w:lang w:val="en-US" w:eastAsia="zh-CN"/>
        </w:rPr>
        <w:t>3.</w:t>
      </w:r>
      <w:r>
        <w:rPr>
          <w:rFonts w:ascii="仿宋_GB2312" w:eastAsia="仿宋_GB2312" w:cs="仿宋_GB2312" w:hint="eastAsia"/>
          <w:b/>
          <w:bCs/>
          <w:kern w:val="0"/>
          <w:sz w:val="32"/>
          <w:szCs w:val="32"/>
        </w:rPr>
        <w:t>节能环保支出：</w:t>
      </w:r>
    </w:p>
    <w:p>
      <w:pPr>
        <w:pStyle w:val="15"/>
        <w:ind w:left="0" w:firstLineChars="200" w:firstLine="640"/>
        <w:rPr>
          <w:rFonts w:hint="eastAsia"/>
        </w:rPr>
      </w:pPr>
      <w:r>
        <w:rPr>
          <w:rStyle w:val="38"/>
          <w:rFonts w:ascii="仿宋_GB2312" w:eastAsia="仿宋_GB2312" w:cs="仿宋_GB2312" w:hint="eastAsia"/>
          <w:bCs/>
          <w:sz w:val="32"/>
          <w:szCs w:val="32"/>
        </w:rPr>
        <w:t>其他环境保护管理事务支出（类）211（款）0</w:t>
      </w:r>
      <w:r>
        <w:rPr>
          <w:rStyle w:val="38"/>
          <w:rFonts w:ascii="仿宋_GB2312" w:eastAsia="仿宋_GB2312" w:cs="仿宋_GB2312" w:hint="eastAsia"/>
          <w:bCs/>
          <w:sz w:val="32"/>
          <w:szCs w:val="32"/>
          <w:lang w:val="en-US" w:eastAsia="zh-CN"/>
        </w:rPr>
        <w:t>1</w:t>
      </w:r>
      <w:r>
        <w:rPr>
          <w:rStyle w:val="38"/>
          <w:rFonts w:ascii="仿宋_GB2312" w:eastAsia="仿宋_GB2312" w:cs="仿宋_GB2312" w:hint="eastAsia"/>
          <w:bCs/>
          <w:sz w:val="32"/>
          <w:szCs w:val="32"/>
        </w:rPr>
        <w:t>（项）</w:t>
      </w:r>
      <w:r>
        <w:rPr>
          <w:rStyle w:val="38"/>
          <w:rFonts w:ascii="仿宋_GB2312" w:eastAsia="仿宋_GB2312" w:cs="仿宋_GB2312" w:hint="eastAsia"/>
          <w:bCs/>
          <w:sz w:val="32"/>
          <w:szCs w:val="32"/>
          <w:lang w:val="en-US" w:eastAsia="zh-CN"/>
        </w:rPr>
        <w:t>99</w:t>
      </w:r>
      <w:r>
        <w:rPr>
          <w:rStyle w:val="38"/>
          <w:rFonts w:ascii="仿宋_GB2312" w:eastAsia="仿宋_GB2312" w:cs="仿宋_GB2312" w:hint="eastAsia"/>
          <w:bCs/>
          <w:sz w:val="32"/>
          <w:szCs w:val="32"/>
        </w:rPr>
        <w:t>:</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7.79</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生态保护</w:t>
      </w:r>
      <w:r>
        <w:rPr>
          <w:rStyle w:val="38"/>
          <w:rFonts w:ascii="仿宋_GB2312" w:eastAsia="仿宋_GB2312" w:cs="仿宋_GB2312" w:hint="eastAsia"/>
          <w:bCs/>
          <w:sz w:val="32"/>
          <w:szCs w:val="32"/>
        </w:rPr>
        <w:t>（类）211（款）04（项）01:</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3046.49</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Style w:val="38"/>
          <w:rFonts w:ascii="仿宋_GB2312" w:eastAsia="仿宋_GB2312" w:cs="仿宋_GB2312" w:hint="eastAsia"/>
          <w:b w:val="0"/>
          <w:bCs/>
          <w:sz w:val="32"/>
          <w:szCs w:val="32"/>
        </w:rPr>
      </w:pPr>
      <w:r>
        <w:rPr>
          <w:rFonts w:ascii="仿宋_GB2312" w:eastAsia="仿宋_GB2312" w:cs="仿宋_GB2312" w:hint="eastAsia"/>
          <w:b/>
          <w:bCs/>
          <w:kern w:val="0"/>
          <w:sz w:val="32"/>
          <w:szCs w:val="32"/>
        </w:rPr>
        <w:t>草原生态修复治理</w:t>
      </w:r>
      <w:r>
        <w:rPr>
          <w:rStyle w:val="38"/>
          <w:rFonts w:ascii="仿宋_GB2312" w:eastAsia="仿宋_GB2312" w:cs="仿宋_GB2312" w:hint="eastAsia"/>
          <w:bCs/>
          <w:sz w:val="32"/>
          <w:szCs w:val="32"/>
        </w:rPr>
        <w:t>（类）211（款）04（项）05:</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1274.42</w:t>
      </w:r>
      <w:r>
        <w:rPr>
          <w:rStyle w:val="38"/>
          <w:rFonts w:ascii="仿宋_GB2312" w:eastAsia="仿宋_GB2312" w:cs="仿宋_GB2312" w:hint="eastAsia"/>
          <w:b w:val="0"/>
          <w:bCs/>
          <w:sz w:val="32"/>
          <w:szCs w:val="32"/>
        </w:rPr>
        <w:t>万元，完成预算100%，决算数等于预算数的主要原因是严格按照预算执行；</w:t>
      </w:r>
    </w:p>
    <w:p>
      <w:pPr>
        <w:pStyle w:val="15"/>
        <w:rPr>
          <w:lang w:val="en-US" w:eastAsia="zh-CN"/>
        </w:rPr>
      </w:pPr>
      <w:r>
        <w:rPr>
          <w:rStyle w:val="38"/>
          <w:rFonts w:ascii="仿宋_GB2312" w:eastAsia="仿宋_GB2312" w:cs="仿宋_GB2312" w:hint="eastAsia"/>
          <w:bCs/>
          <w:sz w:val="32"/>
          <w:szCs w:val="32"/>
          <w:lang w:val="en-US" w:eastAsia="zh-CN"/>
        </w:rPr>
        <w:t>自然保护地</w:t>
      </w:r>
      <w:r>
        <w:rPr>
          <w:rStyle w:val="38"/>
          <w:rFonts w:ascii="仿宋_GB2312" w:eastAsia="仿宋_GB2312" w:cs="仿宋_GB2312" w:hint="eastAsia"/>
          <w:bCs/>
          <w:sz w:val="32"/>
          <w:szCs w:val="32"/>
        </w:rPr>
        <w:t>（类）211（款）04（项）0</w:t>
      </w:r>
      <w:r>
        <w:rPr>
          <w:rStyle w:val="38"/>
          <w:rFonts w:ascii="仿宋_GB2312" w:eastAsia="仿宋_GB2312" w:cs="仿宋_GB2312" w:hint="eastAsia"/>
          <w:bCs/>
          <w:sz w:val="32"/>
          <w:szCs w:val="32"/>
          <w:lang w:val="en-US" w:eastAsia="zh-CN"/>
        </w:rPr>
        <w:t>6</w:t>
      </w:r>
      <w:r>
        <w:rPr>
          <w:rStyle w:val="38"/>
          <w:rFonts w:ascii="仿宋_GB2312" w:eastAsia="仿宋_GB2312" w:cs="仿宋_GB2312" w:hint="eastAsia"/>
          <w:bCs/>
          <w:sz w:val="32"/>
          <w:szCs w:val="32"/>
        </w:rPr>
        <w:t>:</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24.88</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lang w:bidi="ar-SA"/>
        </w:rPr>
      </w:pPr>
      <w:r>
        <w:rPr>
          <w:rFonts w:ascii="仿宋_GB2312" w:eastAsia="仿宋_GB2312" w:cs="仿宋_GB2312" w:hint="eastAsia"/>
          <w:b/>
          <w:bCs/>
          <w:kern w:val="0"/>
          <w:sz w:val="32"/>
          <w:szCs w:val="32"/>
        </w:rPr>
        <w:t>森林管护</w:t>
      </w:r>
      <w:r>
        <w:rPr>
          <w:rStyle w:val="38"/>
          <w:rFonts w:ascii="仿宋_GB2312" w:eastAsia="仿宋_GB2312" w:cs="仿宋_GB2312" w:hint="eastAsia"/>
          <w:bCs/>
          <w:sz w:val="32"/>
          <w:szCs w:val="32"/>
        </w:rPr>
        <w:t>（类）211（款）05（项）01:</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242.03</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Style w:val="38"/>
          <w:rFonts w:ascii="仿宋_GB2312" w:eastAsia="仿宋_GB2312" w:cs="仿宋_GB2312" w:hint="eastAsia"/>
          <w:b w:val="0"/>
          <w:bCs/>
          <w:sz w:val="32"/>
          <w:szCs w:val="32"/>
          <w:lang w:eastAsia="zh-CN"/>
        </w:rPr>
      </w:pPr>
      <w:r>
        <w:rPr>
          <w:rFonts w:ascii="仿宋_GB2312" w:eastAsia="仿宋_GB2312" w:cs="仿宋_GB2312" w:hint="eastAsia"/>
          <w:b/>
          <w:bCs/>
          <w:kern w:val="0"/>
          <w:sz w:val="32"/>
          <w:szCs w:val="32"/>
        </w:rPr>
        <w:t>社会保险补助</w:t>
      </w:r>
      <w:r>
        <w:rPr>
          <w:rStyle w:val="38"/>
          <w:rFonts w:ascii="仿宋_GB2312" w:eastAsia="仿宋_GB2312" w:cs="仿宋_GB2312" w:hint="eastAsia"/>
          <w:bCs/>
          <w:sz w:val="32"/>
          <w:szCs w:val="32"/>
        </w:rPr>
        <w:t>（类）211（款）05（项）02:</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339.83</w:t>
      </w:r>
      <w:r>
        <w:rPr>
          <w:rStyle w:val="38"/>
          <w:rFonts w:ascii="仿宋_GB2312" w:eastAsia="仿宋_GB2312" w:cs="仿宋_GB2312" w:hint="eastAsia"/>
          <w:b w:val="0"/>
          <w:bCs/>
          <w:sz w:val="32"/>
          <w:szCs w:val="32"/>
        </w:rPr>
        <w:t>万元，完成预算100%，决算数等于预算数的主要原因是严格按照预算执行</w:t>
      </w:r>
      <w:r>
        <w:rPr>
          <w:rStyle w:val="38"/>
          <w:rFonts w:ascii="仿宋_GB2312" w:eastAsia="仿宋_GB2312" w:cs="仿宋_GB2312" w:hint="eastAsia"/>
          <w:b w:val="0"/>
          <w:bCs/>
          <w:sz w:val="32"/>
          <w:szCs w:val="32"/>
          <w:lang w:eastAsia="zh-CN"/>
        </w:rPr>
        <w:t>；</w:t>
      </w:r>
    </w:p>
    <w:p>
      <w:pPr>
        <w:keepNext w:val="0"/>
        <w:keepLines w:val="0"/>
        <w:pageBreakBefore w:val="0"/>
        <w:widowControl/>
        <w:suppressLineNumbers w:val="0"/>
        <w:suppressAutoHyphens w:val="0"/>
        <w:ind w:left="0" w:firstLineChars="200" w:firstLine="640"/>
        <w:rPr>
          <w:rStyle w:val="38"/>
          <w:rFonts w:ascii="仿宋_GB2312" w:eastAsia="仿宋_GB2312" w:cs="仿宋_GB2312" w:hint="eastAsia"/>
          <w:b w:val="0"/>
          <w:bCs/>
          <w:sz w:val="32"/>
          <w:szCs w:val="32"/>
        </w:rPr>
      </w:pPr>
      <w:r>
        <w:rPr>
          <w:rFonts w:ascii="仿宋_GB2312" w:eastAsia="仿宋_GB2312" w:cs="仿宋_GB2312" w:hint="eastAsia"/>
          <w:b/>
          <w:bCs/>
          <w:kern w:val="0"/>
          <w:sz w:val="32"/>
          <w:szCs w:val="32"/>
        </w:rPr>
        <w:t>其他森林保护修复支出</w:t>
      </w:r>
      <w:r>
        <w:rPr>
          <w:rStyle w:val="38"/>
          <w:rFonts w:ascii="仿宋_GB2312" w:eastAsia="仿宋_GB2312" w:cs="仿宋_GB2312" w:hint="eastAsia"/>
          <w:bCs/>
          <w:sz w:val="32"/>
          <w:szCs w:val="32"/>
        </w:rPr>
        <w:t>（类）211（款）05（项）</w:t>
      </w:r>
      <w:r>
        <w:rPr>
          <w:rStyle w:val="38"/>
          <w:rFonts w:ascii="仿宋_GB2312" w:eastAsia="仿宋_GB2312" w:cs="仿宋_GB2312" w:hint="eastAsia"/>
          <w:bCs/>
          <w:sz w:val="32"/>
          <w:szCs w:val="32"/>
          <w:lang w:val="en-US" w:eastAsia="zh-CN"/>
        </w:rPr>
        <w:t>99</w:t>
      </w:r>
      <w:r>
        <w:rPr>
          <w:rStyle w:val="38"/>
          <w:rFonts w:ascii="仿宋_GB2312" w:eastAsia="仿宋_GB2312" w:cs="仿宋_GB2312" w:hint="eastAsia"/>
          <w:bCs/>
          <w:sz w:val="32"/>
          <w:szCs w:val="32"/>
        </w:rPr>
        <w:t>:</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565.22</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
          <w:bCs/>
          <w:kern w:val="0"/>
          <w:sz w:val="32"/>
          <w:szCs w:val="32"/>
          <w:lang w:val="en-US" w:eastAsia="zh-CN"/>
        </w:rPr>
      </w:pPr>
      <w:r>
        <w:rPr>
          <w:rStyle w:val="38"/>
          <w:rFonts w:ascii="仿宋_GB2312" w:eastAsia="仿宋_GB2312" w:cs="仿宋_GB2312" w:hint="eastAsia"/>
          <w:b w:val="0"/>
          <w:bCs/>
          <w:sz w:val="32"/>
          <w:szCs w:val="32"/>
          <w:lang w:val="en-US" w:eastAsia="zh-CN"/>
        </w:rPr>
        <w:t>4.</w:t>
      </w:r>
      <w:r>
        <w:rPr>
          <w:rFonts w:ascii="仿宋_GB2312" w:eastAsia="仿宋_GB2312" w:cs="仿宋_GB2312" w:hint="eastAsia"/>
          <w:b/>
          <w:bCs/>
          <w:kern w:val="0"/>
          <w:sz w:val="32"/>
          <w:szCs w:val="32"/>
          <w:lang w:val="en-US" w:eastAsia="zh-CN"/>
        </w:rPr>
        <w:t>农林水支出：</w:t>
      </w:r>
    </w:p>
    <w:p>
      <w:pPr>
        <w:keepNext w:val="0"/>
        <w:keepLines w:val="0"/>
        <w:pageBreakBefore w:val="0"/>
        <w:widowControl/>
        <w:suppressLineNumbers w:val="0"/>
        <w:suppressAutoHyphens w:val="0"/>
        <w:ind w:left="0" w:firstLineChars="200" w:firstLine="640"/>
        <w:rPr>
          <w:rFonts w:ascii="仿宋_GB2312" w:eastAsia="仿宋_GB2312" w:cs="仿宋_GB2312" w:hint="eastAsia"/>
          <w:b w:val="0"/>
          <w:bCs w:val="0"/>
          <w:kern w:val="0"/>
          <w:sz w:val="32"/>
          <w:szCs w:val="32"/>
          <w:lang w:val="en-US" w:eastAsia="zh-CN"/>
        </w:rPr>
      </w:pPr>
      <w:r>
        <w:rPr>
          <w:rFonts w:ascii="仿宋_GB2312" w:eastAsia="仿宋_GB2312" w:cs="仿宋_GB2312" w:hint="eastAsia"/>
          <w:b/>
          <w:bCs/>
          <w:kern w:val="0"/>
          <w:sz w:val="32"/>
          <w:szCs w:val="32"/>
          <w:lang w:val="en-US" w:eastAsia="zh-CN"/>
        </w:rPr>
        <w:t>行政运行（类）213（款）02（项）01:</w:t>
      </w:r>
      <w:r>
        <w:rPr>
          <w:rFonts w:ascii="仿宋_GB2312" w:eastAsia="仿宋_GB2312" w:cs="仿宋_GB2312" w:hint="eastAsia"/>
          <w:b w:val="0"/>
          <w:bCs w:val="0"/>
          <w:kern w:val="0"/>
          <w:sz w:val="32"/>
          <w:szCs w:val="32"/>
          <w:lang w:val="en-US" w:eastAsia="zh-CN"/>
        </w:rPr>
        <w:t>支出决算为596.03万元，完成预算100%，决算数等于预算数的主要原因是严格按照预算执行；</w:t>
      </w:r>
    </w:p>
    <w:p>
      <w:pPr>
        <w:keepNext w:val="0"/>
        <w:keepLines w:val="0"/>
        <w:pageBreakBefore w:val="0"/>
        <w:widowControl/>
        <w:suppressLineNumbers w:val="0"/>
        <w:suppressAutoHyphens w:val="0"/>
        <w:ind w:left="0" w:firstLineChars="200" w:firstLine="640"/>
        <w:jc w:val="left"/>
        <w:rPr>
          <w:rFonts w:ascii="仿宋_GB2312" w:eastAsia="仿宋_GB2312" w:cs="仿宋_GB2312" w:hint="eastAsia"/>
          <w:kern w:val="0"/>
          <w:sz w:val="32"/>
          <w:szCs w:val="32"/>
          <w:shd w:val="clear" w:color="auto" w:fill="FFFFFF"/>
        </w:rPr>
      </w:pPr>
      <w:r>
        <w:rPr>
          <w:rStyle w:val="39"/>
          <w:rFonts w:ascii="仿宋_GB2312" w:eastAsia="仿宋_GB2312" w:cs="仿宋_GB2312" w:hint="eastAsia"/>
          <w:kern w:val="0"/>
          <w:sz w:val="32"/>
          <w:szCs w:val="32"/>
          <w:shd w:val="clear" w:color="auto" w:fill="FFFFFF"/>
        </w:rPr>
        <w:t>事业机构（类）213（款）02（项）04:</w:t>
      </w:r>
      <w:r>
        <w:rPr>
          <w:rFonts w:ascii="仿宋_GB2312" w:eastAsia="仿宋_GB2312" w:cs="仿宋_GB2312" w:hint="eastAsia"/>
          <w:kern w:val="0"/>
          <w:sz w:val="32"/>
          <w:szCs w:val="32"/>
          <w:shd w:val="clear" w:color="auto" w:fill="FFFFFF"/>
        </w:rPr>
        <w:t>支出决算为</w:t>
      </w:r>
      <w:r>
        <w:rPr>
          <w:rFonts w:ascii="仿宋_GB2312" w:eastAsia="仿宋_GB2312" w:cs="仿宋_GB2312" w:hint="eastAsia"/>
          <w:kern w:val="0"/>
          <w:sz w:val="32"/>
          <w:szCs w:val="32"/>
          <w:shd w:val="clear" w:color="auto" w:fill="FFFFFF"/>
          <w:lang w:val="en-US" w:eastAsia="zh-CN"/>
        </w:rPr>
        <w:t>969.14</w:t>
      </w:r>
      <w:r>
        <w:rPr>
          <w:rFonts w:ascii="仿宋_GB2312" w:eastAsia="仿宋_GB2312" w:cs="仿宋_GB2312" w:hint="eastAsia"/>
          <w:kern w:val="0"/>
          <w:sz w:val="32"/>
          <w:szCs w:val="32"/>
          <w:shd w:val="clear" w:color="auto" w:fill="FFFFFF"/>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Style w:val="38"/>
          <w:rFonts w:ascii="仿宋_GB2312" w:eastAsia="仿宋_GB2312" w:cs="仿宋_GB2312" w:hint="eastAsia"/>
          <w:b w:val="0"/>
          <w:bCs/>
          <w:sz w:val="32"/>
          <w:szCs w:val="32"/>
        </w:rPr>
      </w:pPr>
      <w:r>
        <w:rPr>
          <w:rFonts w:ascii="仿宋_GB2312" w:eastAsia="仿宋_GB2312" w:cs="仿宋_GB2312" w:hint="eastAsia"/>
          <w:b/>
          <w:bCs/>
          <w:kern w:val="0"/>
          <w:sz w:val="32"/>
          <w:szCs w:val="32"/>
        </w:rPr>
        <w:t>森林资源培育</w:t>
      </w:r>
      <w:r>
        <w:rPr>
          <w:rStyle w:val="38"/>
          <w:rFonts w:ascii="仿宋_GB2312" w:eastAsia="仿宋_GB2312" w:cs="仿宋_GB2312" w:hint="eastAsia"/>
          <w:bCs/>
          <w:sz w:val="32"/>
          <w:szCs w:val="32"/>
        </w:rPr>
        <w:t>（类）213（款）02（项）05:</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100.25</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森林资源管理</w:t>
      </w:r>
      <w:r>
        <w:rPr>
          <w:rStyle w:val="38"/>
          <w:rFonts w:ascii="仿宋_GB2312" w:eastAsia="仿宋_GB2312" w:cs="仿宋_GB2312" w:hint="eastAsia"/>
          <w:bCs/>
          <w:sz w:val="32"/>
          <w:szCs w:val="32"/>
        </w:rPr>
        <w:t>（类）213（款）02（项）07:</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29.33</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森林生态效益补偿</w:t>
      </w:r>
      <w:r>
        <w:rPr>
          <w:rStyle w:val="38"/>
          <w:rFonts w:ascii="仿宋_GB2312" w:eastAsia="仿宋_GB2312" w:cs="仿宋_GB2312" w:hint="eastAsia"/>
          <w:bCs/>
          <w:sz w:val="32"/>
          <w:szCs w:val="32"/>
        </w:rPr>
        <w:t>（类）213（款）02（项）09:</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235.95</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动植物保护</w:t>
      </w:r>
      <w:r>
        <w:rPr>
          <w:rStyle w:val="38"/>
          <w:rFonts w:ascii="仿宋_GB2312" w:eastAsia="仿宋_GB2312" w:cs="仿宋_GB2312" w:hint="eastAsia"/>
          <w:bCs/>
          <w:sz w:val="32"/>
          <w:szCs w:val="32"/>
        </w:rPr>
        <w:t>（类）213（款）02（项）11:</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15.50</w:t>
      </w:r>
      <w:r>
        <w:rPr>
          <w:rStyle w:val="38"/>
          <w:rFonts w:ascii="仿宋_GB2312" w:eastAsia="仿宋_GB2312" w:cs="仿宋_GB2312" w:hint="eastAsia"/>
          <w:b w:val="0"/>
          <w:bCs/>
          <w:sz w:val="32"/>
          <w:szCs w:val="32"/>
        </w:rPr>
        <w:t>万元，完</w:t>
      </w:r>
      <w:bookmarkStart w:id="28" w:name="_GoBack"/>
      <w:bookmarkEnd w:id="28"/>
      <w:r>
        <w:rPr>
          <w:rStyle w:val="38"/>
          <w:rFonts w:ascii="仿宋_GB2312" w:eastAsia="仿宋_GB2312" w:cs="仿宋_GB2312" w:hint="eastAsia"/>
          <w:b w:val="0"/>
          <w:bCs/>
          <w:sz w:val="32"/>
          <w:szCs w:val="32"/>
        </w:rPr>
        <w:t>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湿地保护</w:t>
      </w:r>
      <w:r>
        <w:rPr>
          <w:rStyle w:val="38"/>
          <w:rFonts w:ascii="仿宋_GB2312" w:eastAsia="仿宋_GB2312" w:cs="仿宋_GB2312" w:hint="eastAsia"/>
          <w:bCs/>
          <w:sz w:val="32"/>
          <w:szCs w:val="32"/>
        </w:rPr>
        <w:t>（类）213（款）02（项）12:</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1879.89</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执法与监督</w:t>
      </w:r>
      <w:r>
        <w:rPr>
          <w:rStyle w:val="38"/>
          <w:rFonts w:ascii="仿宋_GB2312" w:eastAsia="仿宋_GB2312" w:cs="仿宋_GB2312" w:hint="eastAsia"/>
          <w:bCs/>
          <w:sz w:val="32"/>
          <w:szCs w:val="32"/>
        </w:rPr>
        <w:t>（类）213（款）02（项）13:</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3.07</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color w:val="0000FF"/>
          <w:kern w:val="0"/>
          <w:sz w:val="32"/>
          <w:szCs w:val="32"/>
        </w:rPr>
      </w:pPr>
      <w:r>
        <w:rPr>
          <w:rFonts w:ascii="仿宋_GB2312" w:eastAsia="仿宋_GB2312" w:cs="仿宋_GB2312" w:hint="eastAsia"/>
          <w:b/>
          <w:bCs/>
          <w:kern w:val="0"/>
          <w:sz w:val="32"/>
          <w:szCs w:val="32"/>
        </w:rPr>
        <w:t>防沙治沙</w:t>
      </w:r>
      <w:r>
        <w:rPr>
          <w:rStyle w:val="38"/>
          <w:rFonts w:ascii="仿宋_GB2312" w:eastAsia="仿宋_GB2312" w:cs="仿宋_GB2312" w:hint="eastAsia"/>
          <w:bCs/>
          <w:sz w:val="32"/>
          <w:szCs w:val="32"/>
        </w:rPr>
        <w:t>（类）213（款）02（项）17:</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920.46</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林业草原防灾减灾</w:t>
      </w:r>
      <w:r>
        <w:rPr>
          <w:rStyle w:val="38"/>
          <w:rFonts w:ascii="仿宋_GB2312" w:eastAsia="仿宋_GB2312" w:cs="仿宋_GB2312" w:hint="eastAsia"/>
          <w:bCs/>
          <w:sz w:val="32"/>
          <w:szCs w:val="32"/>
        </w:rPr>
        <w:t>（类）213（款）02（项）34:</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603.87</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草原管理</w:t>
      </w:r>
      <w:r>
        <w:rPr>
          <w:rStyle w:val="38"/>
          <w:rFonts w:ascii="仿宋_GB2312" w:eastAsia="仿宋_GB2312" w:cs="仿宋_GB2312" w:hint="eastAsia"/>
          <w:bCs/>
          <w:sz w:val="32"/>
          <w:szCs w:val="32"/>
        </w:rPr>
        <w:t>（类）213（款）02（项）36:</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1049.54</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Cs/>
          <w:kern w:val="0"/>
          <w:sz w:val="32"/>
          <w:szCs w:val="32"/>
        </w:rPr>
      </w:pPr>
      <w:r>
        <w:rPr>
          <w:rFonts w:ascii="仿宋_GB2312" w:eastAsia="仿宋_GB2312" w:cs="仿宋_GB2312" w:hint="eastAsia"/>
          <w:b/>
          <w:bCs/>
          <w:kern w:val="0"/>
          <w:sz w:val="32"/>
          <w:szCs w:val="32"/>
        </w:rPr>
        <w:t>其他林业和草原支出</w:t>
      </w:r>
      <w:r>
        <w:rPr>
          <w:rStyle w:val="38"/>
          <w:rFonts w:ascii="仿宋_GB2312" w:eastAsia="仿宋_GB2312" w:cs="仿宋_GB2312" w:hint="eastAsia"/>
          <w:bCs/>
          <w:sz w:val="32"/>
          <w:szCs w:val="32"/>
        </w:rPr>
        <w:t>（类）213（款）02（项）99:</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247.17</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Style w:val="38"/>
          <w:rFonts w:ascii="仿宋_GB2312" w:eastAsia="仿宋_GB2312" w:cs="仿宋_GB2312" w:hint="eastAsia"/>
          <w:b w:val="0"/>
          <w:bCs/>
          <w:sz w:val="32"/>
          <w:szCs w:val="32"/>
        </w:rPr>
      </w:pPr>
      <w:r>
        <w:rPr>
          <w:rFonts w:ascii="仿宋_GB2312" w:eastAsia="仿宋_GB2312" w:cs="仿宋_GB2312" w:hint="eastAsia"/>
          <w:b/>
          <w:bCs/>
          <w:kern w:val="0"/>
          <w:sz w:val="32"/>
          <w:szCs w:val="32"/>
        </w:rPr>
        <w:t>农业保险保费补贴</w:t>
      </w:r>
      <w:r>
        <w:rPr>
          <w:rStyle w:val="38"/>
          <w:rFonts w:ascii="仿宋_GB2312" w:eastAsia="仿宋_GB2312" w:cs="仿宋_GB2312" w:hint="eastAsia"/>
          <w:bCs/>
          <w:sz w:val="32"/>
          <w:szCs w:val="32"/>
        </w:rPr>
        <w:t>（类）213（款）08（项）03:</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45.08</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Fonts w:ascii="仿宋_GB2312" w:eastAsia="仿宋_GB2312" w:cs="仿宋_GB2312" w:hint="eastAsia"/>
          <w:b/>
          <w:bCs/>
          <w:kern w:val="0"/>
          <w:sz w:val="32"/>
          <w:szCs w:val="32"/>
          <w:lang w:eastAsia="zh-CN"/>
        </w:rPr>
      </w:pPr>
      <w:r>
        <w:rPr>
          <w:rFonts w:ascii="仿宋_GB2312" w:eastAsia="仿宋_GB2312" w:cs="仿宋_GB2312" w:hint="eastAsia"/>
          <w:b/>
          <w:bCs/>
          <w:kern w:val="0"/>
          <w:sz w:val="32"/>
          <w:szCs w:val="32"/>
          <w:lang w:val="en-US" w:eastAsia="zh-CN"/>
        </w:rPr>
        <w:t>5.</w:t>
      </w:r>
      <w:r>
        <w:rPr>
          <w:rFonts w:ascii="仿宋_GB2312" w:eastAsia="仿宋_GB2312" w:cs="仿宋_GB2312" w:hint="eastAsia"/>
          <w:b/>
          <w:bCs/>
          <w:kern w:val="0"/>
          <w:sz w:val="32"/>
          <w:szCs w:val="32"/>
        </w:rPr>
        <w:t>自然资源海洋气象等支出</w:t>
      </w:r>
      <w:r>
        <w:rPr>
          <w:rFonts w:ascii="仿宋_GB2312" w:eastAsia="仿宋_GB2312" w:cs="仿宋_GB2312" w:hint="eastAsia"/>
          <w:b/>
          <w:bCs/>
          <w:kern w:val="0"/>
          <w:sz w:val="32"/>
          <w:szCs w:val="32"/>
          <w:lang w:eastAsia="zh-CN"/>
        </w:rPr>
        <w:t>：</w:t>
      </w:r>
    </w:p>
    <w:p>
      <w:pPr>
        <w:keepNext w:val="0"/>
        <w:keepLines w:val="0"/>
        <w:pageBreakBefore w:val="0"/>
        <w:widowControl/>
        <w:suppressLineNumbers w:val="0"/>
        <w:suppressAutoHyphens w:val="0"/>
        <w:ind w:left="0" w:firstLineChars="200" w:firstLine="640"/>
        <w:rPr>
          <w:rStyle w:val="38"/>
          <w:rFonts w:ascii="仿宋_GB2312" w:eastAsia="仿宋_GB2312" w:cs="仿宋_GB2312" w:hint="eastAsia"/>
          <w:b w:val="0"/>
          <w:bCs/>
          <w:sz w:val="32"/>
          <w:szCs w:val="32"/>
        </w:rPr>
      </w:pPr>
      <w:r>
        <w:rPr>
          <w:rFonts w:ascii="仿宋_GB2312" w:eastAsia="仿宋_GB2312" w:cs="仿宋_GB2312" w:hint="eastAsia"/>
          <w:b/>
          <w:bCs/>
          <w:kern w:val="0"/>
          <w:sz w:val="32"/>
          <w:szCs w:val="32"/>
        </w:rPr>
        <w:t>自然资源利用与保护</w:t>
      </w:r>
      <w:r>
        <w:rPr>
          <w:rStyle w:val="38"/>
          <w:rFonts w:ascii="仿宋_GB2312" w:eastAsia="仿宋_GB2312" w:cs="仿宋_GB2312" w:hint="eastAsia"/>
          <w:bCs/>
          <w:sz w:val="32"/>
          <w:szCs w:val="32"/>
        </w:rPr>
        <w:t>（类）220（款）01（项）06:</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250.64</w:t>
      </w:r>
      <w:r>
        <w:rPr>
          <w:rStyle w:val="38"/>
          <w:rFonts w:ascii="仿宋_GB2312" w:eastAsia="仿宋_GB2312" w:cs="仿宋_GB2312" w:hint="eastAsia"/>
          <w:b w:val="0"/>
          <w:bCs/>
          <w:sz w:val="32"/>
          <w:szCs w:val="32"/>
        </w:rPr>
        <w:t>万元，完成预算100%，决算数等于预算数的主要原因是严格按照预算执行；</w:t>
      </w:r>
    </w:p>
    <w:p>
      <w:pPr>
        <w:keepNext w:val="0"/>
        <w:keepLines w:val="0"/>
        <w:pageBreakBefore w:val="0"/>
        <w:widowControl/>
        <w:suppressLineNumbers w:val="0"/>
        <w:suppressAutoHyphens w:val="0"/>
        <w:ind w:left="0" w:firstLineChars="200" w:firstLine="640"/>
        <w:rPr>
          <w:rStyle w:val="38"/>
          <w:rFonts w:ascii="仿宋_GB2312" w:eastAsia="仿宋_GB2312" w:cs="仿宋_GB2312" w:hint="eastAsia"/>
          <w:b w:val="0"/>
          <w:bCs/>
          <w:sz w:val="32"/>
          <w:szCs w:val="32"/>
        </w:rPr>
      </w:pPr>
      <w:r>
        <w:rPr>
          <w:rStyle w:val="38"/>
          <w:rFonts w:ascii="仿宋_GB2312" w:eastAsia="仿宋_GB2312" w:cs="仿宋_GB2312" w:hint="eastAsia"/>
          <w:b/>
          <w:bCs w:val="0"/>
          <w:sz w:val="32"/>
          <w:szCs w:val="32"/>
          <w:lang w:val="en-US" w:eastAsia="zh-CN"/>
        </w:rPr>
        <w:t>6.</w:t>
      </w:r>
      <w:r>
        <w:rPr>
          <w:rFonts w:ascii="仿宋_GB2312" w:eastAsia="仿宋_GB2312" w:cs="仿宋_GB2312" w:hint="eastAsia"/>
          <w:b/>
          <w:bCs/>
          <w:kern w:val="0"/>
          <w:sz w:val="32"/>
          <w:szCs w:val="32"/>
        </w:rPr>
        <w:t>住房保障支出住房公积金</w:t>
      </w:r>
      <w:r>
        <w:rPr>
          <w:rStyle w:val="38"/>
          <w:rFonts w:ascii="仿宋_GB2312" w:eastAsia="仿宋_GB2312" w:cs="仿宋_GB2312" w:hint="eastAsia"/>
          <w:bCs/>
          <w:sz w:val="32"/>
          <w:szCs w:val="32"/>
        </w:rPr>
        <w:t>（类）221（款）02（项）01:</w:t>
      </w:r>
      <w:r>
        <w:rPr>
          <w:rStyle w:val="38"/>
          <w:rFonts w:ascii="仿宋_GB2312" w:eastAsia="仿宋_GB2312" w:cs="仿宋_GB2312" w:hint="eastAsia"/>
          <w:b w:val="0"/>
          <w:bCs/>
          <w:sz w:val="32"/>
          <w:szCs w:val="32"/>
        </w:rPr>
        <w:t>支出决算为</w:t>
      </w:r>
      <w:r>
        <w:rPr>
          <w:rStyle w:val="38"/>
          <w:rFonts w:ascii="仿宋_GB2312" w:eastAsia="仿宋_GB2312" w:cs="仿宋_GB2312" w:hint="eastAsia"/>
          <w:b w:val="0"/>
          <w:bCs/>
          <w:sz w:val="32"/>
          <w:szCs w:val="32"/>
          <w:lang w:val="en-US" w:eastAsia="zh-CN"/>
        </w:rPr>
        <w:t>151.09</w:t>
      </w:r>
      <w:r>
        <w:rPr>
          <w:rStyle w:val="38"/>
          <w:rFonts w:ascii="仿宋_GB2312" w:eastAsia="仿宋_GB2312" w:cs="仿宋_GB2312" w:hint="eastAsia"/>
          <w:b w:val="0"/>
          <w:bCs/>
          <w:sz w:val="32"/>
          <w:szCs w:val="32"/>
        </w:rPr>
        <w:t>万元，完成预算100%，决算数等于预算数的主要原因是严格按照预算执行。</w:t>
      </w:r>
    </w:p>
    <w:p>
      <w:pPr>
        <w:tabs>
          <w:tab w:val="right" w:pos="8306"/>
        </w:tabs>
        <w:spacing w:line="600" w:lineRule="exact"/>
        <w:ind w:firstLine="640"/>
        <w:outlineLvl w:val="1"/>
        <w:rPr>
          <w:rStyle w:val="2Char"/>
          <w:rFonts w:ascii="Times New Roman" w:hAnsi="Times New Roman"/>
          <w:color w:val="auto"/>
          <w:highlight w:val="auto"/>
        </w:rPr>
      </w:pPr>
      <w:bookmarkStart w:id="29" w:name="_Toc15396608"/>
      <w:bookmarkStart w:id="30" w:name="_Toc15377214"/>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29"/>
      <w:bookmarkEnd w:id="30"/>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仿宋_GB2312" w:eastAsia="仿宋_GB2312" w:cs="仿宋_GB2312" w:hint="eastAsia"/>
          <w:sz w:val="32"/>
          <w:szCs w:val="32"/>
        </w:rPr>
        <w:t>2104.24</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rPr>
        <w:t>2026</w:t>
      </w:r>
      <w:r>
        <w:rPr>
          <w:rFonts w:ascii="Times New Roman" w:eastAsia="仿宋_GB2312" w:cs="仿宋_GB2312" w:hAnsi="Times New Roman" w:hint="eastAsia"/>
          <w:color w:val="auto"/>
          <w:kern w:val="2"/>
          <w:sz w:val="32"/>
          <w:szCs w:val="32"/>
          <w:lang w:val="en-US" w:eastAsia="zh-CN" w:bidi="ar-SA"/>
          <w:highlight w:val="auto"/>
        </w:rPr>
        <w:t>万元，主要包括：基本工资、津贴补贴、奖金、绩效工资、机关事业单位基本养老保险缴费、职业年金缴费、</w:t>
      </w:r>
      <w:r>
        <w:rPr>
          <w:rFonts w:eastAsia="仿宋_GB2312" w:cs="仿宋_GB2312" w:hint="eastAsia"/>
          <w:color w:val="auto"/>
          <w:kern w:val="2"/>
          <w:sz w:val="32"/>
          <w:szCs w:val="32"/>
          <w:lang w:val="en-US" w:eastAsia="zh-CN" w:bidi="ar-SA"/>
          <w:highlight w:val="auto"/>
        </w:rPr>
        <w:t>职工基本医疗保险缴费、公务员医疗补助缴费、</w:t>
      </w:r>
      <w:r>
        <w:rPr>
          <w:rFonts w:ascii="Times New Roman" w:eastAsia="仿宋_GB2312" w:cs="仿宋_GB2312" w:hAnsi="Times New Roman" w:hint="eastAsia"/>
          <w:color w:val="auto"/>
          <w:kern w:val="2"/>
          <w:sz w:val="32"/>
          <w:szCs w:val="32"/>
          <w:lang w:val="en-US" w:eastAsia="zh-CN" w:bidi="ar-SA"/>
          <w:highlight w:val="auto"/>
        </w:rPr>
        <w:t>其他社会保障缴费、抚恤金、生活补助、医疗费补助、奖励金、住房公积金、其他对个人和家庭的补助支出等。</w:t>
        <w:br/>
        <w:t>　　公用经费</w:t>
      </w:r>
      <w:r>
        <w:rPr>
          <w:rFonts w:ascii="仿宋_GB2312" w:eastAsia="仿宋_GB2312" w:cs="仿宋_GB2312" w:hint="eastAsia"/>
          <w:sz w:val="32"/>
          <w:szCs w:val="32"/>
        </w:rPr>
        <w:t>78.24</w:t>
      </w:r>
      <w:r>
        <w:rPr>
          <w:rFonts w:ascii="Times New Roman" w:eastAsia="仿宋_GB2312" w:cs="仿宋_GB2312" w:hAnsi="Times New Roman" w:hint="eastAsia"/>
          <w:color w:val="auto"/>
          <w:kern w:val="2"/>
          <w:sz w:val="32"/>
          <w:szCs w:val="32"/>
          <w:lang w:val="en-US" w:eastAsia="zh-CN" w:bidi="ar-SA"/>
          <w:highlight w:val="auto"/>
        </w:rPr>
        <w:t>万元，主要包括：办公费、印刷费、水费、电费、差旅费、维修（护）费、公务接待费、委托业务费、工会经费、公务用车运行维护费、其他交通费、其他商品和服务支出、资本性支出等。</w:t>
      </w:r>
    </w:p>
    <w:p>
      <w:pPr>
        <w:spacing w:line="600" w:lineRule="exact"/>
        <w:ind w:firstLine="640"/>
        <w:outlineLvl w:val="1"/>
        <w:rPr>
          <w:rStyle w:val="2Char"/>
          <w:rFonts w:ascii="Times New Roman" w:eastAsia="黑体" w:hAnsi="Times New Roman"/>
          <w:b w:val="0"/>
          <w:color w:val="auto"/>
          <w:highlight w:val="auto"/>
        </w:rPr>
      </w:pPr>
      <w:bookmarkStart w:id="31" w:name="_Toc15377215"/>
      <w:bookmarkStart w:id="32" w:name="_Toc15396609"/>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1"/>
      <w:bookmarkEnd w:id="32"/>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3"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33"/>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仿宋_GB2312" w:eastAsia="仿宋_GB2312" w:cs="仿宋_GB2312" w:hint="eastAsia"/>
          <w:sz w:val="32"/>
          <w:szCs w:val="32"/>
        </w:rPr>
        <w:t>7.38</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仿宋_GB2312" w:eastAsia="仿宋_GB2312" w:cs="仿宋_GB2312" w:hint="eastAsia"/>
          <w:sz w:val="32"/>
          <w:szCs w:val="32"/>
        </w:rPr>
        <w:t>99.86</w:t>
      </w:r>
      <w:r>
        <w:rPr>
          <w:rFonts w:ascii="Times New Roman" w:eastAsia="仿宋_GB2312" w:cs="仿宋_GB2312" w:hAnsi="Times New Roman" w:hint="eastAsia"/>
          <w:color w:val="auto"/>
          <w:kern w:val="2"/>
          <w:sz w:val="32"/>
          <w:szCs w:val="32"/>
          <w:lang w:val="en-US" w:eastAsia="zh-CN" w:bidi="ar-SA"/>
          <w:highlight w:val="auto"/>
        </w:rPr>
        <w:t>%，较上年度减少</w:t>
      </w:r>
      <w:r>
        <w:rPr>
          <w:rFonts w:eastAsia="仿宋_GB2312" w:cs="仿宋_GB2312" w:hint="eastAsia"/>
          <w:color w:val="auto"/>
          <w:kern w:val="2"/>
          <w:sz w:val="32"/>
          <w:szCs w:val="32"/>
          <w:lang w:val="en-US" w:eastAsia="zh-CN" w:bidi="ar-SA"/>
          <w:highlight w:val="auto"/>
        </w:rPr>
        <w:t>0.58</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7.29</w:t>
      </w:r>
      <w:r>
        <w:rPr>
          <w:rFonts w:ascii="Times New Roman" w:eastAsia="仿宋_GB2312" w:cs="仿宋_GB2312" w:hAnsi="Times New Roman" w:hint="eastAsia"/>
          <w:color w:val="auto"/>
          <w:kern w:val="2"/>
          <w:sz w:val="32"/>
          <w:szCs w:val="32"/>
          <w:lang w:val="en-US" w:eastAsia="zh-CN" w:bidi="ar-SA"/>
          <w:highlight w:val="auto"/>
        </w:rPr>
        <w:t>%。决算数与预算数持平的主要原因是</w:t>
      </w:r>
      <w:r>
        <w:rPr>
          <w:rFonts w:ascii="仿宋_GB2312" w:eastAsia="仿宋_GB2312" w:cs="仿宋_GB2312" w:hint="eastAsia"/>
          <w:kern w:val="0"/>
          <w:sz w:val="32"/>
          <w:szCs w:val="32"/>
          <w:shd w:val="clear" w:color="auto" w:fill="FFFFFF"/>
        </w:rPr>
        <w:t>厉行节约，严格按照预算执行。</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4"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3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w:t>
      </w:r>
      <w:r>
        <w:rPr>
          <w:rFonts w:ascii="仿宋_GB2312" w:eastAsia="仿宋_GB2312" w:cs="仿宋_GB2312" w:hint="eastAsia"/>
          <w:sz w:val="32"/>
          <w:szCs w:val="32"/>
        </w:rPr>
        <w:t>5</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67.75</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仿宋_GB2312" w:eastAsia="仿宋_GB2312" w:cs="仿宋_GB2312" w:hint="eastAsia"/>
          <w:sz w:val="32"/>
          <w:szCs w:val="32"/>
        </w:rPr>
        <w:t>2.38</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32.25</w:t>
      </w:r>
      <w:r>
        <w:rPr>
          <w:rFonts w:ascii="Times New Roman" w:eastAsia="仿宋_GB2312" w:cs="仿宋_GB2312" w:hAnsi="Times New Roman" w:hint="eastAsia"/>
          <w:color w:val="auto"/>
          <w:kern w:val="2"/>
          <w:sz w:val="32"/>
          <w:szCs w:val="32"/>
          <w:lang w:val="en-US" w:eastAsia="zh-CN" w:bidi="ar-SA"/>
          <w:highlight w:val="auto"/>
        </w:rPr>
        <w:t>%。具体情况如下：</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（图7：财政拨款“三公”经费支出结构）（饼状图）</w:t>
      </w:r>
    </w:p>
    <w:p>
      <w:pPr>
        <w:pStyle w:val="29"/>
        <w:rPr>
          <w:rFonts w:hint="eastAsia"/>
          <w:lang w:val="en-US" w:eastAsia="zh-CN"/>
        </w:rPr>
      </w:pPr>
      <w:r>
        <w:object>
          <v:shape id="_x0000_i6" type="#_x0000_t75" fillcolor="#FFFFFF" stroked="t" style="width:380.0pt;height:216.0pt;" o:ole="">
            <v:stroke color="#000000"/>
            <v:imagedata r:id="rId14" o:title=""/>
          </v:shape>
          <o:OLEObject Type="Embed" ProgID="Package" ShapeID="_x0000_i6" DrawAspect="Icon" ObjectID="_1393063356"/>
        </w:object>
      </w:r>
    </w:p>
    <w:p>
      <w:pPr>
        <w:spacing w:line="600" w:lineRule="exact"/>
        <w:ind w:firstLine="640"/>
        <w:rPr>
          <w:rFonts w:ascii="仿宋_GB2312" w:eastAsia="仿宋_GB2312"/>
          <w:b/>
          <w:sz w:val="32"/>
          <w:szCs w:val="32"/>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仿宋_GB2312" w:eastAsia="仿宋_GB2312" w:cs="仿宋_GB2312" w:hint="eastAsia"/>
          <w:sz w:val="32"/>
          <w:szCs w:val="32"/>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人。因公出国（境）支出决算比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sz w:val="32"/>
          <w:szCs w:val="32"/>
        </w:rPr>
        <w:t>主要原</w:t>
      </w:r>
      <w:r>
        <w:rPr>
          <w:rFonts w:ascii="仿宋_GB2312" w:eastAsia="仿宋_GB2312" w:cs="Times New Roman" w:hint="eastAsia"/>
          <w:sz w:val="32"/>
          <w:szCs w:val="32"/>
        </w:rPr>
        <w:t>因是我局无因公出国（境）</w:t>
      </w:r>
      <w:r>
        <w:rPr>
          <w:rFonts w:ascii="仿宋_GB2312" w:eastAsia="仿宋_GB2312" w:cs="Times New Roman" w:hint="eastAsia"/>
          <w:sz w:val="32"/>
          <w:szCs w:val="32"/>
          <w:lang w:eastAsia="zh-CN"/>
        </w:rPr>
        <w:t>情况</w:t>
      </w:r>
      <w:r>
        <w:rPr>
          <w:rFonts w:ascii="仿宋_GB2312" w:eastAsia="仿宋_GB2312" w:cs="Times New Roman" w:hint="eastAsia"/>
          <w:sz w:val="32"/>
          <w:szCs w:val="32"/>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bCs/>
          <w:color w:val="auto"/>
          <w:kern w:val="2"/>
          <w:sz w:val="32"/>
          <w:szCs w:val="32"/>
          <w:lang w:val="en-US" w:eastAsia="zh-CN" w:bidi="ar-SA"/>
          <w:highlight w:val="auto"/>
        </w:rPr>
        <w:t>5</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仿宋_GB2312" w:eastAsia="仿宋_GB2312" w:cs="Times New Roman" w:hint="eastAsia"/>
          <w:sz w:val="32"/>
          <w:szCs w:val="32"/>
        </w:rPr>
      </w:pPr>
      <w:r>
        <w:rPr>
          <w:rFonts w:ascii="Times New Roman" w:eastAsia="仿宋_GB2312" w:cs="仿宋_GB2312" w:hAnsi="Times New Roman" w:hint="eastAsia"/>
          <w:color w:val="auto"/>
          <w:kern w:val="2"/>
          <w:sz w:val="32"/>
          <w:szCs w:val="32"/>
          <w:lang w:val="en-US" w:eastAsia="zh-CN" w:bidi="ar-SA"/>
          <w:highlight w:val="auto"/>
        </w:rPr>
        <w:t>公务用车运行维护费支出</w:t>
      </w:r>
      <w:r>
        <w:rPr>
          <w:rFonts w:ascii="仿宋_GB2312" w:eastAsia="仿宋_GB2312" w:cs="仿宋_GB2312" w:hint="eastAsia"/>
          <w:sz w:val="32"/>
          <w:szCs w:val="32"/>
        </w:rPr>
        <w:t>5</w:t>
      </w:r>
      <w:r>
        <w:rPr>
          <w:rFonts w:ascii="Times New Roman" w:eastAsia="仿宋_GB2312" w:cs="仿宋_GB2312" w:hAnsi="Times New Roman" w:hint="eastAsia"/>
          <w:color w:val="auto"/>
          <w:kern w:val="2"/>
          <w:sz w:val="32"/>
          <w:szCs w:val="32"/>
          <w:lang w:val="en-US" w:eastAsia="zh-CN" w:bidi="ar-SA"/>
          <w:highlight w:val="auto"/>
        </w:rPr>
        <w:t>万元。</w:t>
      </w:r>
      <w:r>
        <w:rPr>
          <w:rFonts w:ascii="仿宋_GB2312" w:eastAsia="仿宋_GB2312" w:cs="Times New Roman" w:hint="eastAsia"/>
          <w:sz w:val="32"/>
          <w:szCs w:val="32"/>
        </w:rPr>
        <w:t>主要用于项目开展下乡、至州局和省局汇报工作、开会、行政执法、政策法规宣传等所需的公务用车燃料费、维修费、过路过桥费、保险费等支出。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b/>
          <w:bCs/>
          <w:color w:val="auto"/>
          <w:kern w:val="2"/>
          <w:sz w:val="32"/>
          <w:szCs w:val="32"/>
          <w:lang w:val="en-US" w:eastAsia="zh-CN" w:bidi="ar-SA"/>
          <w:highlight w:val="auto"/>
        </w:rPr>
        <w:t>2.38</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年度减少</w:t>
      </w:r>
      <w:r>
        <w:rPr>
          <w:rFonts w:eastAsia="仿宋_GB2312" w:cs="仿宋_GB2312" w:hint="eastAsia"/>
          <w:color w:val="auto"/>
          <w:kern w:val="2"/>
          <w:sz w:val="32"/>
          <w:szCs w:val="32"/>
          <w:lang w:val="en-US" w:eastAsia="zh-CN" w:bidi="ar-SA"/>
          <w:highlight w:val="auto"/>
        </w:rPr>
        <w:t>0.58</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19.60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sz w:val="32"/>
          <w:szCs w:val="32"/>
        </w:rPr>
        <w:t>主</w:t>
      </w:r>
      <w:r>
        <w:rPr>
          <w:rFonts w:ascii="仿宋_GB2312" w:eastAsia="仿宋_GB2312" w:cs="Times New Roman" w:hint="eastAsia"/>
          <w:sz w:val="32"/>
          <w:szCs w:val="32"/>
        </w:rPr>
        <w:t>要原因是严格按照“八项”规定、规范公务接待制度，厉行节约控制公务接待费支出</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国内公务接待支出</w:t>
      </w:r>
      <w:r>
        <w:rPr>
          <w:rFonts w:ascii="仿宋_GB2312" w:eastAsia="仿宋_GB2312" w:cs="仿宋_GB2312" w:hint="eastAsia"/>
          <w:sz w:val="32"/>
          <w:szCs w:val="32"/>
        </w:rPr>
        <w:t>2.38</w:t>
      </w:r>
      <w:r>
        <w:rPr>
          <w:rFonts w:ascii="Times New Roman" w:eastAsia="仿宋_GB2312" w:cs="仿宋_GB2312" w:hAnsi="Times New Roman" w:hint="eastAsia"/>
          <w:color w:val="auto"/>
          <w:kern w:val="2"/>
          <w:sz w:val="32"/>
          <w:szCs w:val="32"/>
          <w:lang w:val="en-US" w:eastAsia="zh-CN" w:bidi="ar-SA"/>
          <w:highlight w:val="auto"/>
        </w:rPr>
        <w:t>万元，主要用于执行公务、开展业务活动开支的用餐费。国内公务接待</w:t>
      </w:r>
      <w:r>
        <w:rPr>
          <w:rFonts w:ascii="仿宋_GB2312" w:eastAsia="仿宋_GB2312" w:cs="仿宋_GB2312" w:hint="eastAsia"/>
          <w:sz w:val="32"/>
          <w:szCs w:val="32"/>
        </w:rPr>
        <w:t>40</w:t>
      </w:r>
      <w:r>
        <w:rPr>
          <w:rFonts w:ascii="Times New Roman" w:eastAsia="仿宋_GB2312" w:cs="仿宋_GB2312" w:hAnsi="Times New Roman" w:hint="eastAsia"/>
          <w:color w:val="auto"/>
          <w:kern w:val="2"/>
          <w:sz w:val="32"/>
          <w:szCs w:val="32"/>
          <w:lang w:val="en-US" w:eastAsia="zh-CN" w:bidi="ar-SA"/>
          <w:highlight w:val="auto"/>
        </w:rPr>
        <w:t>批次，</w:t>
      </w:r>
      <w:r>
        <w:rPr>
          <w:rFonts w:ascii="仿宋_GB2312" w:eastAsia="仿宋_GB2312" w:cs="仿宋_GB2312" w:hint="eastAsia"/>
          <w:sz w:val="32"/>
          <w:szCs w:val="32"/>
        </w:rPr>
        <w:t>126</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hint="eastAsia"/>
          <w:color w:val="auto"/>
          <w:kern w:val="2"/>
          <w:sz w:val="32"/>
          <w:szCs w:val="32"/>
          <w:lang w:val="en-US" w:eastAsia="zh-CN" w:bidi="ar-SA"/>
          <w:highlight w:val="auto"/>
        </w:rPr>
        <w:t>2.38</w:t>
      </w:r>
      <w:r>
        <w:rPr>
          <w:rFonts w:ascii="Times New Roman" w:eastAsia="仿宋_GB2312" w:cs="仿宋_GB2312" w:hAnsi="Times New Roman" w:hint="eastAsia"/>
          <w:color w:val="auto"/>
          <w:kern w:val="2"/>
          <w:sz w:val="32"/>
          <w:szCs w:val="32"/>
          <w:lang w:val="en-US" w:eastAsia="zh-CN" w:bidi="ar-SA"/>
          <w:highlight w:val="auto"/>
        </w:rPr>
        <w:t>万元。外事接待支出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万元。外事接待</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bookmarkStart w:id="35" w:name="_Toc15396610"/>
      <w:bookmarkStart w:id="36" w:name="_Toc15377218"/>
    </w:p>
    <w:p>
      <w:pPr>
        <w:spacing w:line="600" w:lineRule="exact"/>
        <w:ind w:firstLine="640"/>
        <w:outlineLvl w:val="1"/>
        <w:rPr>
          <w:rStyle w:val="2Char"/>
          <w:rFonts w:ascii="Times New Roman" w:eastAsia="黑体" w:hAnsi="Times New Roman"/>
          <w:color w:val="auto"/>
          <w:highlight w:val="auto"/>
        </w:rPr>
      </w:pPr>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35"/>
      <w:bookmarkEnd w:id="36"/>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sz w:val="32"/>
          <w:szCs w:val="32"/>
        </w:rPr>
        <w:t>主要原因是</w:t>
      </w:r>
      <w:r>
        <w:rPr>
          <w:rFonts w:ascii="仿宋_GB2312" w:eastAsia="仿宋_GB2312" w:hint="eastAsia"/>
          <w:sz w:val="32"/>
          <w:szCs w:val="32"/>
          <w:lang w:eastAsia="zh-CN"/>
        </w:rPr>
        <w:t>本部门不存在</w:t>
      </w:r>
      <w:r>
        <w:rPr>
          <w:rFonts w:ascii="仿宋_GB2312" w:eastAsia="仿宋_GB2312" w:hint="eastAsia"/>
          <w:sz w:val="32"/>
          <w:szCs w:val="32"/>
        </w:rPr>
        <w:t>政府性基金预算财政拨款支出</w:t>
      </w:r>
      <w:r>
        <w:rPr>
          <w:rFonts w:ascii="仿宋_GB2312" w:eastAsia="仿宋_GB2312" w:hint="eastAsia"/>
          <w:sz w:val="32"/>
          <w:szCs w:val="32"/>
          <w:lang w:eastAsia="zh-CN"/>
        </w:rPr>
        <w:t>情况</w:t>
      </w:r>
      <w:r>
        <w:rPr>
          <w:rFonts w:ascii="仿宋_GB2312" w:eastAsia="仿宋_GB2312" w:hint="eastAsia"/>
          <w:sz w:val="32"/>
          <w:szCs w:val="32"/>
          <w:lang w:val="en-US" w:eastAsia="zh-CN"/>
        </w:rPr>
        <w:t>。</w:t>
      </w:r>
    </w:p>
    <w:p>
      <w:pPr>
        <w:spacing w:line="600" w:lineRule="exact"/>
        <w:ind w:left="630"/>
        <w:outlineLvl w:val="1"/>
        <w:rPr>
          <w:rStyle w:val="2Char"/>
          <w:rFonts w:ascii="Times New Roman" w:eastAsia="黑体" w:hAnsi="Times New Roman"/>
          <w:b w:val="0"/>
          <w:color w:val="auto"/>
          <w:highlight w:val="auto"/>
        </w:rPr>
      </w:pPr>
      <w:bookmarkStart w:id="37" w:name="_Toc15377219"/>
      <w:bookmarkStart w:id="38" w:name="_Toc15396611"/>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37"/>
      <w:bookmarkEnd w:id="3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sz w:val="32"/>
          <w:szCs w:val="32"/>
        </w:rPr>
        <w:t>主要原因是</w:t>
      </w:r>
      <w:r>
        <w:rPr>
          <w:rFonts w:ascii="仿宋_GB2312" w:eastAsia="仿宋_GB2312" w:hint="eastAsia"/>
          <w:sz w:val="32"/>
          <w:szCs w:val="32"/>
          <w:lang w:eastAsia="zh-CN"/>
        </w:rPr>
        <w:t>本部门不存在</w:t>
      </w:r>
      <w:r>
        <w:rPr>
          <w:rFonts w:ascii="仿宋_GB2312" w:eastAsia="仿宋_GB2312" w:hint="eastAsia"/>
          <w:sz w:val="32"/>
          <w:szCs w:val="32"/>
        </w:rPr>
        <w:t>国有资本经营预算财政拨款支出</w:t>
      </w:r>
      <w:r>
        <w:rPr>
          <w:rFonts w:ascii="仿宋_GB2312" w:eastAsia="仿宋_GB2312" w:hint="eastAsia"/>
          <w:sz w:val="32"/>
          <w:szCs w:val="32"/>
          <w:lang w:eastAsia="zh-CN"/>
        </w:rPr>
        <w:t>情况</w:t>
      </w:r>
      <w:r>
        <w:rPr>
          <w:rFonts w:ascii="仿宋_GB2312" w:eastAsia="仿宋_GB2312" w:hint="eastAsia"/>
          <w:sz w:val="32"/>
          <w:szCs w:val="32"/>
          <w:lang w:val="en-US" w:eastAsia="zh-CN"/>
        </w:rPr>
        <w:t>。</w:t>
      </w:r>
    </w:p>
    <w:p>
      <w:pPr>
        <w:spacing w:line="600" w:lineRule="exact"/>
        <w:ind w:left="630"/>
        <w:outlineLvl w:val="1"/>
        <w:rPr>
          <w:rStyle w:val="2Char"/>
          <w:rFonts w:ascii="Times New Roman" w:eastAsia="黑体" w:hAnsi="Times New Roman" w:hint="eastAsia"/>
          <w:b w:val="0"/>
          <w:color w:val="auto"/>
          <w:highlight w:val="auto"/>
        </w:rPr>
      </w:pPr>
      <w:bookmarkStart w:id="39" w:name="_Toc15377221"/>
      <w:bookmarkStart w:id="40" w:name="_Toc15396612"/>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39"/>
      <w:bookmarkEnd w:id="40"/>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1" w:name="_Toc15377222"/>
      <w:r>
        <w:rPr>
          <w:rFonts w:ascii="Times New Roman" w:eastAsia="楷体_GB2312" w:cs="楷体_GB2312" w:hAnsi="Times New Roman" w:hint="eastAsia"/>
          <w:b/>
          <w:color w:val="auto"/>
          <w:sz w:val="32"/>
          <w:szCs w:val="32"/>
          <w:highlight w:val="auto"/>
        </w:rPr>
        <w:t>（一）机关运行经费支出情况</w:t>
      </w:r>
      <w:bookmarkEnd w:id="41"/>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阿坝州若尔盖县林业和草原局</w:t>
      </w:r>
      <w:r>
        <w:rPr>
          <w:rFonts w:ascii="Times New Roman" w:eastAsia="仿宋_GB2312" w:cs="仿宋_GB2312" w:hAnsi="Times New Roman" w:hint="eastAsia"/>
          <w:color w:val="auto"/>
          <w:kern w:val="2"/>
          <w:sz w:val="32"/>
          <w:szCs w:val="32"/>
          <w:lang w:val="en-US" w:eastAsia="zh-CN" w:bidi="ar-SA"/>
          <w:highlight w:val="auto"/>
        </w:rPr>
        <w:t>机关运行经费支出</w:t>
      </w:r>
      <w:r>
        <w:rPr>
          <w:rFonts w:ascii="仿宋_GB2312" w:eastAsia="仿宋_GB2312" w:cs="仿宋_GB2312" w:hint="eastAsia"/>
          <w:sz w:val="32"/>
          <w:szCs w:val="32"/>
        </w:rPr>
        <w:t>26.07</w:t>
      </w:r>
      <w:r>
        <w:rPr>
          <w:rFonts w:ascii="Times New Roman" w:eastAsia="仿宋_GB2312" w:cs="仿宋_GB2312" w:hAnsi="Times New Roman" w:hint="eastAsia"/>
          <w:color w:val="auto"/>
          <w:kern w:val="2"/>
          <w:sz w:val="32"/>
          <w:szCs w:val="32"/>
          <w:lang w:val="en-US" w:eastAsia="zh-CN" w:bidi="ar-SA"/>
          <w:highlight w:val="auto"/>
        </w:rPr>
        <w:t>万元，比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年度减少</w:t>
      </w:r>
      <w:r>
        <w:rPr>
          <w:rFonts w:eastAsia="仿宋_GB2312" w:cs="仿宋_GB2312" w:hint="eastAsia"/>
          <w:color w:val="auto"/>
          <w:kern w:val="2"/>
          <w:sz w:val="32"/>
          <w:szCs w:val="32"/>
          <w:lang w:val="en-US" w:eastAsia="zh-CN" w:bidi="ar-SA"/>
          <w:highlight w:val="auto"/>
        </w:rPr>
        <w:t>0.16</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0.61</w:t>
      </w:r>
      <w:r>
        <w:rPr>
          <w:rFonts w:ascii="Times New Roman" w:eastAsia="仿宋_GB2312" w:cs="仿宋_GB2312" w:hAnsi="Times New Roman" w:hint="eastAsia"/>
          <w:color w:val="auto"/>
          <w:kern w:val="2"/>
          <w:sz w:val="32"/>
          <w:szCs w:val="32"/>
          <w:lang w:val="en-US" w:eastAsia="zh-CN" w:bidi="ar-SA"/>
          <w:highlight w:val="auto"/>
        </w:rPr>
        <w:t>%（或与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年度决算数持平）。主要原因是</w:t>
      </w:r>
      <w:r>
        <w:rPr>
          <w:rFonts w:eastAsia="仿宋_GB2312" w:cs="仿宋_GB2312" w:hint="eastAsia"/>
          <w:color w:val="auto"/>
          <w:kern w:val="2"/>
          <w:sz w:val="32"/>
          <w:szCs w:val="32"/>
          <w:lang w:val="en-US" w:eastAsia="zh-CN" w:bidi="ar-SA"/>
          <w:highlight w:val="auto"/>
        </w:rPr>
        <w:t>人员减少。</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2" w:name="_Toc15377223"/>
      <w:r>
        <w:rPr>
          <w:rFonts w:ascii="Times New Roman" w:eastAsia="楷体_GB2312" w:cs="楷体_GB2312" w:hAnsi="Times New Roman" w:hint="eastAsia"/>
          <w:b/>
          <w:color w:val="auto"/>
          <w:sz w:val="32"/>
          <w:szCs w:val="32"/>
          <w:highlight w:val="auto"/>
        </w:rPr>
        <w:t>（二）政府采购支出情况</w:t>
      </w:r>
      <w:bookmarkEnd w:id="4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阿坝州若尔盖县林业和草原局</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ascii="仿宋_GB2312" w:eastAsia="仿宋_GB2312" w:cs="仿宋_GB2312" w:hint="eastAsia"/>
          <w:sz w:val="32"/>
          <w:szCs w:val="32"/>
        </w:rPr>
        <w:t>2231.72</w:t>
      </w:r>
      <w:r>
        <w:rPr>
          <w:rFonts w:ascii="Times New Roman" w:eastAsia="仿宋_GB2312" w:cs="仿宋_GB2312" w:hAnsi="Times New Roman" w:hint="eastAsia"/>
          <w:color w:val="auto"/>
          <w:kern w:val="2"/>
          <w:sz w:val="32"/>
          <w:szCs w:val="32"/>
          <w:lang w:val="en-US" w:eastAsia="zh-CN" w:bidi="ar-SA"/>
          <w:highlight w:val="auto"/>
        </w:rPr>
        <w:t>万元，其中：政府采购货物支出</w:t>
      </w:r>
      <w:r>
        <w:rPr>
          <w:rFonts w:ascii="仿宋_GB2312" w:eastAsia="仿宋_GB2312" w:cs="仿宋_GB2312" w:hint="eastAsia"/>
          <w:sz w:val="32"/>
          <w:szCs w:val="32"/>
        </w:rPr>
        <w:t>1162.37</w:t>
      </w:r>
      <w:r>
        <w:rPr>
          <w:rFonts w:ascii="Times New Roman" w:eastAsia="仿宋_GB2312" w:cs="仿宋_GB2312" w:hAnsi="Times New Roman"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359.14</w:t>
      </w:r>
      <w:r>
        <w:rPr>
          <w:rFonts w:ascii="Times New Roman" w:eastAsia="仿宋_GB2312" w:cs="仿宋_GB2312" w:hAnsi="Times New Roman" w:hint="eastAsia"/>
          <w:color w:val="auto"/>
          <w:kern w:val="2"/>
          <w:sz w:val="32"/>
          <w:szCs w:val="32"/>
          <w:lang w:val="en-US" w:eastAsia="zh-CN" w:bidi="ar-SA"/>
          <w:highlight w:val="auto"/>
        </w:rPr>
        <w:t>万元、政府采购服务支出</w:t>
      </w:r>
      <w:r>
        <w:rPr>
          <w:rFonts w:ascii="仿宋_GB2312" w:eastAsia="仿宋_GB2312" w:cs="仿宋_GB2312" w:hint="eastAsia"/>
          <w:sz w:val="32"/>
          <w:szCs w:val="32"/>
        </w:rPr>
        <w:t>710.21</w:t>
      </w:r>
      <w:r>
        <w:rPr>
          <w:rFonts w:ascii="Times New Roman" w:eastAsia="仿宋_GB2312" w:cs="仿宋_GB2312" w:hAnsi="Times New Roman" w:hint="eastAsia"/>
          <w:color w:val="auto"/>
          <w:kern w:val="2"/>
          <w:sz w:val="32"/>
          <w:szCs w:val="32"/>
          <w:lang w:val="en-US" w:eastAsia="zh-CN" w:bidi="ar-SA"/>
          <w:highlight w:val="auto"/>
        </w:rPr>
        <w:t>万元。主要用于</w:t>
      </w:r>
      <w:r>
        <w:rPr>
          <w:rFonts w:eastAsia="仿宋_GB2312" w:cs="仿宋_GB2312" w:hint="eastAsia"/>
          <w:color w:val="auto"/>
          <w:kern w:val="2"/>
          <w:sz w:val="32"/>
          <w:szCs w:val="32"/>
          <w:lang w:val="en-US" w:eastAsia="zh-CN" w:bidi="ar-SA"/>
          <w:highlight w:val="auto"/>
        </w:rPr>
        <w:t>若尔盖县2025年鼠害综合防控以工代赈项目、若尔盖县2024年中央财政林业草原专项资金预算（第二批）-草原生态修复治理项目、四川喀哈尔乔湿地自然保护疫源疫病监测站设备采购项目、若尔盖县2025年铁布镇阿米塘村红星镇扎窝村森林草原防火通道改建项目、2024年度四川省阿坝州若尔盖草原湿地水源涵养生态保护和修复项目（若尔盖县部分）成效监测、若尔盖县2025年省级财政林业草原专项资金防沙治沙项目、四川铁布梅花鹿省级自然保护区能力提升建设项目、2024年森林草地荒漠化普查项目、若尔盖县2025年省级财政林业草原专项资金（第四批）项目等</w:t>
      </w:r>
      <w:r>
        <w:rPr>
          <w:rFonts w:ascii="Times New Roman" w:eastAsia="仿宋_GB2312" w:cs="仿宋_GB2312" w:hAnsi="Times New Roman" w:hint="eastAsia"/>
          <w:color w:val="auto"/>
          <w:kern w:val="2"/>
          <w:sz w:val="32"/>
          <w:szCs w:val="32"/>
          <w:lang w:val="en-US" w:eastAsia="zh-CN" w:bidi="ar-SA"/>
          <w:highlight w:val="auto"/>
        </w:rPr>
        <w:t>。授予中小企业合同金额</w:t>
      </w:r>
      <w:r>
        <w:rPr>
          <w:rFonts w:ascii="仿宋_GB2312" w:eastAsia="仿宋_GB2312" w:cs="仿宋_GB2312" w:hint="eastAsia"/>
          <w:sz w:val="32"/>
          <w:szCs w:val="32"/>
        </w:rPr>
        <w:t>938.69</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42.06</w:t>
      </w:r>
      <w:r>
        <w:rPr>
          <w:rFonts w:ascii="Times New Roman" w:eastAsia="仿宋_GB2312" w:cs="仿宋_GB2312" w:hAnsi="Times New Roman"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3" w:name="_Toc15377224"/>
      <w:r>
        <w:rPr>
          <w:rFonts w:ascii="Times New Roman" w:eastAsia="楷体_GB2312" w:cs="楷体_GB2312" w:hAnsi="Times New Roman" w:hint="eastAsia"/>
          <w:b/>
          <w:color w:val="auto"/>
          <w:sz w:val="32"/>
          <w:szCs w:val="32"/>
          <w:highlight w:val="auto"/>
        </w:rPr>
        <w:t>（三）国有资产占有使用情况</w:t>
      </w:r>
      <w:bookmarkEnd w:id="43"/>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ascii="仿宋_GB2312" w:eastAsia="仿宋_GB2312" w:cs="仿宋_GB2312" w:hint="eastAsia"/>
          <w:sz w:val="32"/>
          <w:szCs w:val="32"/>
        </w:rPr>
        <w:t>阿坝州若尔盖县林业和草原局</w:t>
      </w:r>
      <w:r>
        <w:rPr>
          <w:rFonts w:ascii="Times New Roman" w:eastAsia="仿宋_GB2312" w:cs="仿宋_GB2312" w:hAnsi="Times New Roman" w:hint="eastAsia"/>
          <w:color w:val="auto"/>
          <w:kern w:val="2"/>
          <w:sz w:val="32"/>
          <w:szCs w:val="32"/>
          <w:lang w:val="en-US" w:eastAsia="zh-CN" w:bidi="ar-SA"/>
          <w:highlight w:val="auto"/>
        </w:rPr>
        <w:t>共有车辆</w:t>
      </w:r>
      <w:r>
        <w:rPr>
          <w:rFonts w:ascii="仿宋_GB2312" w:eastAsia="仿宋_GB2312" w:cs="仿宋_GB2312" w:hint="eastAsia"/>
          <w:sz w:val="32"/>
          <w:szCs w:val="32"/>
        </w:rPr>
        <w:t>13</w:t>
      </w:r>
      <w:r>
        <w:rPr>
          <w:rFonts w:ascii="Times New Roman" w:eastAsia="仿宋_GB2312" w:cs="仿宋_GB2312" w:hAnsi="Times New Roman" w:hint="eastAsia"/>
          <w:color w:val="auto"/>
          <w:kern w:val="2"/>
          <w:sz w:val="32"/>
          <w:szCs w:val="32"/>
          <w:lang w:val="en-US" w:eastAsia="zh-CN" w:bidi="ar-SA"/>
          <w:highlight w:val="auto"/>
        </w:rPr>
        <w:t>辆，其中：副部（省）级及以上领导用车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辆、主要</w:t>
      </w:r>
      <w:r>
        <w:rPr>
          <w:rFonts w:eastAsia="仿宋_GB2312" w:cs="仿宋_GB2312" w:hint="eastAsia"/>
          <w:color w:val="auto"/>
          <w:kern w:val="2"/>
          <w:sz w:val="32"/>
          <w:szCs w:val="32"/>
          <w:lang w:val="en-US" w:eastAsia="zh-CN" w:bidi="ar-SA"/>
          <w:highlight w:val="auto"/>
        </w:rPr>
        <w:t>负责人</w:t>
      </w:r>
      <w:r>
        <w:rPr>
          <w:rFonts w:ascii="Times New Roman" w:eastAsia="仿宋_GB2312" w:cs="仿宋_GB2312" w:hAnsi="Times New Roman" w:hint="eastAsia"/>
          <w:color w:val="auto"/>
          <w:kern w:val="2"/>
          <w:sz w:val="32"/>
          <w:szCs w:val="32"/>
          <w:lang w:val="en-US" w:eastAsia="zh-CN" w:bidi="ar-SA"/>
          <w:highlight w:val="auto"/>
        </w:rPr>
        <w:t>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5</w:t>
      </w:r>
      <w:r>
        <w:rPr>
          <w:rFonts w:ascii="Times New Roman" w:eastAsia="仿宋_GB2312" w:cs="仿宋_GB2312" w:hAnsi="Times New Roman" w:hint="eastAsia"/>
          <w:color w:val="auto"/>
          <w:kern w:val="2"/>
          <w:sz w:val="32"/>
          <w:szCs w:val="32"/>
          <w:lang w:val="en-US" w:eastAsia="zh-CN" w:bidi="ar-SA"/>
          <w:highlight w:val="auto"/>
        </w:rPr>
        <w:t>辆、执法执勤用车</w:t>
      </w:r>
      <w:r>
        <w:rPr>
          <w:rFonts w:ascii="仿宋_GB2312" w:eastAsia="仿宋_GB2312" w:cs="仿宋_GB2312" w:hint="eastAsia"/>
          <w:sz w:val="32"/>
          <w:szCs w:val="32"/>
        </w:rPr>
        <w:t>1</w:t>
      </w:r>
      <w:r>
        <w:rPr>
          <w:rFonts w:ascii="Times New Roman" w:eastAsia="仿宋_GB2312" w:cs="仿宋_GB2312" w:hAnsi="Times New Roman" w:hint="eastAsia"/>
          <w:color w:val="auto"/>
          <w:kern w:val="2"/>
          <w:sz w:val="32"/>
          <w:szCs w:val="32"/>
          <w:lang w:val="en-US" w:eastAsia="zh-CN" w:bidi="ar-SA"/>
          <w:highlight w:val="auto"/>
        </w:rPr>
        <w:t>辆、特种专业技术用车</w:t>
      </w:r>
      <w:r>
        <w:rPr>
          <w:rFonts w:ascii="仿宋_GB2312" w:eastAsia="仿宋_GB2312" w:cs="仿宋_GB2312" w:hint="eastAsia"/>
          <w:sz w:val="32"/>
          <w:szCs w:val="32"/>
        </w:rPr>
        <w:t>7</w:t>
      </w:r>
      <w:r>
        <w:rPr>
          <w:rFonts w:ascii="Times New Roman" w:eastAsia="仿宋_GB2312" w:cs="仿宋_GB2312" w:hAnsi="Times New Roman" w:hint="eastAsia"/>
          <w:color w:val="auto"/>
          <w:kern w:val="2"/>
          <w:sz w:val="32"/>
          <w:szCs w:val="32"/>
          <w:lang w:val="en-US" w:eastAsia="zh-CN" w:bidi="ar-SA"/>
          <w:highlight w:val="auto"/>
        </w:rPr>
        <w:t>辆、离退休干部服务用车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辆、其他用车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单价100万元</w:t>
      </w:r>
      <w:r>
        <w:rPr>
          <w:rFonts w:eastAsia="仿宋_GB2312" w:cs="仿宋_GB2312" w:hint="eastAsia"/>
          <w:color w:val="auto"/>
          <w:kern w:val="2"/>
          <w:sz w:val="32"/>
          <w:szCs w:val="32"/>
          <w:lang w:val="en-US" w:eastAsia="zh-CN" w:bidi="ar-SA"/>
          <w:highlight w:val="auto"/>
        </w:rPr>
        <w:t>（含）</w:t>
      </w:r>
      <w:r>
        <w:rPr>
          <w:rFonts w:ascii="Times New Roman" w:eastAsia="仿宋_GB2312" w:cs="仿宋_GB2312" w:hAnsi="Times New Roman" w:hint="eastAsia"/>
          <w:color w:val="auto"/>
          <w:kern w:val="2"/>
          <w:sz w:val="32"/>
          <w:szCs w:val="32"/>
          <w:lang w:val="en-US" w:eastAsia="zh-CN" w:bidi="ar-SA"/>
          <w:highlight w:val="auto"/>
        </w:rPr>
        <w:t>以上设备（不含车辆）</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台（套）。</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autoSpaceDE w:val="0"/>
        <w:autoSpaceDN w:val="0"/>
        <w:adjustRightInd w:val="0"/>
        <w:spacing w:line="600" w:lineRule="exact"/>
        <w:ind w:firstLineChars="200" w:firstLine="640"/>
        <w:jc w:val="left"/>
        <w:rPr>
          <w:rFonts w:ascii="仿宋_GB2312" w:eastAsia="仿宋_GB2312" w:cs="Times New Roman" w:hint="eastAsia"/>
          <w:sz w:val="32"/>
          <w:szCs w:val="32"/>
        </w:rPr>
      </w:pPr>
      <w:r>
        <w:rPr>
          <w:rFonts w:ascii="仿宋_GB2312" w:eastAsia="仿宋_GB2312" w:cs="Times New Roman" w:hint="eastAsia"/>
          <w:sz w:val="32"/>
          <w:szCs w:val="32"/>
        </w:rPr>
        <w:t>根据预算绩效管理要求，本部门按要求对202</w:t>
      </w:r>
      <w:r>
        <w:rPr>
          <w:rFonts w:ascii="仿宋_GB2312" w:eastAsia="仿宋_GB2312" w:cs="Times New Roman" w:hint="eastAsia"/>
          <w:sz w:val="32"/>
          <w:szCs w:val="32"/>
          <w:lang w:val="en-US" w:eastAsia="zh-CN"/>
        </w:rPr>
        <w:t>5</w:t>
      </w:r>
      <w:r>
        <w:rPr>
          <w:rFonts w:ascii="仿宋_GB2312" w:eastAsia="仿宋_GB2312" w:cs="Times New Roman" w:hint="eastAsia"/>
          <w:sz w:val="32"/>
          <w:szCs w:val="32"/>
        </w:rPr>
        <w:t>年部门整体支出开展绩效自评，从评价情况来看：我局严格按照《中华人民共和国预算法》规定，坚持先有预算再有支出的原则，组织财务人员进行预决的编制，及时上报相关报表。部门预算经批复后，跟踪预算执行进度，结合单位业务情况，及时上报相关的用款计划，待财政审核通过后，严格按计划执行，资金支付依据和开支标准合法合规。我局严格执行中央八项规定，加强“三公”经费管理，厉行节约，严格控制公务接待，加强公务用车管理。执行情况良好。</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44" w:name="_Toc15396613"/>
      <w:bookmarkStart w:id="45" w:name="_Toc15377225"/>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hAnsi="Times New Roman"/>
          <w:b/>
          <w:color w:val="auto"/>
          <w:sz w:val="44"/>
          <w:szCs w:val="44"/>
          <w:highlight w:val="auto"/>
        </w:rPr>
      </w:pPr>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44"/>
      <w:bookmarkEnd w:id="45"/>
    </w:p>
    <w:p>
      <w:pPr>
        <w:pStyle w:val="33"/>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33"/>
        <w:spacing w:line="560" w:lineRule="exact"/>
        <w:ind w:firstLineChars="200" w:firstLine="640"/>
        <w:rPr>
          <w:rFonts w:ascii="仿宋_GB2312" w:eastAsia="仿宋_GB2312" w:hint="eastAsia"/>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p>
    <w:p>
      <w:pPr>
        <w:pStyle w:val="33"/>
        <w:spacing w:line="560" w:lineRule="exact"/>
        <w:ind w:firstLineChars="200" w:firstLine="640"/>
        <w:jc w:val="both"/>
        <w:rPr>
          <w:rFonts w:ascii="仿宋_GB2312" w:eastAsia="仿宋_GB2312" w:cs="Times New Roman" w:hint="eastAsia"/>
          <w:color w:val="auto"/>
          <w:kern w:val="2"/>
          <w:sz w:val="32"/>
          <w:szCs w:val="32"/>
          <w:lang w:val="en-US" w:eastAsia="zh-CN" w:bidi="ar-SA"/>
        </w:rPr>
      </w:pPr>
      <w:r>
        <w:rPr>
          <w:rFonts w:ascii="仿宋_GB2312" w:eastAsia="仿宋_GB2312"/>
          <w:color w:val="auto"/>
          <w:sz w:val="32"/>
          <w:szCs w:val="32"/>
        </w:rPr>
        <w:t>3.</w:t>
      </w:r>
      <w:r>
        <w:rPr>
          <w:rFonts w:ascii="仿宋_GB2312" w:eastAsia="仿宋_GB2312" w:hint="eastAsia"/>
          <w:sz w:val="32"/>
          <w:szCs w:val="32"/>
        </w:rPr>
        <w:t>使用非财政拨款结余（含专用结余）</w:t>
      </w:r>
      <w:r>
        <w:rPr>
          <w:rFonts w:ascii="仿宋_GB2312" w:eastAsia="仿宋_GB2312" w:hint="eastAsia"/>
          <w:color w:val="auto"/>
          <w:sz w:val="32"/>
          <w:szCs w:val="32"/>
        </w:rPr>
        <w:t>：</w:t>
      </w:r>
      <w:r>
        <w:rPr>
          <w:rFonts w:ascii="仿宋_GB2312" w:eastAsia="仿宋_GB2312" w:cs="Times New Roman" w:hint="eastAsia"/>
          <w:color w:val="auto"/>
          <w:kern w:val="2"/>
          <w:sz w:val="32"/>
          <w:szCs w:val="32"/>
          <w:lang w:val="en-US" w:eastAsia="zh-CN" w:bidi="ar-SA"/>
        </w:rPr>
        <w:t>指事业单位使用以前年度积累的非财政拨款结余弥补当年收支差额的金额。</w:t>
      </w:r>
    </w:p>
    <w:p>
      <w:pPr>
        <w:pStyle w:val="33"/>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4</w:t>
      </w:r>
      <w:r>
        <w:rPr>
          <w:rFonts w:ascii="仿宋_GB2312" w:eastAsia="仿宋_GB2312"/>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33"/>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5</w:t>
      </w:r>
      <w:r>
        <w:rPr>
          <w:rFonts w:ascii="仿宋_GB2312" w:eastAsia="仿宋_GB2312"/>
          <w:color w:val="auto"/>
          <w:sz w:val="32"/>
          <w:szCs w:val="32"/>
        </w:rPr>
        <w:t>.</w:t>
      </w:r>
      <w:r>
        <w:rPr>
          <w:rFonts w:ascii="仿宋_GB2312" w:eastAsia="仿宋_GB2312" w:hint="eastAsia"/>
          <w:color w:val="auto"/>
          <w:sz w:val="32"/>
          <w:szCs w:val="32"/>
        </w:rPr>
        <w:t>结余分配：指事业单位按照会计制度规定缴纳的所得税、提取的专用结余以及转入非财政拨款结余的金额等。</w:t>
      </w:r>
    </w:p>
    <w:p>
      <w:pPr>
        <w:pStyle w:val="33"/>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6</w:t>
      </w:r>
      <w:r>
        <w:rPr>
          <w:rFonts w:ascii="仿宋_GB2312" w:eastAsia="仿宋_GB2312" w:hint="eastAsia"/>
          <w:color w:val="auto"/>
          <w:sz w:val="32"/>
          <w:szCs w:val="32"/>
        </w:rPr>
        <w:t>.年末结转和结余：指单位按有关规定结转到下年或以后年度继续使用的资金。</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7</w:t>
      </w:r>
      <w:r>
        <w:rPr>
          <w:rFonts w:ascii="仿宋_GB2312" w:eastAsia="仿宋_GB2312" w:hint="eastAsia"/>
          <w:sz w:val="32"/>
          <w:szCs w:val="32"/>
        </w:rPr>
        <w:t>.社会保障和就业支出：2080505机关事业单位基本养老保险缴费支出：指机关事业单位实施养老保险制度由单位缴纳的基本养老保险费支出；2080506机关事业单位职业年金缴费支出：指机关事业单位实施养老保险制度由单位缴纳的职业年金支出。</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8</w:t>
      </w:r>
      <w:r>
        <w:rPr>
          <w:rFonts w:ascii="仿宋_GB2312" w:eastAsia="仿宋_GB2312" w:hint="eastAsia"/>
          <w:sz w:val="32"/>
          <w:szCs w:val="32"/>
        </w:rPr>
        <w:t>. 医疗卫生与计划生育:2101102事业单位医疗：指财政部门集中安排的事业单位基本医疗保险缴费经费；2101199其他行政事业单位医疗支出：指其他用于行政事业单位医疗方面的支出。</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9</w:t>
      </w:r>
      <w:r>
        <w:rPr>
          <w:rFonts w:ascii="仿宋_GB2312" w:eastAsia="仿宋_GB2312" w:hint="eastAsia"/>
          <w:sz w:val="32"/>
          <w:szCs w:val="32"/>
        </w:rPr>
        <w:t>.节能环保支出：2110399其他污染防治支出：指其他用于污染防治方面的支出；2110401生态保护：指用于生态功能区、生态示范区、生态省（市、县）管理及能力建设、日常管护、宣教、试点示范等支出，生态修复支出，资源开发生态监管等支出；2110501森林管护：指专项用于森林资源管护所发生的各项补助支出；2110502社会保险补助：指专项用于由于木材减产或停产造成实施单位应缴纳社会保险费缺口的补助支出；2110599其他天然林保护支出：指其他用于天然林保护方面的支出。</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10</w:t>
      </w:r>
      <w:r>
        <w:rPr>
          <w:rFonts w:ascii="仿宋_GB2312" w:eastAsia="仿宋_GB2312" w:hint="eastAsia"/>
          <w:sz w:val="32"/>
          <w:szCs w:val="32"/>
        </w:rPr>
        <w:t>.农林水支出：2130199其他农业支出：指其他用于农业方面的支出；2130204林业和草原事业机构：指用于林业事业单位的基本支出；2130205森林培育：指育苗（种）、造林、抚育、生物质能源建设以及义务植树，生物措施治理水地流失等支出；2130207森林资源管理：指森林经营、利用、森林资源资产、林地保护及权属调处等森林资源管理方面的支出；2130209森林生态效益补偿：指用于公益林保护和管理等方面的支出；2130212湿地保护：指天然湿地保护和管理方面的支出；2130217防沙治沙：指沙漠化防治、沙漠普查、监测等方面的支出；2130299其他林业支出：指其他用于林业方面的支出；2139999其他农林水支出：指除化解债务支出以外其他用于农林水方面的支出。</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11</w:t>
      </w:r>
      <w:r>
        <w:rPr>
          <w:rFonts w:ascii="仿宋_GB2312" w:eastAsia="仿宋_GB2312" w:hint="eastAsia"/>
          <w:sz w:val="32"/>
          <w:szCs w:val="32"/>
        </w:rPr>
        <w:t>.住房保障支出：2210201住房公积金：指行政事业单位按人力资源和社会保障部、财政部规定的基本工资和津贴补贴以及规定比例为职工缴纳的住房公积金。</w:t>
      </w:r>
    </w:p>
    <w:p>
      <w:pPr>
        <w:ind w:firstLineChars="200" w:firstLine="640"/>
        <w:rPr>
          <w:rFonts w:ascii="仿宋_GB2312" w:eastAsia="仿宋_GB2312" w:hint="eastAsia"/>
          <w:sz w:val="32"/>
          <w:szCs w:val="32"/>
        </w:rPr>
      </w:pPr>
      <w:r>
        <w:rPr>
          <w:rFonts w:ascii="仿宋_GB2312" w:eastAsia="仿宋_GB2312" w:hint="eastAsia"/>
          <w:sz w:val="32"/>
          <w:szCs w:val="32"/>
        </w:rPr>
        <w:t>1</w:t>
      </w:r>
      <w:r>
        <w:rPr>
          <w:rFonts w:ascii="仿宋_GB2312" w:eastAsia="仿宋_GB2312" w:hint="eastAsia"/>
          <w:sz w:val="32"/>
          <w:szCs w:val="32"/>
          <w:lang w:val="en-US" w:eastAsia="zh-CN"/>
        </w:rPr>
        <w:t>2</w:t>
      </w:r>
      <w:r>
        <w:rPr>
          <w:rFonts w:ascii="仿宋_GB2312" w:eastAsia="仿宋_GB2312" w:hint="eastAsia"/>
          <w:sz w:val="32"/>
          <w:szCs w:val="32"/>
        </w:rPr>
        <w:t>.其他支出：2299901其他支出：指其他不能划分到具体功能科目中的支出项目。</w:t>
      </w:r>
    </w:p>
    <w:p>
      <w:pPr>
        <w:ind w:firstLineChars="200" w:firstLine="640"/>
        <w:rPr>
          <w:rFonts w:ascii="仿宋_GB2312" w:eastAsia="仿宋_GB2312"/>
          <w:sz w:val="32"/>
          <w:szCs w:val="32"/>
        </w:rPr>
      </w:pPr>
      <w:r>
        <w:rPr>
          <w:rFonts w:ascii="仿宋_GB2312" w:eastAsia="仿宋_GB2312" w:hint="eastAsia"/>
          <w:sz w:val="32"/>
          <w:szCs w:val="32"/>
          <w:lang w:val="en-US" w:eastAsia="zh-CN"/>
        </w:rPr>
        <w:t>13</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pPr>
        <w:ind w:firstLineChars="200" w:firstLine="640"/>
        <w:rPr>
          <w:rFonts w:ascii="仿宋_GB2312" w:eastAsia="仿宋_GB2312"/>
          <w:sz w:val="32"/>
          <w:szCs w:val="32"/>
        </w:rPr>
      </w:pPr>
      <w:r>
        <w:rPr>
          <w:rFonts w:ascii="仿宋_GB2312" w:eastAsia="仿宋_GB2312" w:hint="eastAsia"/>
          <w:sz w:val="32"/>
          <w:szCs w:val="32"/>
          <w:lang w:val="en-US" w:eastAsia="zh-CN"/>
        </w:rPr>
        <w:t>14</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pPr>
        <w:ind w:firstLineChars="200" w:firstLine="640"/>
        <w:rPr>
          <w:rFonts w:ascii="仿宋_GB2312" w:eastAsia="仿宋_GB2312"/>
          <w:sz w:val="32"/>
          <w:szCs w:val="32"/>
        </w:rPr>
      </w:pPr>
      <w:r>
        <w:rPr>
          <w:rFonts w:ascii="仿宋_GB2312" w:eastAsia="仿宋_GB2312" w:hint="eastAsia"/>
          <w:sz w:val="32"/>
          <w:szCs w:val="32"/>
          <w:lang w:val="en-US" w:eastAsia="zh-CN"/>
        </w:rPr>
        <w:t>15</w:t>
      </w:r>
      <w:r>
        <w:rPr>
          <w:rFonts w:ascii="仿宋_GB2312" w:eastAsia="仿宋_GB2312"/>
          <w:sz w:val="32"/>
          <w:szCs w:val="32"/>
        </w:rPr>
        <w:t>.</w:t>
      </w:r>
      <w:r>
        <w:rPr>
          <w:rFonts w:ascii="仿宋_GB2312" w:eastAsia="仿宋_GB2312" w:hint="eastAsia"/>
          <w:sz w:val="32"/>
          <w:szCs w:val="32"/>
        </w:rPr>
        <w:t>经营支出：指事业单位在专业业务活动及其辅助活动之外开展非独立核算经营活动发生的支出。</w:t>
      </w:r>
    </w:p>
    <w:p>
      <w:pPr>
        <w:pStyle w:val="33"/>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16</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3"/>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17</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1Char"/>
          <w:rFonts w:ascii="Times New Roman" w:eastAsia="黑体" w:hAnsi="Times New Roman" w:hint="eastAsia"/>
          <w:b w:val="0"/>
          <w:color w:val="auto"/>
          <w:lang w:eastAsia="zh-CN"/>
          <w:highlight w:val="auto"/>
        </w:rPr>
      </w:pPr>
      <w:bookmarkStart w:id="46" w:name="_Toc15377226"/>
      <w:r>
        <w:rPr>
          <w:rFonts w:ascii="Times New Roman" w:eastAsia="仿宋_GB2312" w:cs="仿宋_GB2312" w:hAnsi="Times New Roman" w:hint="eastAsia"/>
          <w:color w:val="auto"/>
          <w:kern w:val="2"/>
          <w:sz w:val="32"/>
          <w:szCs w:val="32"/>
          <w:lang w:val="en-US" w:eastAsia="zh-CN" w:bidi="ar-SA"/>
          <w:highlight w:val="auto"/>
        </w:rPr>
        <w:br w:type="page"/>
      </w:r>
      <w:bookmarkStart w:id="47" w:name="_Toc15396614"/>
      <w:r>
        <w:rPr>
          <w:rFonts w:ascii="Times New Roman" w:eastAsia="黑体" w:hAnsi="Times New Roman" w:hint="eastAsia"/>
          <w:color w:val="auto"/>
          <w:sz w:val="44"/>
          <w:szCs w:val="44"/>
          <w:highlight w:val="auto"/>
        </w:rPr>
        <w:t>第四部分</w:t>
      </w:r>
      <w:r>
        <w:rPr>
          <w:rFonts w:ascii="Times New Roman" w:eastAsia="黑体" w:hAnsi="Times New Roman"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 xml:space="preserve"> 附件</w:t>
      </w:r>
      <w:bookmarkEnd w:id="47"/>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FF0000"/>
          <w:sz w:val="32"/>
          <w:szCs w:val="32"/>
          <w:highlight w:val="auto"/>
        </w:rPr>
      </w:pPr>
    </w:p>
    <w:p>
      <w:pPr>
        <w:pStyle w:val="18"/>
        <w:spacing w:line="560" w:lineRule="exact"/>
        <w:ind w:leftChars="200" w:left="420"/>
        <w:rPr>
          <w:sz w:val="32"/>
          <w:szCs w:val="32"/>
        </w:rPr>
      </w:pPr>
      <w:r>
        <w:rPr>
          <w:sz w:val="32"/>
        </w:rPr>
        <w:t>注：</w:t>
      </w:r>
      <w:r>
        <w:rPr>
          <w:rFonts w:hint="eastAsia"/>
          <w:sz w:val="32"/>
          <w:lang w:eastAsia="zh-CN"/>
        </w:rPr>
        <w:t>详见</w:t>
      </w:r>
      <w:r>
        <w:rPr>
          <w:rFonts w:hint="eastAsia"/>
          <w:sz w:val="32"/>
          <w:szCs w:val="32"/>
        </w:rPr>
        <w:t>部门预算项目支出绩效自评表</w:t>
      </w:r>
      <w:bookmarkStart w:id="48" w:name="_Toc15396618"/>
    </w:p>
    <w:p>
      <w:pPr>
        <w:pStyle w:val="18"/>
        <w:spacing w:line="560" w:lineRule="exact"/>
        <w:ind w:leftChars="200" w:left="420"/>
        <w:rPr>
          <w:sz w:val="32"/>
          <w:szCs w:val="32"/>
        </w:rPr>
      </w:pPr>
    </w:p>
    <w:p>
      <w:pPr>
        <w:pStyle w:val="18"/>
        <w:spacing w:line="560" w:lineRule="exact"/>
        <w:jc w:val="center"/>
        <w:rPr>
          <w:rFonts w:ascii="Times New Roman" w:eastAsia="仿宋" w:hAnsi="Times New Roman" w:hint="eastAsia"/>
          <w:b w:val="0"/>
          <w:color w:val="auto"/>
          <w:highlight w:val="auto"/>
        </w:rPr>
      </w:pPr>
      <w:r>
        <w:rPr>
          <w:rFonts w:ascii="Times New Roman" w:eastAsia="黑体" w:hAnsi="Times New Roman" w:hint="eastAsia"/>
          <w:color w:val="auto"/>
          <w:sz w:val="44"/>
          <w:szCs w:val="44"/>
          <w:highlight w:val="auto"/>
        </w:rPr>
        <w:t>第</w:t>
      </w:r>
      <w:r>
        <w:rPr>
          <w:rStyle w:val="1Char"/>
          <w:rFonts w:ascii="Times New Roman" w:eastAsia="黑体" w:hAnsi="Times New Roman" w:hint="eastAsia"/>
          <w:b w:val="0"/>
          <w:color w:val="auto"/>
          <w:highlight w:val="auto"/>
        </w:rPr>
        <w:t>五部分 附表</w:t>
      </w:r>
      <w:bookmarkStart w:id="49" w:name="_Toc15396619"/>
      <w:bookmarkEnd w:id="46"/>
      <w:bookmarkEnd w:id="48"/>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49"/>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0" w:name="_Toc15396620"/>
      <w:r>
        <w:rPr>
          <w:rFonts w:ascii="Times New Roman" w:eastAsia="仿宋_GB2312" w:cs="仿宋_GB2312" w:hAnsi="Times New Roman" w:hint="eastAsia"/>
          <w:color w:val="auto"/>
          <w:sz w:val="32"/>
          <w:szCs w:val="32"/>
          <w:highlight w:val="auto"/>
        </w:rPr>
        <w:t>二、收入决算表</w:t>
      </w:r>
      <w:bookmarkEnd w:id="50"/>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1" w:name="_Toc15396621"/>
      <w:r>
        <w:rPr>
          <w:rFonts w:ascii="Times New Roman" w:eastAsia="仿宋_GB2312" w:cs="仿宋_GB2312" w:hAnsi="Times New Roman" w:hint="eastAsia"/>
          <w:color w:val="auto"/>
          <w:sz w:val="32"/>
          <w:szCs w:val="32"/>
          <w:highlight w:val="auto"/>
        </w:rPr>
        <w:t>三、支出决算表</w:t>
      </w:r>
      <w:bookmarkEnd w:id="51"/>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2" w:name="_Toc15396622"/>
      <w:r>
        <w:rPr>
          <w:rFonts w:ascii="Times New Roman" w:eastAsia="仿宋_GB2312" w:cs="仿宋_GB2312" w:hAnsi="Times New Roman" w:hint="eastAsia"/>
          <w:color w:val="auto"/>
          <w:sz w:val="32"/>
          <w:szCs w:val="32"/>
          <w:highlight w:val="auto"/>
        </w:rPr>
        <w:t>四、财政拨款收入支出决算总表</w:t>
      </w:r>
      <w:bookmarkEnd w:id="52"/>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3" w:name="_Toc15396623"/>
      <w:r>
        <w:rPr>
          <w:rFonts w:ascii="Times New Roman" w:eastAsia="仿宋_GB2312" w:cs="仿宋_GB2312" w:hAnsi="Times New Roman" w:hint="eastAsia"/>
          <w:color w:val="auto"/>
          <w:sz w:val="32"/>
          <w:szCs w:val="32"/>
          <w:highlight w:val="auto"/>
        </w:rPr>
        <w:t>五、财政拨款支出决算明细表</w:t>
      </w:r>
      <w:bookmarkStart w:id="54" w:name="_Toc15396624"/>
      <w:bookmarkEnd w:id="53"/>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54"/>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5" w:name="_Toc15396625"/>
      <w:r>
        <w:rPr>
          <w:rFonts w:ascii="Times New Roman" w:eastAsia="仿宋_GB2312" w:cs="仿宋_GB2312" w:hAnsi="Times New Roman" w:hint="eastAsia"/>
          <w:color w:val="auto"/>
          <w:sz w:val="32"/>
          <w:szCs w:val="32"/>
          <w:highlight w:val="auto"/>
        </w:rPr>
        <w:t>七、一般公共预算财政拨款支出决算明细表</w:t>
      </w:r>
      <w:bookmarkEnd w:id="55"/>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6" w:name="_Toc15396626"/>
      <w:r>
        <w:rPr>
          <w:rFonts w:ascii="Times New Roman" w:eastAsia="仿宋_GB2312" w:cs="仿宋_GB2312" w:hAnsi="Times New Roman" w:hint="eastAsia"/>
          <w:color w:val="auto"/>
          <w:sz w:val="32"/>
          <w:szCs w:val="32"/>
          <w:highlight w:val="auto"/>
        </w:rPr>
        <w:t>八、一般公共预算财政拨款基本支出决算表</w:t>
      </w:r>
      <w:bookmarkEnd w:id="56"/>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7" w:name="_Toc15396627"/>
      <w:r>
        <w:rPr>
          <w:rFonts w:ascii="Times New Roman" w:eastAsia="仿宋_GB2312" w:cs="仿宋_GB2312" w:hAnsi="Times New Roman" w:hint="eastAsia"/>
          <w:color w:val="auto"/>
          <w:sz w:val="32"/>
          <w:szCs w:val="32"/>
          <w:highlight w:val="auto"/>
        </w:rPr>
        <w:t>九、一般公共预算财政拨款项目支出决算表</w:t>
      </w:r>
      <w:bookmarkEnd w:id="57"/>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8" w:name="_Toc15396628"/>
      <w:r>
        <w:rPr>
          <w:rFonts w:ascii="Times New Roman" w:eastAsia="仿宋_GB2312" w:cs="仿宋_GB2312" w:hAnsi="Times New Roman" w:hint="eastAsia"/>
          <w:color w:val="auto"/>
          <w:sz w:val="32"/>
          <w:szCs w:val="32"/>
          <w:highlight w:val="auto"/>
        </w:rPr>
        <w:t>十、</w:t>
      </w:r>
      <w:bookmarkEnd w:id="58"/>
      <w:r>
        <w:rPr>
          <w:rFonts w:ascii="Times New Roman" w:eastAsia="仿宋_GB2312" w:cs="仿宋_GB2312" w:hAnsi="Times New Roman" w:hint="eastAsia"/>
          <w:color w:val="auto"/>
          <w:sz w:val="32"/>
          <w:szCs w:val="32"/>
          <w:highlight w:val="auto"/>
        </w:rPr>
        <w:t>政府性基金预算财政拨款收入支出决算表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9" w:name="_Toc15396629"/>
      <w:r>
        <w:rPr>
          <w:rFonts w:ascii="Times New Roman" w:eastAsia="仿宋_GB2312" w:cs="仿宋_GB2312" w:hAnsi="Times New Roman" w:hint="eastAsia"/>
          <w:color w:val="auto"/>
          <w:sz w:val="32"/>
          <w:szCs w:val="32"/>
          <w:highlight w:val="auto"/>
        </w:rPr>
        <w:t>十一、</w:t>
      </w:r>
      <w:bookmarkEnd w:id="59"/>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0" w:name="_Toc15396630"/>
      <w:r>
        <w:rPr>
          <w:rFonts w:ascii="Times New Roman" w:eastAsia="仿宋_GB2312" w:cs="仿宋_GB2312" w:hAnsi="Times New Roman" w:hint="eastAsia"/>
          <w:color w:val="auto"/>
          <w:sz w:val="32"/>
          <w:szCs w:val="32"/>
          <w:highlight w:val="auto"/>
        </w:rPr>
        <w:t>十二、</w:t>
      </w:r>
      <w:bookmarkEnd w:id="60"/>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61" w:name="_Toc15396631"/>
      <w:r>
        <w:rPr>
          <w:rFonts w:ascii="Times New Roman" w:eastAsia="仿宋_GB2312" w:cs="仿宋_GB2312" w:hAnsi="Times New Roman" w:hint="eastAsia"/>
          <w:color w:val="auto"/>
          <w:sz w:val="32"/>
          <w:szCs w:val="32"/>
          <w:highlight w:val="auto"/>
        </w:rPr>
        <w:t>十三、</w:t>
      </w:r>
      <w:bookmarkEnd w:id="61"/>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headerReference w:type="default" r:id="rId5"/>
      <w:footerReference w:type="default" r:id="rId6"/>
      <w:footerReference w:type="first" r:id="rId7"/>
      <w:pgSz w:w="11906" w:h="16838"/>
      <w:pgMar w:top="1440" w:right="1800" w:bottom="1440" w:left="1800" w:header="851" w:footer="992" w:gutter="0"/>
      <w:pgNumType w:start="2"/>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2000000000000000000"/>
    <w:charset w:val="86"/>
    <w:family w:val="script"/>
    <w:pitch w:val="variable"/>
    <w:sig w:usb0="A00002BF" w:usb1="184F6CFA" w:usb2="00000012" w:usb3="00000000" w:csb0="00040001" w:csb1="00000000"/>
  </w:font>
  <w:font w:name="宋体">
    <w:panose1 w:val="02010600030101010101"/>
    <w:charset w:val="7A"/>
    <w:family w:val="auto"/>
    <w:pitch w:val="variable"/>
    <w:sig w:usb0="000000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Arial">
    <w:altName w:val="Times New Roman"/>
    <w:panose1 w:val="020B0604020202020204"/>
    <w:charset w:val="01"/>
    <w:family w:val="swiss"/>
    <w:pitch w:val="variable"/>
    <w:sig w:usb0="E0002AFF" w:usb1="C0007843"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Cambria">
    <w:altName w:val="Noto Sans Syriac Eastern"/>
    <w:panose1 w:val="02040503050406030204"/>
    <w:charset w:val="00"/>
    <w:family w:val="roman"/>
    <w:pitch w:val="variable"/>
    <w:sig w:usb0="00000000" w:usb1="00000000" w:usb2="00000000" w:usb3="00000000" w:csb0="2000019F" w:csb1="00000000"/>
  </w:font>
  <w:font w:name="Calibri">
    <w:altName w:val="DejaVu Sans"/>
    <w:panose1 w:val="020F0502020204030204"/>
    <w:charset w:val="00"/>
    <w:family w:val="swiss"/>
    <w:pitch w:val="variable"/>
    <w:sig w:usb0="00000000" w:usb1="00000000" w:usb2="00000001" w:usb3="00000000" w:csb0="0000019F" w:csb1="00000000"/>
  </w:font>
  <w:font w:name="??">
    <w:altName w:val="仿宋"/>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r>
      <w:rPr>
        <w:sz w:val="18"/>
      </w:rPr>
      <mc:AlternateContent>
        <mc:Choice Requires="wps">
          <w:drawing>
            <wp:anchor distT="0" distB="0" distL="114298" distR="114298" simplePos="0" relativeHeight="29"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1" name="文本框 11"/>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2">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1 3" o:spid="_x0000_s3" filled="f" stroked="f" strokeweight="0.5pt" style="position:absolute;margin-left:0.0pt;margin-top:0.0pt;width:4.562999pt;height:10.998005pt;z-index:29;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w:rPr>
        <w:sz w:val="18"/>
      </w:rPr>
      <mc:AlternateContent>
        <mc:Choice Requires="wps">
          <w:drawing>
            <wp:anchor distT="0" distB="0" distL="114298" distR="114298" simplePos="0" relativeHeight="30"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4" name="文本框 10"/>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5">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0 6" o:spid="_x0000_s6" filled="f" stroked="f" strokeweight="0.5pt" style="position:absolute;margin-left:0.0pt;margin-top:0.0pt;width:4.562999pt;height:10.998005pt;z-index:30;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r>
      <w:rPr>
        <w:sz w:val="18"/>
      </w:rPr>
      <mc:AlternateContent>
        <mc:Choice Requires="wps">
          <w:drawing>
            <wp:anchor distT="0" distB="0" distL="114298" distR="114298" simplePos="0" relativeHeight="28" behindDoc="0" locked="0" layoutInCell="1" hidden="0" allowOverlap="1">
              <wp:simplePos x="0" y="0"/>
              <wp:positionH relativeFrom="margin">
                <wp:align>center</wp:align>
              </wp:positionH>
              <wp:positionV relativeFrom="paragraph">
                <wp:posOffset>0</wp:posOffset>
              </wp:positionV>
              <wp:extent cx="115900" cy="139674"/>
              <wp:effectExtent l="0" t="0" r="0" b="0"/>
              <wp:wrapNone/>
              <wp:docPr id="7" name="文本框 9"/>
              <wp:cNvGraphicFramePr>
                <a:graphicFrameLocks noChangeAspect="0"/>
              </wp:cNvGraphicFramePr>
              <a:graphic>
                <a:graphicData uri="http://schemas.microsoft.com/office/word/2010/wordprocessingShape">
                  <wps:wsp>
                    <wps:cNvSpPr/>
                    <wps:spPr>
                      <a:xfrm rot="0">
                        <a:off x="0" y="0"/>
                        <a:ext cx="115900" cy="139674"/>
                      </a:xfrm>
                      <a:prstGeom prst="rect"/>
                      <a:noFill/>
                      <a:ln w="6350" cmpd="sng" cap="flat">
                        <a:noFill/>
                        <a:prstDash val="solid"/>
                        <a:round/>
                      </a:ln>
                    </wps:spPr>
                    <wps:txbx id="8">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9 9" o:spid="_x0000_s9" filled="f" stroked="f" strokeweight="0.5pt" style="position:absolute;margin-left:0.0pt;margin-top:0.0pt;width:9.125998pt;height:10.997971pt;z-index:28;mso-position-horizontal:center;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1"/>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w:rPr>
        <w:sz w:val="18"/>
      </w:rPr>
      <mc:AlternateContent>
        <mc:Choice Requires="wps">
          <w:drawing>
            <wp:anchor distT="0" distB="0" distL="114298" distR="114298" simplePos="0" relativeHeight="27"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10" name="文本框 6"/>
              <wp:cNvGraphicFramePr>
                <a:graphicFrameLocks noChangeAspect="0"/>
              </wp:cNvGraphicFramePr>
              <a:graphic>
                <a:graphicData uri="http://schemas.microsoft.com/office/word/2010/wordprocessingShape">
                  <wps:wsp>
                    <wps:cNvSpPr/>
                    <wps:spPr>
                      <a:xfrm rot="0">
                        <a:off x="0" y="0"/>
                        <a:ext cx="179565" cy="139674"/>
                      </a:xfrm>
                      <a:prstGeom prst="rect"/>
                      <a:noFill/>
                      <a:ln w="6350" cmpd="sng" cap="flat">
                        <a:noFill/>
                        <a:prstDash val="solid"/>
                        <a:round/>
                      </a:ln>
                    </wps:spPr>
                    <wps:txbx id="11">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type="#_x0000_t202" id="文本框 6 12" o:spid="_x0000_s12" filled="f" stroked="f" strokeweight="0.5pt" style="position:absolute;margin-left:0.0pt;margin-top:0.0pt;width:14.139006pt;height:10.998005pt;z-index:27;mso-position-horizontal:center;mso-position-horizontal-relative:margin;mso-position-vertical:absolute;mso-wrap-distance-left:8.999863pt;mso-wrap-distance-right:8.999863pt;mso-wrap-style:none;">
              <v:stroke color="#000000"/>
              <v:textbox id="858" inset="0mm,0mm,0mm,0mm" o:insetmode="custom" style="layout-flow:horizontal;v-text-anchor:top;mso-fit-shape-to-text:t;">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B0B11F22"/>
    <w:multiLevelType w:val="singleLevel"/>
    <w:tmpl w:val="B0B11F22"/>
    <w:lvl w:ilvl="0">
      <w:start w:val="1"/>
      <w:numFmt w:val="chineseCounting"/>
      <w:lvlRestart w:val="0"/>
      <w:suff w:val="nothing"/>
      <w:lvlText w:val="%1、"/>
      <w:lvlJc w:val="left"/>
      <w:pPr>
        <w:tabs>
          <w:tab w:val="num" w:pos="0"/>
        </w:tabs>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Indent 2"/>
    <w:basedOn w:val="0"/>
    <w:pPr>
      <w:spacing w:line="317" w:lineRule="atLeast"/>
      <w:ind w:firstLine="476"/>
      <w:jc w:val="both"/>
      <w:textAlignment w:val="center"/>
    </w:pPr>
    <w:rPr>
      <w:kern w:val="28"/>
    </w:rPr>
  </w:style>
  <w:style w:type="paragraph" w:styleId="16">
    <w:name w:val="Body Text"/>
    <w:basedOn w:val="0"/>
    <w:pPr>
      <w:spacing w:beforeLines="30" w:before="30"/>
    </w:pPr>
    <w:rPr>
      <w:rFonts w:ascii="仿宋_GB2312" w:eastAsia="仿宋_GB2312"/>
      <w:kern w:val="0"/>
      <w:sz w:val="30"/>
    </w:rPr>
  </w:style>
  <w:style w:type="paragraph" w:styleId="17">
    <w:name w:val="Body Text Indent"/>
    <w:basedOn w:val="0"/>
    <w:next w:val="18"/>
    <w:pPr>
      <w:spacing w:after="120"/>
      <w:ind w:leftChars="200" w:left="200"/>
    </w:pPr>
    <w:rPr>
      <w:rFonts w:ascii="仿宋_GB2312" w:hAnsi="仿宋_GB2312"/>
      <w:szCs w:val="32"/>
    </w:rPr>
  </w:style>
  <w:style w:type="paragraph" w:styleId="18">
    <w:name w:val="Body Text First Indent 2"/>
    <w:basedOn w:val="17"/>
    <w:next w:val="0"/>
    <w:pPr>
      <w:ind w:firstLineChars="200" w:firstLine="200"/>
    </w:p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next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Subtitle"/>
    <w:basedOn w:val="0"/>
    <w:next w:val="0"/>
    <w:pPr>
      <w:spacing w:before="120" w:after="120" w:line="312" w:lineRule="auto"/>
      <w:jc w:val="left"/>
      <w:outlineLvl w:val="1"/>
    </w:pPr>
    <w:rPr>
      <w:rFonts w:ascii="Cambria" w:hAnsi="Cambria"/>
      <w:b/>
      <w:bCs/>
      <w:kern w:val="28"/>
      <w:sz w:val="24"/>
      <w:szCs w:val="32"/>
    </w:rPr>
  </w:style>
  <w:style w:type="paragraph" w:styleId="25">
    <w:name w:val="footnote text"/>
    <w:basedOn w:val="0"/>
    <w:next w:val="18"/>
    <w:pPr>
      <w:snapToGrid w:val="0"/>
      <w:jc w:val="left"/>
    </w:pPr>
    <w:rPr>
      <w:sz w:val="18"/>
      <w:szCs w:val="18"/>
    </w:rPr>
  </w:style>
  <w:style w:type="paragraph" w:styleId="26">
    <w:name w:val="toc 2"/>
    <w:basedOn w:val="0"/>
    <w:next w:val="0"/>
    <w:pPr>
      <w:tabs>
        <w:tab w:val="right" w:leader="dot" w:pos="8296"/>
      </w:tabs>
      <w:ind w:leftChars="200" w:left="200"/>
    </w:pPr>
  </w:style>
  <w:style w:type="character" w:styleId="27">
    <w:name w:val="Strong"/>
    <w:basedOn w:val="10"/>
    <w:rPr>
      <w:b/>
    </w:rPr>
  </w:style>
  <w:style w:type="character" w:styleId="28">
    <w:name w:val="Hyperlink"/>
    <w:basedOn w:val="10"/>
    <w:rPr>
      <w:color w:val="0000FF"/>
      <w:u w:val="single"/>
    </w:rPr>
  </w:style>
  <w:style w:type="paragraph" w:customStyle="1" w:styleId="29">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30">
    <w:name w:val="Header Char"/>
    <w:basedOn w:val="10"/>
    <w:rPr>
      <w:rFonts w:ascii="Times New Roman" w:hAnsi="Times New Roman"/>
      <w:sz w:val="18"/>
      <w:szCs w:val="18"/>
    </w:rPr>
  </w:style>
  <w:style w:type="character" w:customStyle="1" w:styleId="31">
    <w:name w:val="Footer Char"/>
    <w:basedOn w:val="10"/>
    <w:rPr>
      <w:rFonts w:ascii="Times New Roman" w:hAnsi="Times New Roman"/>
      <w:sz w:val="18"/>
      <w:szCs w:val="18"/>
    </w:rPr>
  </w:style>
  <w:style w:type="character" w:customStyle="1" w:styleId="32">
    <w:name w:val="Body Text Char"/>
    <w:basedOn w:val="10"/>
    <w:rPr>
      <w:rFonts w:ascii="Times New Roman" w:hAnsi="Times New Roman"/>
      <w:szCs w:val="24"/>
    </w:rPr>
  </w:style>
  <w:style w:type="paragraph" w:customStyle="1" w:styleId="33">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4">
    <w:name w:val="List Paragraph"/>
    <w:basedOn w:val="0"/>
    <w:pPr>
      <w:ind w:firstLineChars="200" w:firstLine="200"/>
    </w:pPr>
  </w:style>
  <w:style w:type="paragraph" w:customStyle="1" w:styleId="35">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7">
    <w:name w:val="四号正文"/>
    <w:basedOn w:val="0"/>
    <w:pPr>
      <w:spacing w:line="360" w:lineRule="auto"/>
    </w:pPr>
    <w:rPr>
      <w:rFonts w:ascii="??" w:eastAsia="宋体" w:hAnsi="??"/>
      <w:color w:val="000000"/>
      <w:kern w:val="0"/>
      <w:sz w:val="28"/>
      <w:szCs w:val="21"/>
      <w:lang w:val="zh-CN" w:eastAsia="zh-CN"/>
    </w:rPr>
  </w:style>
  <w:style w:type="character" w:customStyle="1" w:styleId="38">
    <w:name w:val="17"/>
    <w:basedOn w:val="10"/>
    <w:rPr>
      <w:rFonts w:ascii="Times New Roman" w:hAnsi="Times New Roman"/>
      <w:b/>
    </w:rPr>
  </w:style>
  <w:style w:type="character" w:customStyle="1" w:styleId="39">
    <w:name w:val="21"/>
    <w:basedOn w:val="10"/>
    <w:rPr>
      <w:rFonts w:ascii="Times New Roman" w:hAnsi="Times New Roman"/>
      <w:b/>
    </w:rPr>
  </w:style>
  <w:style w:type="character" w:customStyle="1" w:styleId="40">
    <w:name w:val="23"/>
    <w:basedOn w:val="10"/>
    <w:rPr>
      <w:rFonts w:ascii="Times New Roman" w:cs="Times New Roman" w:hAnsi="Times New Roman"/>
      <w:b/>
      <w:bCs/>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header" Target="head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image" Target="media/14.png"/><Relationship Id="rId9" Type="http://schemas.openxmlformats.org/officeDocument/2006/relationships/image" Target="media/16.png"/><Relationship Id="rId10" Type="http://schemas.openxmlformats.org/officeDocument/2006/relationships/image" Target="media/19.png"/><Relationship Id="rId11" Type="http://schemas.openxmlformats.org/officeDocument/2006/relationships/image" Target="media/21.png"/><Relationship Id="rId12" Type="http://schemas.openxmlformats.org/officeDocument/2006/relationships/image" Target="media/23.png"/><Relationship Id="rId13" Type="http://schemas.openxmlformats.org/officeDocument/2006/relationships/image" Target="media/25.png"/><Relationship Id="rId14" Type="http://schemas.openxmlformats.org/officeDocument/2006/relationships/image" Target="media/27.png"/><Relationship Id="rId15" Type="http://schemas.openxmlformats.org/officeDocument/2006/relationships/styles" Target="styles.xml"/><Relationship Id="rId16" Type="http://schemas.openxmlformats.org/officeDocument/2006/relationships/numbering" Target="numbering.xml"/><Relationship Id="rId17" Type="http://schemas.openxmlformats.org/officeDocument/2006/relationships/fontTable" Target="fontTable.xml"/></Relationships>
</file>

<file path=docProps/app.xml><?xml version="1.0" encoding="utf-8"?>
<Properties xmlns="http://schemas.openxmlformats.org/officeDocument/2006/extended-properties">
  <Template>Normal.eit</Template>
  <TotalTime>10</TotalTime>
  <Application>Yozo_Office</Application>
  <Pages>27</Pages>
  <Words>9635</Words>
  <Characters>12683</Characters>
  <Lines>520</Lines>
  <Paragraphs>167</Paragraphs>
  <CharactersWithSpaces>12725</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32</cp:revision>
  <cp:lastPrinted>2026-08-03T17:27:00Z</cp:lastPrinted>
  <dcterms:created xsi:type="dcterms:W3CDTF">2020-08-09T01:49:00Z</dcterms:created>
  <dcterms:modified xsi:type="dcterms:W3CDTF">2026-10-15T07:39:31Z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2052-11.8.2.1132</vt:lpwstr>
  </property>
  <property fmtid="{D5CDD505-2E9C-101B-9397-08002B2CF9AE}" pid="3" name="ICV">
    <vt:lpwstr>5EBBA40E9B744C28A4174DA1CF33D823_13</vt:lpwstr>
  </property>
  <property fmtid="{D5CDD505-2E9C-101B-9397-08002B2CF9AE}" pid="4" name="KSOTemplateDocerSaveRecord">
    <vt:lpwstr>eyJoZGlkIjoiYWQ5ZGM5YTQ5MDY2Y2YwZmJlZDM5N2UyNGFhNjM4ZTYiLCJ1c2VySWQiOiIzMDIzNTUwODQifQ==</vt:lpwstr>
  </property>
</Properties>
</file>