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outlineLvl w:val="0"/>
        <w:rPr>
          <w:rFonts w:ascii="微软雅黑" w:hAnsi="宋体" w:eastAsia="微软雅黑"/>
          <w:szCs w:val="21"/>
        </w:rPr>
      </w:pPr>
      <w:bookmarkStart w:id="0" w:name="_Toc15306267"/>
    </w:p>
    <w:p>
      <w:pPr>
        <w:pStyle w:val="2"/>
        <w:spacing w:before="93"/>
      </w:pPr>
    </w:p>
    <w:p>
      <w:pPr>
        <w:spacing w:line="600" w:lineRule="exact"/>
        <w:jc w:val="center"/>
        <w:outlineLvl w:val="0"/>
        <w:rPr>
          <w:rFonts w:ascii="微软雅黑" w:hAnsi="宋体" w:eastAsia="微软雅黑"/>
          <w:sz w:val="72"/>
          <w:szCs w:val="72"/>
        </w:rPr>
      </w:pPr>
    </w:p>
    <w:p>
      <w:pPr>
        <w:spacing w:line="600" w:lineRule="exact"/>
        <w:jc w:val="center"/>
        <w:outlineLvl w:val="0"/>
        <w:rPr>
          <w:rFonts w:ascii="微软雅黑" w:hAnsi="宋体" w:eastAsia="微软雅黑"/>
          <w:sz w:val="72"/>
          <w:szCs w:val="72"/>
        </w:rPr>
      </w:pPr>
    </w:p>
    <w:p>
      <w:pPr>
        <w:adjustRightInd w:val="0"/>
        <w:snapToGrid w:val="0"/>
        <w:spacing w:line="360" w:lineRule="auto"/>
        <w:jc w:val="center"/>
        <w:outlineLvl w:val="0"/>
        <w:rPr>
          <w:rFonts w:ascii="微软雅黑" w:hAnsi="微软雅黑" w:eastAsia="微软雅黑" w:cs="微软雅黑"/>
          <w:sz w:val="72"/>
          <w:szCs w:val="72"/>
        </w:rPr>
      </w:pPr>
      <w:bookmarkStart w:id="1" w:name="_Toc15378441"/>
      <w:bookmarkStart w:id="2" w:name="_Toc15377193"/>
      <w:bookmarkStart w:id="3" w:name="_Toc15396597"/>
      <w:bookmarkStart w:id="4" w:name="_Toc15377425"/>
      <w:bookmarkStart w:id="5" w:name="_Toc15396475"/>
      <w:r>
        <w:rPr>
          <w:rFonts w:hint="eastAsia" w:ascii="微软雅黑" w:hAnsi="微软雅黑" w:eastAsia="微软雅黑" w:cs="微软雅黑"/>
          <w:sz w:val="72"/>
          <w:szCs w:val="72"/>
        </w:rPr>
        <w:t>202</w:t>
      </w:r>
      <w:r>
        <w:rPr>
          <w:rFonts w:hint="eastAsia" w:ascii="微软雅黑" w:hAnsi="微软雅黑" w:eastAsia="微软雅黑" w:cs="微软雅黑"/>
          <w:sz w:val="72"/>
          <w:szCs w:val="72"/>
          <w:lang w:val="en-US" w:eastAsia="zh-CN"/>
        </w:rPr>
        <w:t>5</w:t>
      </w:r>
      <w:r>
        <w:rPr>
          <w:rFonts w:hint="eastAsia" w:ascii="微软雅黑" w:hAnsi="微软雅黑" w:eastAsia="微软雅黑" w:cs="微软雅黑"/>
          <w:sz w:val="72"/>
          <w:szCs w:val="72"/>
        </w:rPr>
        <w:t>年度</w:t>
      </w:r>
      <w:bookmarkEnd w:id="1"/>
      <w:bookmarkEnd w:id="2"/>
      <w:bookmarkEnd w:id="3"/>
      <w:bookmarkEnd w:id="4"/>
      <w:bookmarkEnd w:id="5"/>
    </w:p>
    <w:p>
      <w:pPr>
        <w:adjustRightInd w:val="0"/>
        <w:snapToGrid w:val="0"/>
        <w:spacing w:line="360" w:lineRule="auto"/>
        <w:jc w:val="center"/>
        <w:outlineLvl w:val="0"/>
        <w:rPr>
          <w:rFonts w:ascii="微软雅黑" w:eastAsia="微软雅黑" w:cs="微软雅黑"/>
          <w:sz w:val="72"/>
          <w:szCs w:val="72"/>
        </w:rPr>
      </w:pPr>
      <w:bookmarkStart w:id="6" w:name="_Toc15378442"/>
      <w:bookmarkStart w:id="7" w:name="_Toc15377426"/>
      <w:bookmarkStart w:id="8" w:name="_Toc15396598"/>
      <w:bookmarkStart w:id="9" w:name="_Toc15396476"/>
      <w:bookmarkStart w:id="10" w:name="_Toc15377194"/>
      <w:r>
        <w:rPr>
          <w:rFonts w:hint="eastAsia" w:ascii="微软雅黑" w:hAnsi="微软雅黑" w:eastAsia="微软雅黑" w:cs="微软雅黑"/>
          <w:sz w:val="72"/>
          <w:szCs w:val="72"/>
        </w:rPr>
        <w:t>四川省</w:t>
      </w:r>
      <w:bookmarkEnd w:id="0"/>
      <w:bookmarkStart w:id="11" w:name="_Toc346038630"/>
      <w:bookmarkStart w:id="12" w:name="_Toc15306268"/>
      <w:r>
        <w:rPr>
          <w:rFonts w:ascii="微软雅黑" w:eastAsia="微软雅黑" w:cs="微软雅黑"/>
          <w:sz w:val="72"/>
          <w:szCs w:val="72"/>
        </w:rPr>
        <w:t>阿坝州</w:t>
      </w:r>
      <w:r>
        <w:rPr>
          <w:rFonts w:hint="eastAsia" w:ascii="微软雅黑" w:eastAsia="微软雅黑" w:cs="微软雅黑"/>
          <w:sz w:val="72"/>
          <w:szCs w:val="72"/>
        </w:rPr>
        <w:t>若尔盖县</w:t>
      </w:r>
      <w:bookmarkEnd w:id="11"/>
    </w:p>
    <w:p>
      <w:pPr>
        <w:adjustRightInd w:val="0"/>
        <w:snapToGrid w:val="0"/>
        <w:spacing w:line="360" w:lineRule="auto"/>
        <w:jc w:val="center"/>
        <w:outlineLvl w:val="0"/>
        <w:rPr>
          <w:rFonts w:ascii="微软雅黑" w:hAnsi="微软雅黑" w:eastAsia="微软雅黑" w:cs="微软雅黑"/>
          <w:sz w:val="72"/>
          <w:szCs w:val="72"/>
        </w:rPr>
      </w:pPr>
      <w:r>
        <w:rPr>
          <w:rFonts w:hint="eastAsia" w:ascii="微软雅黑" w:eastAsia="微软雅黑" w:cs="微软雅黑"/>
          <w:sz w:val="72"/>
          <w:szCs w:val="72"/>
        </w:rPr>
        <w:t>编办</w:t>
      </w:r>
      <w:r>
        <w:rPr>
          <w:rFonts w:hint="eastAsia" w:ascii="微软雅黑" w:hAnsi="微软雅黑" w:eastAsia="微软雅黑" w:cs="微软雅黑"/>
          <w:sz w:val="72"/>
          <w:szCs w:val="72"/>
        </w:rPr>
        <w:t>(汇总）</w:t>
      </w:r>
      <w:r>
        <w:rPr>
          <w:rFonts w:hint="eastAsia" w:ascii="微软雅黑" w:eastAsia="微软雅黑" w:cs="微软雅黑"/>
          <w:sz w:val="72"/>
          <w:szCs w:val="72"/>
        </w:rPr>
        <w:t>部门</w:t>
      </w:r>
      <w:r>
        <w:rPr>
          <w:rFonts w:hint="eastAsia" w:ascii="微软雅黑" w:hAnsi="微软雅黑" w:eastAsia="微软雅黑" w:cs="微软雅黑"/>
          <w:sz w:val="72"/>
          <w:szCs w:val="72"/>
        </w:rPr>
        <w:t>决算</w:t>
      </w:r>
      <w:bookmarkEnd w:id="6"/>
      <w:bookmarkEnd w:id="7"/>
      <w:bookmarkEnd w:id="8"/>
      <w:bookmarkEnd w:id="9"/>
      <w:bookmarkEnd w:id="10"/>
      <w:bookmarkEnd w:id="12"/>
    </w:p>
    <w:p>
      <w:pPr>
        <w:adjustRightInd w:val="0"/>
        <w:snapToGrid w:val="0"/>
        <w:spacing w:line="360" w:lineRule="auto"/>
        <w:outlineLvl w:val="0"/>
        <w:rPr>
          <w:rFonts w:ascii="微软雅黑" w:hAnsi="宋体" w:eastAsia="微软雅黑"/>
          <w:sz w:val="52"/>
          <w:szCs w:val="52"/>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pPr>
    </w:p>
    <w:p>
      <w:pPr>
        <w:widowControl/>
        <w:jc w:val="center"/>
        <w:rPr>
          <w:rFonts w:ascii="微软雅黑" w:eastAsia="微软雅黑"/>
          <w:sz w:val="36"/>
          <w:szCs w:val="36"/>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720" w:num="1"/>
          <w:titlePg/>
          <w:docGrid w:type="lines" w:linePitch="312" w:charSpace="0"/>
        </w:sectPr>
      </w:pPr>
      <w:r>
        <w:rPr>
          <w:rFonts w:hint="eastAsia" w:ascii="微软雅黑" w:eastAsia="微软雅黑"/>
          <w:sz w:val="36"/>
          <w:szCs w:val="36"/>
        </w:rPr>
        <w:t>已经保密审查、内容审定，</w:t>
      </w:r>
      <w:r>
        <w:rPr>
          <w:rFonts w:hint="eastAsia" w:ascii="微软雅黑" w:eastAsia="微软雅黑"/>
          <w:sz w:val="36"/>
          <w:szCs w:val="36"/>
          <w:lang w:val="en-US" w:eastAsia="zh-CN"/>
        </w:rPr>
        <w:t>统一</w:t>
      </w:r>
      <w:r>
        <w:rPr>
          <w:rFonts w:hint="eastAsia" w:ascii="微软雅黑" w:eastAsia="微软雅黑"/>
          <w:sz w:val="36"/>
          <w:szCs w:val="36"/>
        </w:rPr>
        <w:t>对外公开</w:t>
      </w:r>
    </w:p>
    <w:p>
      <w:pPr>
        <w:widowControl/>
        <w:jc w:val="center"/>
        <w:rPr>
          <w:rFonts w:ascii="黑体" w:eastAsia="黑体"/>
          <w:sz w:val="48"/>
          <w:szCs w:val="48"/>
        </w:rPr>
      </w:pPr>
      <w:bookmarkStart w:id="13" w:name="_Toc15377196"/>
      <w:bookmarkStart w:id="14" w:name="_Toc15396599"/>
      <w:r>
        <w:rPr>
          <w:rFonts w:hint="eastAsia" w:ascii="黑体" w:eastAsia="黑体"/>
          <w:sz w:val="48"/>
          <w:szCs w:val="48"/>
        </w:rPr>
        <w:t>目录</w:t>
      </w:r>
    </w:p>
    <w:p>
      <w:pPr>
        <w:widowControl/>
        <w:jc w:val="center"/>
        <w:rPr>
          <w:rFonts w:ascii="黑体" w:eastAsia="黑体" w:cs="Arial"/>
          <w:sz w:val="28"/>
          <w:szCs w:val="28"/>
        </w:rPr>
      </w:pPr>
    </w:p>
    <w:p>
      <w:pPr>
        <w:pStyle w:val="12"/>
      </w:pPr>
      <w:r>
        <w:rPr>
          <w:rFonts w:hint="eastAsia"/>
        </w:rPr>
        <w:t>公开时间：202</w:t>
      </w:r>
      <w:r>
        <w:rPr>
          <w:rFonts w:hint="eastAsia"/>
          <w:lang w:val="en-US" w:eastAsia="zh-CN"/>
        </w:rPr>
        <w:t>6</w:t>
      </w:r>
      <w:r>
        <w:rPr>
          <w:rFonts w:hint="eastAsia"/>
        </w:rPr>
        <w:t>年10月1</w:t>
      </w:r>
      <w:r>
        <w:rPr>
          <w:rFonts w:hint="eastAsia"/>
          <w:lang w:val="en-US" w:eastAsia="zh-CN"/>
        </w:rPr>
        <w:t>0</w:t>
      </w:r>
      <w:r>
        <w:rPr>
          <w:rFonts w:hint="eastAsia"/>
        </w:rPr>
        <w:t>日</w:t>
      </w:r>
    </w:p>
    <w:p/>
    <w:sdt>
      <w:sdtPr>
        <w:rPr>
          <w:rFonts w:ascii="Times New Roman" w:hAnsi="Times New Roman"/>
          <w:b w:val="0"/>
          <w:bCs w:val="0"/>
          <w:color w:val="auto"/>
          <w:kern w:val="2"/>
          <w:sz w:val="21"/>
          <w:szCs w:val="24"/>
          <w:lang w:val="zh-CN"/>
        </w:rPr>
        <w:id w:val="521548254"/>
        <w:docPartObj>
          <w:docPartGallery w:val="Table of Contents"/>
          <w:docPartUnique/>
        </w:docPartObj>
      </w:sdtPr>
      <w:sdtEndPr>
        <w:rPr>
          <w:rFonts w:ascii="仿宋" w:hAnsi="仿宋" w:eastAsia="仿宋"/>
          <w:b w:val="0"/>
          <w:bCs w:val="0"/>
          <w:color w:val="auto"/>
          <w:kern w:val="2"/>
          <w:sz w:val="24"/>
          <w:szCs w:val="24"/>
          <w:lang w:val="en-US"/>
        </w:rPr>
      </w:sdtEndPr>
      <w:sdtContent>
        <w:p>
          <w:pPr>
            <w:pStyle w:val="35"/>
            <w:rPr>
              <w:rFonts w:ascii="仿宋" w:hAnsi="仿宋" w:eastAsia="仿宋"/>
              <w:b w:val="0"/>
              <w:sz w:val="24"/>
              <w:szCs w:val="24"/>
            </w:rPr>
          </w:pPr>
          <w:r>
            <w:rPr>
              <w:rFonts w:ascii="仿宋" w:hAnsi="仿宋" w:eastAsia="仿宋"/>
              <w:b w:val="0"/>
              <w:sz w:val="24"/>
              <w:szCs w:val="24"/>
            </w:rPr>
            <w:fldChar w:fldCharType="begin"/>
          </w:r>
          <w:r>
            <w:rPr>
              <w:rFonts w:ascii="仿宋" w:hAnsi="仿宋" w:eastAsia="仿宋"/>
              <w:b w:val="0"/>
              <w:sz w:val="24"/>
              <w:szCs w:val="24"/>
            </w:rPr>
            <w:instrText xml:space="preserve"> TOC \o "1-3" \h \z \u </w:instrText>
          </w:r>
          <w:r>
            <w:rPr>
              <w:rFonts w:ascii="仿宋" w:hAnsi="仿宋" w:eastAsia="仿宋"/>
              <w:b w:val="0"/>
              <w:sz w:val="24"/>
              <w:szCs w:val="24"/>
            </w:rPr>
            <w:fldChar w:fldCharType="separate"/>
          </w:r>
        </w:p>
        <w:p>
          <w:pPr>
            <w:pStyle w:val="12"/>
            <w:rPr>
              <w:rFonts w:cs="Arial"/>
              <w:sz w:val="24"/>
              <w:szCs w:val="24"/>
            </w:rPr>
          </w:pPr>
          <w:r>
            <w:fldChar w:fldCharType="begin"/>
          </w:r>
          <w:r>
            <w:instrText xml:space="preserve"> HYPERLINK \l "_Toc346038632" </w:instrText>
          </w:r>
          <w:r>
            <w:fldChar w:fldCharType="separate"/>
          </w:r>
          <w:r>
            <w:rPr>
              <w:rFonts w:hint="eastAsia"/>
              <w:sz w:val="24"/>
              <w:szCs w:val="24"/>
            </w:rPr>
            <w:t>第一部分</w:t>
          </w:r>
          <w:r>
            <w:rPr>
              <w:rFonts w:hint="eastAsia"/>
              <w:sz w:val="24"/>
              <w:szCs w:val="24"/>
              <w:lang w:eastAsia="zh-CN"/>
            </w:rPr>
            <w:t>部门</w:t>
          </w:r>
          <w:r>
            <w:rPr>
              <w:rFonts w:hint="eastAsia"/>
              <w:sz w:val="24"/>
              <w:szCs w:val="24"/>
            </w:rPr>
            <w:t>概况</w:t>
          </w:r>
          <w:r>
            <w:rPr>
              <w:sz w:val="24"/>
              <w:szCs w:val="24"/>
            </w:rPr>
            <w:tab/>
          </w:r>
          <w:r>
            <w:rPr>
              <w:sz w:val="24"/>
              <w:szCs w:val="24"/>
            </w:rPr>
            <w:fldChar w:fldCharType="begin"/>
          </w:r>
          <w:r>
            <w:rPr>
              <w:sz w:val="24"/>
              <w:szCs w:val="24"/>
            </w:rPr>
            <w:instrText xml:space="preserve"> PAGEREF _Toc346038632 \h </w:instrText>
          </w:r>
          <w:r>
            <w:rPr>
              <w:sz w:val="24"/>
              <w:szCs w:val="24"/>
            </w:rPr>
            <w:fldChar w:fldCharType="separate"/>
          </w:r>
          <w:r>
            <w:rPr>
              <w:sz w:val="24"/>
              <w:szCs w:val="24"/>
            </w:rPr>
            <w:t>3</w:t>
          </w:r>
          <w:r>
            <w:rPr>
              <w:sz w:val="24"/>
              <w:szCs w:val="24"/>
            </w:rPr>
            <w:fldChar w:fldCharType="end"/>
          </w:r>
          <w:r>
            <w:rPr>
              <w:sz w:val="24"/>
              <w:szCs w:val="24"/>
            </w:rPr>
            <w:fldChar w:fldCharType="end"/>
          </w:r>
        </w:p>
        <w:p>
          <w:pPr>
            <w:pStyle w:val="13"/>
            <w:rPr>
              <w:rFonts w:ascii="仿宋" w:hAnsi="仿宋" w:eastAsia="仿宋" w:cs="Arial"/>
              <w:sz w:val="24"/>
            </w:rPr>
          </w:pPr>
          <w:r>
            <w:fldChar w:fldCharType="begin"/>
          </w:r>
          <w:r>
            <w:instrText xml:space="preserve"> HYPERLINK \l "_Toc346038633" </w:instrText>
          </w:r>
          <w:r>
            <w:fldChar w:fldCharType="separate"/>
          </w:r>
          <w:r>
            <w:rPr>
              <w:rFonts w:hint="eastAsia" w:ascii="仿宋" w:hAnsi="仿宋" w:eastAsia="仿宋"/>
              <w:sz w:val="24"/>
            </w:rPr>
            <w:t>一、 主要职责</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_Toc346038633 \h </w:instrText>
          </w:r>
          <w:r>
            <w:rPr>
              <w:rFonts w:ascii="仿宋" w:hAnsi="仿宋" w:eastAsia="仿宋"/>
              <w:sz w:val="24"/>
            </w:rPr>
            <w:fldChar w:fldCharType="separate"/>
          </w:r>
          <w:r>
            <w:rPr>
              <w:rFonts w:ascii="仿宋" w:hAnsi="仿宋" w:eastAsia="仿宋"/>
              <w:sz w:val="24"/>
            </w:rPr>
            <w:t>3</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"_Toc346038634" </w:instrText>
          </w:r>
          <w:r>
            <w:fldChar w:fldCharType="separate"/>
          </w:r>
          <w:r>
            <w:rPr>
              <w:rFonts w:hint="eastAsia" w:ascii="仿宋" w:hAnsi="仿宋" w:eastAsia="仿宋"/>
              <w:sz w:val="24"/>
            </w:rPr>
            <w:t>二、机构设置</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_Toc346038634 \h </w:instrText>
          </w:r>
          <w:r>
            <w:rPr>
              <w:rFonts w:ascii="仿宋" w:hAnsi="仿宋" w:eastAsia="仿宋"/>
              <w:sz w:val="24"/>
            </w:rPr>
            <w:fldChar w:fldCharType="separate"/>
          </w:r>
          <w:r>
            <w:rPr>
              <w:rFonts w:ascii="仿宋" w:hAnsi="仿宋" w:eastAsia="仿宋"/>
              <w:sz w:val="24"/>
            </w:rPr>
            <w:t>4</w:t>
          </w:r>
          <w:r>
            <w:rPr>
              <w:rFonts w:ascii="仿宋" w:hAnsi="仿宋" w:eastAsia="仿宋"/>
              <w:sz w:val="24"/>
            </w:rPr>
            <w:fldChar w:fldCharType="end"/>
          </w:r>
          <w:r>
            <w:rPr>
              <w:rFonts w:ascii="仿宋" w:hAnsi="仿宋" w:eastAsia="仿宋"/>
              <w:sz w:val="24"/>
            </w:rPr>
            <w:fldChar w:fldCharType="end"/>
          </w:r>
        </w:p>
        <w:p>
          <w:pPr>
            <w:pStyle w:val="12"/>
            <w:rPr>
              <w:rFonts w:cs="Arial"/>
              <w:sz w:val="24"/>
              <w:szCs w:val="24"/>
            </w:rPr>
          </w:pPr>
          <w:r>
            <w:fldChar w:fldCharType="begin"/>
          </w:r>
          <w:r>
            <w:instrText xml:space="preserve"> HYPERLINK \l "_Toc346038635" </w:instrText>
          </w:r>
          <w:r>
            <w:fldChar w:fldCharType="separate"/>
          </w:r>
          <w:r>
            <w:rPr>
              <w:rFonts w:hint="eastAsia"/>
              <w:sz w:val="24"/>
              <w:szCs w:val="24"/>
            </w:rPr>
            <w:t>第二部分</w:t>
          </w:r>
          <w:r>
            <w:rPr>
              <w:sz w:val="24"/>
              <w:szCs w:val="24"/>
            </w:rPr>
            <w:t xml:space="preserve"> 202</w:t>
          </w:r>
          <w:r>
            <w:rPr>
              <w:rFonts w:hint="eastAsia"/>
              <w:sz w:val="24"/>
              <w:szCs w:val="24"/>
              <w:lang w:val="en-US" w:eastAsia="zh-CN"/>
            </w:rPr>
            <w:t>5</w:t>
          </w:r>
          <w:r>
            <w:rPr>
              <w:rFonts w:hint="eastAsia"/>
              <w:sz w:val="24"/>
              <w:szCs w:val="24"/>
            </w:rPr>
            <w:t>年度</w:t>
          </w:r>
          <w:r>
            <w:rPr>
              <w:rFonts w:hint="eastAsia"/>
              <w:sz w:val="24"/>
              <w:szCs w:val="24"/>
              <w:lang w:eastAsia="zh-CN"/>
            </w:rPr>
            <w:t>部门</w:t>
          </w:r>
          <w:r>
            <w:rPr>
              <w:rFonts w:hint="eastAsia"/>
              <w:sz w:val="24"/>
              <w:szCs w:val="24"/>
            </w:rPr>
            <w:t>决算情况说明</w:t>
          </w:r>
          <w:r>
            <w:rPr>
              <w:sz w:val="24"/>
              <w:szCs w:val="24"/>
            </w:rPr>
            <w:tab/>
          </w:r>
          <w:r>
            <w:rPr>
              <w:sz w:val="24"/>
              <w:szCs w:val="24"/>
            </w:rPr>
            <w:fldChar w:fldCharType="begin"/>
          </w:r>
          <w:r>
            <w:rPr>
              <w:sz w:val="24"/>
              <w:szCs w:val="24"/>
            </w:rPr>
            <w:instrText xml:space="preserve"> PAGEREF _Toc346038635 \h </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13"/>
            <w:tabs>
              <w:tab w:val="left" w:pos="1260"/>
            </w:tabs>
            <w:rPr>
              <w:rFonts w:ascii="仿宋" w:hAnsi="仿宋" w:eastAsia="仿宋" w:cs="Arial"/>
              <w:sz w:val="24"/>
            </w:rPr>
          </w:pPr>
          <w:r>
            <w:fldChar w:fldCharType="begin"/>
          </w:r>
          <w:r>
            <w:instrText xml:space="preserve"> HYPERLINK \l "_Toc346038636" </w:instrText>
          </w:r>
          <w:r>
            <w:fldChar w:fldCharType="separate"/>
          </w:r>
          <w:r>
            <w:rPr>
              <w:rFonts w:hint="eastAsia" w:ascii="仿宋" w:hAnsi="仿宋" w:eastAsia="仿宋"/>
              <w:bCs/>
              <w:sz w:val="24"/>
            </w:rPr>
            <w:t>一、</w:t>
          </w:r>
          <w:r>
            <w:rPr>
              <w:rFonts w:ascii="仿宋" w:hAnsi="仿宋" w:eastAsia="仿宋" w:cs="Arial"/>
              <w:sz w:val="24"/>
            </w:rPr>
            <w:tab/>
          </w:r>
          <w:r>
            <w:rPr>
              <w:rFonts w:hint="eastAsia" w:ascii="仿宋" w:hAnsi="仿宋" w:eastAsia="仿宋"/>
              <w:sz w:val="24"/>
            </w:rPr>
            <w:t>收</w:t>
          </w:r>
          <w:r>
            <w:rPr>
              <w:rFonts w:hint="eastAsia" w:ascii="仿宋" w:hAnsi="仿宋" w:eastAsia="仿宋"/>
              <w:bCs/>
              <w:sz w:val="24"/>
            </w:rPr>
            <w:t>入支出决算总体情况说明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_Toc346038636 \h </w:instrText>
          </w:r>
          <w:r>
            <w:rPr>
              <w:rFonts w:ascii="仿宋" w:hAnsi="仿宋" w:eastAsia="仿宋"/>
              <w:sz w:val="24"/>
            </w:rPr>
            <w:fldChar w:fldCharType="separate"/>
          </w:r>
          <w:r>
            <w:rPr>
              <w:rFonts w:ascii="仿宋" w:hAnsi="仿宋" w:eastAsia="仿宋"/>
              <w:sz w:val="24"/>
            </w:rPr>
            <w:t>4</w:t>
          </w:r>
          <w:r>
            <w:rPr>
              <w:rFonts w:ascii="仿宋" w:hAnsi="仿宋" w:eastAsia="仿宋"/>
              <w:sz w:val="24"/>
            </w:rPr>
            <w:fldChar w:fldCharType="end"/>
          </w:r>
          <w:r>
            <w:rPr>
              <w:rFonts w:ascii="仿宋" w:hAnsi="仿宋" w:eastAsia="仿宋"/>
              <w:sz w:val="24"/>
            </w:rPr>
            <w:fldChar w:fldCharType="end"/>
          </w:r>
        </w:p>
        <w:p>
          <w:pPr>
            <w:pStyle w:val="13"/>
            <w:tabs>
              <w:tab w:val="left" w:pos="1260"/>
            </w:tabs>
            <w:rPr>
              <w:rFonts w:ascii="仿宋" w:hAnsi="仿宋" w:eastAsia="仿宋" w:cs="Arial"/>
              <w:sz w:val="24"/>
            </w:rPr>
          </w:pPr>
          <w:r>
            <w:fldChar w:fldCharType="begin"/>
          </w:r>
          <w:r>
            <w:instrText xml:space="preserve"> HYPERLINK \l "_Toc346038637" </w:instrText>
          </w:r>
          <w:r>
            <w:fldChar w:fldCharType="separate"/>
          </w:r>
          <w:r>
            <w:rPr>
              <w:rFonts w:hint="eastAsia" w:ascii="仿宋" w:hAnsi="仿宋" w:eastAsia="仿宋"/>
              <w:bCs/>
              <w:sz w:val="24"/>
            </w:rPr>
            <w:t>二、</w:t>
          </w:r>
          <w:r>
            <w:rPr>
              <w:rFonts w:ascii="仿宋" w:hAnsi="仿宋" w:eastAsia="仿宋" w:cs="Arial"/>
              <w:sz w:val="24"/>
            </w:rPr>
            <w:tab/>
          </w:r>
          <w:r>
            <w:rPr>
              <w:rFonts w:hint="eastAsia" w:ascii="仿宋" w:hAnsi="仿宋" w:eastAsia="仿宋"/>
              <w:sz w:val="24"/>
            </w:rPr>
            <w:t>收</w:t>
          </w:r>
          <w:r>
            <w:rPr>
              <w:rFonts w:hint="eastAsia" w:ascii="仿宋" w:hAnsi="仿宋" w:eastAsia="仿宋"/>
              <w:bCs/>
              <w:sz w:val="24"/>
            </w:rPr>
            <w:t>入决算情况说明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_Toc346038637 \h </w:instrText>
          </w:r>
          <w:r>
            <w:rPr>
              <w:rFonts w:ascii="仿宋" w:hAnsi="仿宋" w:eastAsia="仿宋"/>
              <w:sz w:val="24"/>
            </w:rPr>
            <w:fldChar w:fldCharType="separate"/>
          </w:r>
          <w:r>
            <w:rPr>
              <w:rFonts w:ascii="仿宋" w:hAnsi="仿宋" w:eastAsia="仿宋"/>
              <w:sz w:val="24"/>
            </w:rPr>
            <w:t>5</w:t>
          </w:r>
          <w:r>
            <w:rPr>
              <w:rFonts w:ascii="仿宋" w:hAnsi="仿宋" w:eastAsia="仿宋"/>
              <w:sz w:val="24"/>
            </w:rPr>
            <w:fldChar w:fldCharType="end"/>
          </w:r>
          <w:r>
            <w:rPr>
              <w:rFonts w:ascii="仿宋" w:hAnsi="仿宋" w:eastAsia="仿宋"/>
              <w:sz w:val="24"/>
            </w:rPr>
            <w:fldChar w:fldCharType="end"/>
          </w:r>
        </w:p>
        <w:p>
          <w:pPr>
            <w:pStyle w:val="13"/>
            <w:tabs>
              <w:tab w:val="left" w:pos="1260"/>
            </w:tabs>
            <w:rPr>
              <w:rFonts w:ascii="仿宋" w:hAnsi="仿宋" w:eastAsia="仿宋" w:cs="Arial"/>
              <w:sz w:val="24"/>
            </w:rPr>
          </w:pPr>
          <w:r>
            <w:fldChar w:fldCharType="begin"/>
          </w:r>
          <w:r>
            <w:instrText xml:space="preserve"> HYPERLINK \l "_Toc346038640" </w:instrText>
          </w:r>
          <w:r>
            <w:fldChar w:fldCharType="separate"/>
          </w:r>
          <w:r>
            <w:rPr>
              <w:rFonts w:hint="eastAsia" w:ascii="仿宋" w:hAnsi="仿宋" w:eastAsia="仿宋"/>
              <w:bCs/>
              <w:sz w:val="24"/>
            </w:rPr>
            <w:t>三、</w:t>
          </w:r>
          <w:r>
            <w:rPr>
              <w:rFonts w:ascii="仿宋" w:hAnsi="仿宋" w:eastAsia="仿宋" w:cs="Arial"/>
              <w:sz w:val="24"/>
            </w:rPr>
            <w:tab/>
          </w:r>
          <w:r>
            <w:rPr>
              <w:rFonts w:hint="eastAsia" w:ascii="仿宋" w:hAnsi="仿宋" w:eastAsia="仿宋"/>
              <w:sz w:val="24"/>
            </w:rPr>
            <w:t>支</w:t>
          </w:r>
          <w:r>
            <w:rPr>
              <w:rFonts w:hint="eastAsia" w:ascii="仿宋" w:hAnsi="仿宋" w:eastAsia="仿宋"/>
              <w:bCs/>
              <w:sz w:val="24"/>
            </w:rPr>
            <w:t>出决算情况说明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_Toc346038640 \h </w:instrText>
          </w:r>
          <w:r>
            <w:rPr>
              <w:rFonts w:ascii="仿宋" w:hAnsi="仿宋" w:eastAsia="仿宋"/>
              <w:sz w:val="24"/>
            </w:rPr>
            <w:fldChar w:fldCharType="separate"/>
          </w:r>
          <w:r>
            <w:rPr>
              <w:rFonts w:ascii="仿宋" w:hAnsi="仿宋" w:eastAsia="仿宋"/>
              <w:sz w:val="24"/>
            </w:rPr>
            <w:t>6</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"_Toc346038643" </w:instrText>
          </w:r>
          <w:r>
            <w:fldChar w:fldCharType="separate"/>
          </w:r>
          <w:r>
            <w:rPr>
              <w:rFonts w:hint="eastAsia" w:ascii="仿宋" w:hAnsi="仿宋" w:eastAsia="仿宋"/>
              <w:sz w:val="24"/>
            </w:rPr>
            <w:t>四、财</w:t>
          </w:r>
          <w:r>
            <w:rPr>
              <w:rFonts w:hint="eastAsia" w:ascii="仿宋" w:hAnsi="仿宋" w:eastAsia="仿宋"/>
              <w:bCs/>
              <w:sz w:val="24"/>
            </w:rPr>
            <w:t>政拨款收入支出决算总体情况说明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_Toc346038643 \h </w:instrText>
          </w:r>
          <w:r>
            <w:rPr>
              <w:rFonts w:ascii="仿宋" w:hAnsi="仿宋" w:eastAsia="仿宋"/>
              <w:sz w:val="24"/>
            </w:rPr>
            <w:fldChar w:fldCharType="separate"/>
          </w:r>
          <w:r>
            <w:rPr>
              <w:rFonts w:ascii="仿宋" w:hAnsi="仿宋" w:eastAsia="仿宋"/>
              <w:sz w:val="24"/>
            </w:rPr>
            <w:t>7</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"_Toc346038644" </w:instrText>
          </w:r>
          <w:r>
            <w:fldChar w:fldCharType="separate"/>
          </w:r>
          <w:r>
            <w:rPr>
              <w:rFonts w:hint="eastAsia" w:ascii="仿宋" w:hAnsi="仿宋" w:eastAsia="仿宋"/>
              <w:sz w:val="24"/>
            </w:rPr>
            <w:t>五、一</w:t>
          </w:r>
          <w:r>
            <w:rPr>
              <w:rFonts w:hint="eastAsia" w:ascii="仿宋" w:hAnsi="仿宋" w:eastAsia="仿宋"/>
              <w:bCs/>
              <w:sz w:val="24"/>
            </w:rPr>
            <w:t>般公共预算财政拨款支出决算情况说明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_Toc346038644 \h </w:instrText>
          </w:r>
          <w:r>
            <w:rPr>
              <w:rFonts w:ascii="仿宋" w:hAnsi="仿宋" w:eastAsia="仿宋"/>
              <w:sz w:val="24"/>
            </w:rPr>
            <w:fldChar w:fldCharType="separate"/>
          </w:r>
          <w:r>
            <w:rPr>
              <w:rFonts w:ascii="仿宋" w:hAnsi="仿宋" w:eastAsia="仿宋"/>
              <w:sz w:val="24"/>
            </w:rPr>
            <w:t>8</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"_Toc346038645" </w:instrText>
          </w:r>
          <w:r>
            <w:fldChar w:fldCharType="separate"/>
          </w:r>
          <w:r>
            <w:rPr>
              <w:rFonts w:hint="eastAsia" w:ascii="仿宋" w:hAnsi="仿宋" w:eastAsia="仿宋"/>
              <w:sz w:val="24"/>
            </w:rPr>
            <w:t>（一）一般公共预算财政拨款支出决算总体情况</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_Toc346038645 \h </w:instrText>
          </w:r>
          <w:r>
            <w:rPr>
              <w:rFonts w:ascii="仿宋" w:hAnsi="仿宋" w:eastAsia="仿宋"/>
              <w:sz w:val="24"/>
            </w:rPr>
            <w:fldChar w:fldCharType="separate"/>
          </w:r>
          <w:r>
            <w:rPr>
              <w:rFonts w:ascii="仿宋" w:hAnsi="仿宋" w:eastAsia="仿宋"/>
              <w:sz w:val="24"/>
            </w:rPr>
            <w:t>8</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"_Toc346038646" </w:instrText>
          </w:r>
          <w:r>
            <w:fldChar w:fldCharType="separate"/>
          </w:r>
          <w:r>
            <w:rPr>
              <w:rFonts w:hint="eastAsia" w:ascii="仿宋" w:hAnsi="仿宋" w:eastAsia="仿宋"/>
              <w:sz w:val="24"/>
            </w:rPr>
            <w:t>（二）一般公共预算财政拨款支出决算结构情况</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_Toc346038646 \h </w:instrText>
          </w:r>
          <w:r>
            <w:rPr>
              <w:rFonts w:ascii="仿宋" w:hAnsi="仿宋" w:eastAsia="仿宋"/>
              <w:sz w:val="24"/>
            </w:rPr>
            <w:fldChar w:fldCharType="separate"/>
          </w:r>
          <w:r>
            <w:rPr>
              <w:rFonts w:ascii="仿宋" w:hAnsi="仿宋" w:eastAsia="仿宋"/>
              <w:sz w:val="24"/>
            </w:rPr>
            <w:t>9</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"_Toc346038647" </w:instrText>
          </w:r>
          <w:r>
            <w:fldChar w:fldCharType="separate"/>
          </w:r>
          <w:r>
            <w:rPr>
              <w:rFonts w:hint="eastAsia" w:ascii="仿宋" w:hAnsi="仿宋" w:eastAsia="仿宋"/>
              <w:sz w:val="24"/>
            </w:rPr>
            <w:t>（三）一般公共预算财政拨款支出决算具体情况</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_Toc346038647 \h </w:instrText>
          </w:r>
          <w:r>
            <w:rPr>
              <w:rFonts w:ascii="仿宋" w:hAnsi="仿宋" w:eastAsia="仿宋"/>
              <w:sz w:val="24"/>
            </w:rPr>
            <w:fldChar w:fldCharType="separate"/>
          </w:r>
          <w:r>
            <w:rPr>
              <w:rFonts w:ascii="仿宋" w:hAnsi="仿宋" w:eastAsia="仿宋"/>
              <w:sz w:val="24"/>
            </w:rPr>
            <w:t>9</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"_Toc346038649" </w:instrText>
          </w:r>
          <w:r>
            <w:fldChar w:fldCharType="separate"/>
          </w:r>
          <w:r>
            <w:rPr>
              <w:rFonts w:hint="eastAsia" w:ascii="仿宋" w:hAnsi="仿宋" w:eastAsia="仿宋"/>
              <w:sz w:val="24"/>
            </w:rPr>
            <w:t>六、一</w:t>
          </w:r>
          <w:r>
            <w:rPr>
              <w:rFonts w:hint="eastAsia" w:ascii="仿宋" w:hAnsi="仿宋" w:eastAsia="仿宋"/>
              <w:bCs/>
              <w:sz w:val="24"/>
            </w:rPr>
            <w:t>般公共预算财政拨款基本支出决算情况说明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_Toc346038649 \h </w:instrText>
          </w:r>
          <w:r>
            <w:rPr>
              <w:rFonts w:ascii="仿宋" w:hAnsi="仿宋" w:eastAsia="仿宋"/>
              <w:sz w:val="24"/>
            </w:rPr>
            <w:fldChar w:fldCharType="separate"/>
          </w:r>
          <w:r>
            <w:rPr>
              <w:rFonts w:ascii="仿宋" w:hAnsi="仿宋" w:eastAsia="仿宋"/>
              <w:sz w:val="24"/>
            </w:rPr>
            <w:t>10</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"_Toc346038650" </w:instrText>
          </w:r>
          <w:r>
            <w:fldChar w:fldCharType="separate"/>
          </w:r>
          <w:r>
            <w:rPr>
              <w:rFonts w:hint="eastAsia" w:ascii="仿宋" w:hAnsi="仿宋" w:eastAsia="仿宋"/>
              <w:sz w:val="24"/>
            </w:rPr>
            <w:t>七、</w:t>
          </w:r>
          <w:r>
            <w:rPr>
              <w:rFonts w:hint="eastAsia" w:ascii="仿宋" w:hAnsi="仿宋" w:eastAsia="仿宋"/>
              <w:bCs/>
              <w:sz w:val="24"/>
            </w:rPr>
            <w:t>财政拨款</w:t>
          </w:r>
          <w:r>
            <w:rPr>
              <w:rFonts w:ascii="仿宋" w:hAnsi="仿宋" w:eastAsia="仿宋"/>
              <w:bCs/>
              <w:sz w:val="24"/>
            </w:rPr>
            <w:t>“</w:t>
          </w:r>
          <w:r>
            <w:rPr>
              <w:rFonts w:hint="eastAsia" w:ascii="仿宋" w:hAnsi="仿宋" w:eastAsia="仿宋"/>
              <w:bCs/>
              <w:sz w:val="24"/>
            </w:rPr>
            <w:t>三公”经费支出决算情况说明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_Toc346038650 \h </w:instrText>
          </w:r>
          <w:r>
            <w:rPr>
              <w:rFonts w:ascii="仿宋" w:hAnsi="仿宋" w:eastAsia="仿宋"/>
              <w:sz w:val="24"/>
            </w:rPr>
            <w:fldChar w:fldCharType="separate"/>
          </w:r>
          <w:r>
            <w:rPr>
              <w:rFonts w:ascii="仿宋" w:hAnsi="仿宋" w:eastAsia="仿宋"/>
              <w:sz w:val="24"/>
            </w:rPr>
            <w:t>11</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"_Toc346038651" </w:instrText>
          </w:r>
          <w:r>
            <w:fldChar w:fldCharType="separate"/>
          </w:r>
          <w:r>
            <w:rPr>
              <w:rFonts w:hint="eastAsia" w:ascii="仿宋" w:hAnsi="仿宋" w:eastAsia="仿宋"/>
              <w:sz w:val="24"/>
            </w:rPr>
            <w:t>（一）“三公”经费财政拨款支出决算总体情况说明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_Toc346038651 \h </w:instrText>
          </w:r>
          <w:r>
            <w:rPr>
              <w:rFonts w:ascii="仿宋" w:hAnsi="仿宋" w:eastAsia="仿宋"/>
              <w:sz w:val="24"/>
            </w:rPr>
            <w:fldChar w:fldCharType="separate"/>
          </w:r>
          <w:r>
            <w:rPr>
              <w:rFonts w:ascii="仿宋" w:hAnsi="仿宋" w:eastAsia="仿宋"/>
              <w:sz w:val="24"/>
            </w:rPr>
            <w:t>11</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"_Toc346038652" </w:instrText>
          </w:r>
          <w:r>
            <w:fldChar w:fldCharType="separate"/>
          </w:r>
          <w:r>
            <w:rPr>
              <w:rFonts w:hint="eastAsia" w:ascii="仿宋" w:hAnsi="仿宋" w:eastAsia="仿宋"/>
              <w:sz w:val="24"/>
            </w:rPr>
            <w:t>（二）“三公”经费财政拨款支出决算具体情况说明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_Toc346038652 \h </w:instrText>
          </w:r>
          <w:r>
            <w:rPr>
              <w:rFonts w:ascii="仿宋" w:hAnsi="仿宋" w:eastAsia="仿宋"/>
              <w:sz w:val="24"/>
            </w:rPr>
            <w:fldChar w:fldCharType="separate"/>
          </w:r>
          <w:r>
            <w:rPr>
              <w:rFonts w:ascii="仿宋" w:hAnsi="仿宋" w:eastAsia="仿宋"/>
              <w:sz w:val="24"/>
            </w:rPr>
            <w:t>11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"_Toc346038653" </w:instrText>
          </w:r>
          <w:r>
            <w:fldChar w:fldCharType="separate"/>
          </w:r>
          <w:r>
            <w:rPr>
              <w:rFonts w:hint="eastAsia" w:ascii="仿宋" w:hAnsi="仿宋" w:eastAsia="仿宋"/>
              <w:sz w:val="24"/>
            </w:rPr>
            <w:t>八、</w:t>
          </w:r>
          <w:r>
            <w:rPr>
              <w:rFonts w:hint="eastAsia" w:ascii="仿宋" w:hAnsi="仿宋" w:eastAsia="仿宋"/>
              <w:bCs/>
              <w:sz w:val="24"/>
            </w:rPr>
            <w:t>政府性基金预算支出决算情况说明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_Toc346038653 \h </w:instrText>
          </w:r>
          <w:r>
            <w:rPr>
              <w:rFonts w:ascii="仿宋" w:hAnsi="仿宋" w:eastAsia="仿宋"/>
              <w:sz w:val="24"/>
            </w:rPr>
            <w:fldChar w:fldCharType="separate"/>
          </w:r>
          <w:r>
            <w:rPr>
              <w:rFonts w:ascii="仿宋" w:hAnsi="仿宋" w:eastAsia="仿宋"/>
              <w:sz w:val="24"/>
            </w:rPr>
            <w:t>13</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"_Toc346038654" </w:instrText>
          </w:r>
          <w:r>
            <w:fldChar w:fldCharType="separate"/>
          </w:r>
          <w:r>
            <w:rPr>
              <w:rFonts w:hint="eastAsia" w:ascii="仿宋" w:hAnsi="仿宋" w:eastAsia="仿宋"/>
              <w:bCs/>
              <w:sz w:val="24"/>
            </w:rPr>
            <w:t>九、 国有资本经营预算支出决算情况说明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_Toc346038654 \h </w:instrText>
          </w:r>
          <w:r>
            <w:rPr>
              <w:rFonts w:ascii="仿宋" w:hAnsi="仿宋" w:eastAsia="仿宋"/>
              <w:sz w:val="24"/>
            </w:rPr>
            <w:fldChar w:fldCharType="separate"/>
          </w:r>
          <w:r>
            <w:rPr>
              <w:rFonts w:ascii="仿宋" w:hAnsi="仿宋" w:eastAsia="仿宋"/>
              <w:sz w:val="24"/>
            </w:rPr>
            <w:t>13</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"_Toc346038655" </w:instrText>
          </w:r>
          <w:r>
            <w:fldChar w:fldCharType="separate"/>
          </w:r>
          <w:r>
            <w:rPr>
              <w:rFonts w:hint="eastAsia" w:ascii="仿宋" w:hAnsi="仿宋" w:eastAsia="仿宋"/>
              <w:bCs/>
              <w:sz w:val="24"/>
            </w:rPr>
            <w:t>十、 其他重要事项的情况说明</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_Toc346038655 \h </w:instrText>
          </w:r>
          <w:r>
            <w:rPr>
              <w:rFonts w:ascii="仿宋" w:hAnsi="仿宋" w:eastAsia="仿宋"/>
              <w:sz w:val="24"/>
            </w:rPr>
            <w:fldChar w:fldCharType="separate"/>
          </w:r>
          <w:r>
            <w:rPr>
              <w:rFonts w:ascii="仿宋" w:hAnsi="仿宋" w:eastAsia="仿宋"/>
              <w:sz w:val="24"/>
            </w:rPr>
            <w:t>13</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"_Toc346038656" </w:instrText>
          </w:r>
          <w:r>
            <w:fldChar w:fldCharType="separate"/>
          </w:r>
          <w:r>
            <w:rPr>
              <w:rFonts w:hint="eastAsia" w:ascii="仿宋" w:hAnsi="仿宋" w:eastAsia="仿宋"/>
              <w:sz w:val="24"/>
            </w:rPr>
            <w:t>（一）机关运行经费支出情况</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_Toc346038656 \h </w:instrText>
          </w:r>
          <w:r>
            <w:rPr>
              <w:rFonts w:ascii="仿宋" w:hAnsi="仿宋" w:eastAsia="仿宋"/>
              <w:sz w:val="24"/>
            </w:rPr>
            <w:fldChar w:fldCharType="separate"/>
          </w:r>
          <w:r>
            <w:rPr>
              <w:rFonts w:ascii="仿宋" w:hAnsi="仿宋" w:eastAsia="仿宋"/>
              <w:sz w:val="24"/>
            </w:rPr>
            <w:t>13</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"_Toc346038657" </w:instrText>
          </w:r>
          <w:r>
            <w:fldChar w:fldCharType="separate"/>
          </w:r>
          <w:r>
            <w:rPr>
              <w:rFonts w:hint="eastAsia" w:ascii="仿宋" w:hAnsi="仿宋" w:eastAsia="仿宋"/>
              <w:sz w:val="24"/>
            </w:rPr>
            <w:t>（二）政府采购支出情况</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_Toc346038657 \h </w:instrText>
          </w:r>
          <w:r>
            <w:rPr>
              <w:rFonts w:ascii="仿宋" w:hAnsi="仿宋" w:eastAsia="仿宋"/>
              <w:sz w:val="24"/>
            </w:rPr>
            <w:fldChar w:fldCharType="separate"/>
          </w:r>
          <w:r>
            <w:rPr>
              <w:rFonts w:ascii="仿宋" w:hAnsi="仿宋" w:eastAsia="仿宋"/>
              <w:sz w:val="24"/>
            </w:rPr>
            <w:t>14</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"_Toc346038658" </w:instrText>
          </w:r>
          <w:r>
            <w:fldChar w:fldCharType="separate"/>
          </w:r>
          <w:r>
            <w:rPr>
              <w:rFonts w:hint="eastAsia" w:ascii="仿宋" w:hAnsi="仿宋" w:eastAsia="仿宋"/>
              <w:sz w:val="24"/>
            </w:rPr>
            <w:t>（三）国有资产占有使用情况</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_Toc346038658 \h </w:instrText>
          </w:r>
          <w:r>
            <w:rPr>
              <w:rFonts w:ascii="仿宋" w:hAnsi="仿宋" w:eastAsia="仿宋"/>
              <w:sz w:val="24"/>
            </w:rPr>
            <w:fldChar w:fldCharType="separate"/>
          </w:r>
          <w:r>
            <w:rPr>
              <w:rFonts w:ascii="仿宋" w:hAnsi="仿宋" w:eastAsia="仿宋"/>
              <w:sz w:val="24"/>
            </w:rPr>
            <w:t>14</w:t>
          </w:r>
          <w:r>
            <w:rPr>
              <w:rFonts w:ascii="仿宋" w:hAnsi="仿宋" w:eastAsia="仿宋"/>
              <w:sz w:val="24"/>
            </w:rPr>
            <w:fldChar w:fldCharType="end"/>
          </w:r>
          <w:r>
            <w:rPr>
              <w:rFonts w:ascii="仿宋" w:hAnsi="仿宋" w:eastAsia="仿宋"/>
              <w:sz w:val="24"/>
            </w:rPr>
            <w:fldChar w:fldCharType="end"/>
          </w:r>
        </w:p>
        <w:p>
          <w:pPr>
            <w:pStyle w:val="8"/>
            <w:rPr>
              <w:rFonts w:ascii="仿宋" w:hAnsi="仿宋" w:eastAsia="仿宋" w:cs="Arial"/>
              <w:sz w:val="24"/>
            </w:rPr>
          </w:pPr>
          <w:r>
            <w:fldChar w:fldCharType="begin"/>
          </w:r>
          <w:r>
            <w:instrText xml:space="preserve"> HYPERLINK \l "_Toc346038659" </w:instrText>
          </w:r>
          <w:r>
            <w:fldChar w:fldCharType="separate"/>
          </w:r>
          <w:r>
            <w:rPr>
              <w:rFonts w:hint="eastAsia" w:ascii="仿宋" w:hAnsi="仿宋" w:eastAsia="仿宋"/>
              <w:sz w:val="24"/>
            </w:rPr>
            <w:t>（四）预算绩效管理情况</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_Toc346038659 \h </w:instrText>
          </w:r>
          <w:r>
            <w:rPr>
              <w:rFonts w:ascii="仿宋" w:hAnsi="仿宋" w:eastAsia="仿宋"/>
              <w:sz w:val="24"/>
            </w:rPr>
            <w:fldChar w:fldCharType="separate"/>
          </w:r>
          <w:r>
            <w:rPr>
              <w:rFonts w:ascii="仿宋" w:hAnsi="仿宋" w:eastAsia="仿宋"/>
              <w:sz w:val="24"/>
            </w:rPr>
            <w:t>14</w:t>
          </w:r>
          <w:r>
            <w:rPr>
              <w:rFonts w:ascii="仿宋" w:hAnsi="仿宋" w:eastAsia="仿宋"/>
              <w:sz w:val="24"/>
            </w:rPr>
            <w:fldChar w:fldCharType="end"/>
          </w:r>
          <w:r>
            <w:rPr>
              <w:rFonts w:ascii="仿宋" w:hAnsi="仿宋" w:eastAsia="仿宋"/>
              <w:sz w:val="24"/>
            </w:rPr>
            <w:fldChar w:fldCharType="end"/>
          </w:r>
        </w:p>
        <w:p>
          <w:pPr>
            <w:pStyle w:val="12"/>
            <w:rPr>
              <w:rFonts w:cs="Arial"/>
              <w:sz w:val="24"/>
              <w:szCs w:val="24"/>
            </w:rPr>
          </w:pPr>
          <w:r>
            <w:fldChar w:fldCharType="begin"/>
          </w:r>
          <w:r>
            <w:instrText xml:space="preserve"> HYPERLINK \l "_Toc346038660" </w:instrText>
          </w:r>
          <w:r>
            <w:fldChar w:fldCharType="separate"/>
          </w:r>
          <w:r>
            <w:rPr>
              <w:rFonts w:hint="eastAsia" w:cs="黑体"/>
              <w:bCs/>
              <w:kern w:val="44"/>
              <w:sz w:val="24"/>
              <w:szCs w:val="24"/>
            </w:rPr>
            <w:t>第三部分</w:t>
          </w:r>
          <w:r>
            <w:rPr>
              <w:rFonts w:hint="eastAsia"/>
              <w:sz w:val="24"/>
              <w:szCs w:val="24"/>
            </w:rPr>
            <w:t xml:space="preserve"> 名</w:t>
          </w:r>
          <w:r>
            <w:rPr>
              <w:rFonts w:hint="eastAsia"/>
              <w:bCs/>
              <w:kern w:val="44"/>
              <w:sz w:val="24"/>
              <w:szCs w:val="24"/>
            </w:rPr>
            <w:t>词解释</w:t>
          </w:r>
          <w:r>
            <w:rPr>
              <w:sz w:val="24"/>
              <w:szCs w:val="24"/>
            </w:rPr>
            <w:tab/>
          </w:r>
          <w:r>
            <w:rPr>
              <w:sz w:val="24"/>
              <w:szCs w:val="24"/>
            </w:rPr>
            <w:fldChar w:fldCharType="begin"/>
          </w:r>
          <w:r>
            <w:rPr>
              <w:sz w:val="24"/>
              <w:szCs w:val="24"/>
            </w:rPr>
            <w:instrText xml:space="preserve"> PAGEREF _Toc346038660 \h </w:instrText>
          </w:r>
          <w:r>
            <w:rPr>
              <w:sz w:val="24"/>
              <w:szCs w:val="24"/>
            </w:rPr>
            <w:fldChar w:fldCharType="separate"/>
          </w:r>
          <w:r>
            <w:rPr>
              <w:sz w:val="24"/>
              <w:szCs w:val="24"/>
            </w:rPr>
            <w:t>15</w:t>
          </w:r>
          <w:r>
            <w:rPr>
              <w:sz w:val="24"/>
              <w:szCs w:val="24"/>
            </w:rPr>
            <w:fldChar w:fldCharType="end"/>
          </w:r>
          <w:r>
            <w:rPr>
              <w:sz w:val="24"/>
              <w:szCs w:val="24"/>
            </w:rPr>
            <w:fldChar w:fldCharType="end"/>
          </w:r>
        </w:p>
        <w:p>
          <w:pPr>
            <w:pStyle w:val="12"/>
            <w:rPr>
              <w:rFonts w:cs="Arial"/>
              <w:sz w:val="24"/>
              <w:szCs w:val="24"/>
            </w:rPr>
          </w:pPr>
          <w:r>
            <w:fldChar w:fldCharType="begin"/>
          </w:r>
          <w:r>
            <w:instrText xml:space="preserve"> HYPERLINK \l "_Toc346038661" </w:instrText>
          </w:r>
          <w:r>
            <w:fldChar w:fldCharType="separate"/>
          </w:r>
          <w:r>
            <w:rPr>
              <w:rFonts w:hint="eastAsia"/>
              <w:sz w:val="24"/>
              <w:szCs w:val="24"/>
            </w:rPr>
            <w:t>第</w:t>
          </w:r>
          <w:r>
            <w:rPr>
              <w:rFonts w:hint="eastAsia"/>
              <w:bCs/>
              <w:kern w:val="44"/>
              <w:sz w:val="24"/>
              <w:szCs w:val="24"/>
            </w:rPr>
            <w:t>四部分附件</w:t>
          </w:r>
          <w:r>
            <w:rPr>
              <w:sz w:val="24"/>
              <w:szCs w:val="24"/>
            </w:rPr>
            <w:tab/>
          </w:r>
          <w:r>
            <w:rPr>
              <w:sz w:val="24"/>
              <w:szCs w:val="24"/>
            </w:rPr>
            <w:fldChar w:fldCharType="begin"/>
          </w:r>
          <w:r>
            <w:rPr>
              <w:sz w:val="24"/>
              <w:szCs w:val="24"/>
            </w:rPr>
            <w:instrText xml:space="preserve"> PAGEREF _Toc346038661 \h </w:instrText>
          </w:r>
          <w:r>
            <w:rPr>
              <w:sz w:val="24"/>
              <w:szCs w:val="24"/>
            </w:rPr>
            <w:fldChar w:fldCharType="separate"/>
          </w:r>
          <w:r>
            <w:rPr>
              <w:sz w:val="24"/>
              <w:szCs w:val="24"/>
            </w:rPr>
            <w:t>15</w:t>
          </w:r>
          <w:r>
            <w:rPr>
              <w:sz w:val="24"/>
              <w:szCs w:val="24"/>
            </w:rPr>
            <w:fldChar w:fldCharType="end"/>
          </w:r>
          <w:r>
            <w:rPr>
              <w:sz w:val="24"/>
              <w:szCs w:val="24"/>
            </w:rPr>
            <w:fldChar w:fldCharType="end"/>
          </w:r>
        </w:p>
        <w:p>
          <w:pPr>
            <w:pStyle w:val="12"/>
            <w:rPr>
              <w:rFonts w:cs="Arial"/>
              <w:sz w:val="24"/>
              <w:szCs w:val="24"/>
            </w:rPr>
          </w:pPr>
          <w:r>
            <w:fldChar w:fldCharType="begin"/>
          </w:r>
          <w:r>
            <w:instrText xml:space="preserve"> HYPERLINK \l "_Toc346038662" </w:instrText>
          </w:r>
          <w:r>
            <w:fldChar w:fldCharType="separate"/>
          </w:r>
          <w:r>
            <w:rPr>
              <w:rFonts w:hint="eastAsia"/>
              <w:sz w:val="24"/>
              <w:szCs w:val="24"/>
            </w:rPr>
            <w:t>第</w:t>
          </w:r>
          <w:r>
            <w:rPr>
              <w:rFonts w:hint="eastAsia"/>
              <w:bCs/>
              <w:kern w:val="44"/>
              <w:sz w:val="24"/>
              <w:szCs w:val="24"/>
            </w:rPr>
            <w:t>五部分附表</w:t>
          </w:r>
          <w:r>
            <w:rPr>
              <w:sz w:val="24"/>
              <w:szCs w:val="24"/>
            </w:rPr>
            <w:tab/>
          </w:r>
          <w:r>
            <w:rPr>
              <w:sz w:val="24"/>
              <w:szCs w:val="24"/>
            </w:rPr>
            <w:fldChar w:fldCharType="begin"/>
          </w:r>
          <w:r>
            <w:rPr>
              <w:sz w:val="24"/>
              <w:szCs w:val="24"/>
            </w:rPr>
            <w:instrText xml:space="preserve"> PAGEREF _Toc346038662 \h </w:instrText>
          </w:r>
          <w:r>
            <w:rPr>
              <w:sz w:val="24"/>
              <w:szCs w:val="24"/>
            </w:rPr>
            <w:fldChar w:fldCharType="separate"/>
          </w:r>
          <w:r>
            <w:rPr>
              <w:sz w:val="24"/>
              <w:szCs w:val="24"/>
            </w:rPr>
            <w:t>20</w:t>
          </w:r>
          <w:r>
            <w:rPr>
              <w:sz w:val="24"/>
              <w:szCs w:val="24"/>
            </w:rPr>
            <w:fldChar w:fldCharType="end"/>
          </w:r>
          <w:r>
            <w:rPr>
              <w:sz w:val="24"/>
              <w:szCs w:val="24"/>
            </w:rPr>
            <w:fldChar w:fldCharType="end"/>
          </w:r>
        </w:p>
        <w:p>
          <w:pPr>
            <w:pStyle w:val="13"/>
            <w:rPr>
              <w:rFonts w:ascii="仿宋" w:hAnsi="仿宋" w:eastAsia="仿宋" w:cs="Arial"/>
              <w:sz w:val="24"/>
            </w:rPr>
          </w:pPr>
          <w:r>
            <w:fldChar w:fldCharType="begin"/>
          </w:r>
          <w:r>
            <w:instrText xml:space="preserve"> HYPERLINK \l "_Toc346038663" </w:instrText>
          </w:r>
          <w:r>
            <w:fldChar w:fldCharType="separate"/>
          </w:r>
          <w:r>
            <w:rPr>
              <w:rFonts w:hint="eastAsia" w:ascii="仿宋" w:hAnsi="仿宋" w:eastAsia="仿宋"/>
              <w:sz w:val="24"/>
            </w:rPr>
            <w:t>一、收入支出决算总表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_Toc346038663 \h </w:instrText>
          </w:r>
          <w:r>
            <w:rPr>
              <w:rFonts w:ascii="仿宋" w:hAnsi="仿宋" w:eastAsia="仿宋"/>
              <w:sz w:val="24"/>
            </w:rPr>
            <w:fldChar w:fldCharType="separate"/>
          </w:r>
          <w:r>
            <w:rPr>
              <w:rFonts w:ascii="仿宋" w:hAnsi="仿宋" w:eastAsia="仿宋"/>
              <w:sz w:val="24"/>
            </w:rPr>
            <w:t>20</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"_Toc346038664" </w:instrText>
          </w:r>
          <w:r>
            <w:fldChar w:fldCharType="separate"/>
          </w:r>
          <w:r>
            <w:rPr>
              <w:rFonts w:hint="eastAsia" w:ascii="仿宋" w:hAnsi="仿宋" w:eastAsia="仿宋"/>
              <w:sz w:val="24"/>
            </w:rPr>
            <w:t>二、收入决算表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_Toc346038664 \h </w:instrText>
          </w:r>
          <w:r>
            <w:rPr>
              <w:rFonts w:ascii="仿宋" w:hAnsi="仿宋" w:eastAsia="仿宋"/>
              <w:sz w:val="24"/>
            </w:rPr>
            <w:fldChar w:fldCharType="separate"/>
          </w:r>
          <w:r>
            <w:rPr>
              <w:rFonts w:ascii="仿宋" w:hAnsi="仿宋" w:eastAsia="仿宋"/>
              <w:sz w:val="24"/>
            </w:rPr>
            <w:t>20</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"_Toc346038665" </w:instrText>
          </w:r>
          <w:r>
            <w:fldChar w:fldCharType="separate"/>
          </w:r>
          <w:r>
            <w:rPr>
              <w:rFonts w:hint="eastAsia" w:ascii="仿宋" w:hAnsi="仿宋" w:eastAsia="仿宋"/>
              <w:sz w:val="24"/>
            </w:rPr>
            <w:t>三、支出决算表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_Toc346038665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"_Toc346038666" </w:instrText>
          </w:r>
          <w:r>
            <w:fldChar w:fldCharType="separate"/>
          </w:r>
          <w:r>
            <w:rPr>
              <w:rFonts w:hint="eastAsia" w:ascii="仿宋" w:hAnsi="仿宋" w:eastAsia="仿宋"/>
              <w:sz w:val="24"/>
            </w:rPr>
            <w:t>四、财政拨款收入支出决算总表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_Toc346038666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"_Toc346038667" </w:instrText>
          </w:r>
          <w:r>
            <w:fldChar w:fldCharType="separate"/>
          </w:r>
          <w:r>
            <w:rPr>
              <w:rFonts w:hint="eastAsia" w:ascii="仿宋" w:hAnsi="仿宋" w:eastAsia="仿宋"/>
              <w:sz w:val="24"/>
            </w:rPr>
            <w:t>五、财政拨款支出决算明细表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_Toc346038667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"_Toc346038668" </w:instrText>
          </w:r>
          <w:r>
            <w:fldChar w:fldCharType="separate"/>
          </w:r>
          <w:r>
            <w:rPr>
              <w:rFonts w:hint="eastAsia" w:ascii="仿宋" w:hAnsi="仿宋" w:eastAsia="仿宋"/>
              <w:sz w:val="24"/>
            </w:rPr>
            <w:t>六、一般公共预算财政拨款支出决算表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_Toc346038668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"_Toc346038669" </w:instrText>
          </w:r>
          <w:r>
            <w:fldChar w:fldCharType="separate"/>
          </w:r>
          <w:r>
            <w:rPr>
              <w:rFonts w:hint="eastAsia" w:ascii="仿宋" w:hAnsi="仿宋" w:eastAsia="仿宋"/>
              <w:sz w:val="24"/>
            </w:rPr>
            <w:t>七、一般公共预算财政拨款支出决算明细表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_Toc346038669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"_Toc346038670" </w:instrText>
          </w:r>
          <w:r>
            <w:fldChar w:fldCharType="separate"/>
          </w:r>
          <w:r>
            <w:rPr>
              <w:rFonts w:hint="eastAsia" w:ascii="仿宋" w:hAnsi="仿宋" w:eastAsia="仿宋"/>
              <w:sz w:val="24"/>
            </w:rPr>
            <w:t>八、一般公共预算财政拨款基本支出决算表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_Toc346038670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"_Toc346038671" </w:instrText>
          </w:r>
          <w:r>
            <w:fldChar w:fldCharType="separate"/>
          </w:r>
          <w:r>
            <w:rPr>
              <w:rFonts w:hint="eastAsia" w:ascii="仿宋" w:hAnsi="仿宋" w:eastAsia="仿宋"/>
              <w:sz w:val="24"/>
            </w:rPr>
            <w:t>九、一般公共预算财政拨款项目支出决算表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_Toc346038671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"_Toc346038672" </w:instrText>
          </w:r>
          <w:r>
            <w:fldChar w:fldCharType="separate"/>
          </w:r>
          <w:r>
            <w:rPr>
              <w:rFonts w:hint="eastAsia" w:ascii="仿宋" w:hAnsi="仿宋" w:eastAsia="仿宋"/>
              <w:sz w:val="24"/>
            </w:rPr>
            <w:t>十、政府性基金预算财政拨款收入支出决算表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_Toc346038672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"_Toc346038673" </w:instrText>
          </w:r>
          <w:r>
            <w:fldChar w:fldCharType="separate"/>
          </w:r>
          <w:r>
            <w:rPr>
              <w:rFonts w:hint="eastAsia" w:ascii="仿宋" w:hAnsi="仿宋" w:eastAsia="仿宋"/>
              <w:sz w:val="24"/>
            </w:rPr>
            <w:t>十一、国有资本经营预算财政拨款收入支出决算表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_Toc346038673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"_Toc346038674" </w:instrText>
          </w:r>
          <w:r>
            <w:fldChar w:fldCharType="separate"/>
          </w:r>
          <w:r>
            <w:rPr>
              <w:rFonts w:hint="eastAsia" w:ascii="仿宋" w:hAnsi="仿宋" w:eastAsia="仿宋"/>
              <w:sz w:val="24"/>
            </w:rPr>
            <w:t>十二、国有资本经营预算财政拨款支出决算表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_Toc346038674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pStyle w:val="13"/>
            <w:rPr>
              <w:rFonts w:ascii="仿宋" w:hAnsi="仿宋" w:eastAsia="仿宋" w:cs="Arial"/>
              <w:sz w:val="24"/>
            </w:rPr>
          </w:pPr>
          <w:r>
            <w:fldChar w:fldCharType="begin"/>
          </w:r>
          <w:r>
            <w:instrText xml:space="preserve"> HYPERLINK \l "_Toc346038675" </w:instrText>
          </w:r>
          <w:r>
            <w:fldChar w:fldCharType="separate"/>
          </w:r>
          <w:r>
            <w:rPr>
              <w:rFonts w:hint="eastAsia" w:ascii="仿宋" w:hAnsi="仿宋" w:eastAsia="仿宋"/>
              <w:sz w:val="24"/>
            </w:rPr>
            <w:t>十三、财政拨款“三公”经费支出决算表</w:t>
          </w:r>
          <w:r>
            <w:rPr>
              <w:rFonts w:ascii="仿宋" w:hAnsi="仿宋" w:eastAsia="仿宋"/>
              <w:sz w:val="24"/>
            </w:rPr>
            <w:tab/>
          </w:r>
          <w:r>
            <w:rPr>
              <w:rFonts w:ascii="仿宋" w:hAnsi="仿宋" w:eastAsia="仿宋"/>
              <w:sz w:val="24"/>
            </w:rPr>
            <w:fldChar w:fldCharType="begin"/>
          </w:r>
          <w:r>
            <w:rPr>
              <w:rFonts w:ascii="仿宋" w:hAnsi="仿宋" w:eastAsia="仿宋"/>
              <w:sz w:val="24"/>
            </w:rPr>
            <w:instrText xml:space="preserve"> PAGEREF _Toc346038675 \h </w:instrText>
          </w:r>
          <w:r>
            <w:rPr>
              <w:rFonts w:ascii="仿宋" w:hAnsi="仿宋" w:eastAsia="仿宋"/>
              <w:sz w:val="24"/>
            </w:rPr>
            <w:fldChar w:fldCharType="separate"/>
          </w:r>
          <w:r>
            <w:rPr>
              <w:rFonts w:ascii="仿宋" w:hAnsi="仿宋" w:eastAsia="仿宋"/>
              <w:sz w:val="24"/>
            </w:rPr>
            <w:t>21</w:t>
          </w:r>
          <w:r>
            <w:rPr>
              <w:rFonts w:ascii="仿宋" w:hAnsi="仿宋" w:eastAsia="仿宋"/>
              <w:sz w:val="24"/>
            </w:rPr>
            <w:fldChar w:fldCharType="end"/>
          </w:r>
          <w:r>
            <w:rPr>
              <w:rFonts w:ascii="仿宋" w:hAnsi="仿宋" w:eastAsia="仿宋"/>
              <w:sz w:val="24"/>
            </w:rPr>
            <w:fldChar w:fldCharType="end"/>
          </w:r>
        </w:p>
        <w:p>
          <w:pPr>
            <w:widowControl/>
            <w:spacing w:line="440" w:lineRule="exact"/>
            <w:jc w:val="left"/>
            <w:rPr>
              <w:rFonts w:ascii="仿宋" w:hAnsi="仿宋" w:eastAsia="仿宋"/>
              <w:sz w:val="24"/>
            </w:rPr>
          </w:pPr>
          <w:r>
            <w:rPr>
              <w:rFonts w:ascii="仿宋" w:hAnsi="仿宋" w:eastAsia="仿宋"/>
              <w:sz w:val="24"/>
            </w:rPr>
            <w:fldChar w:fldCharType="end"/>
          </w:r>
        </w:p>
      </w:sdtContent>
    </w:sdt>
    <w:p>
      <w:pPr>
        <w:widowControl/>
        <w:spacing w:line="440" w:lineRule="exact"/>
        <w:jc w:val="left"/>
        <w:rPr>
          <w:rFonts w:ascii="仿宋" w:hAnsi="仿宋" w:eastAsia="仿宋"/>
          <w:bCs/>
          <w:kern w:val="44"/>
          <w:sz w:val="24"/>
        </w:rPr>
      </w:pPr>
      <w:r>
        <w:rPr>
          <w:rFonts w:ascii="仿宋" w:hAnsi="仿宋" w:eastAsia="仿宋"/>
          <w:sz w:val="24"/>
        </w:rPr>
        <w:br w:type="page"/>
      </w:r>
    </w:p>
    <w:p>
      <w:pPr>
        <w:pStyle w:val="4"/>
        <w:jc w:val="center"/>
        <w:rPr>
          <w:rFonts w:ascii="黑体" w:hAnsi="黑体" w:eastAsia="黑体"/>
          <w:bCs w:val="0"/>
        </w:rPr>
      </w:pPr>
      <w:r>
        <w:rPr>
          <w:rFonts w:hint="eastAsia" w:ascii="黑体" w:hAnsi="黑体" w:eastAsia="黑体"/>
          <w:b w:val="0"/>
        </w:rPr>
        <w:t xml:space="preserve">第一部分 </w:t>
      </w:r>
      <w:r>
        <w:rPr>
          <w:rFonts w:hint="eastAsia" w:ascii="黑体" w:hAnsi="黑体" w:eastAsia="黑体"/>
          <w:b w:val="0"/>
          <w:lang w:eastAsia="zh-CN"/>
        </w:rPr>
        <w:t>部门</w:t>
      </w:r>
      <w:r>
        <w:rPr>
          <w:rStyle w:val="29"/>
          <w:rFonts w:hint="eastAsia" w:ascii="黑体" w:hAnsi="黑体" w:eastAsia="黑体"/>
          <w:b w:val="0"/>
          <w:bCs w:val="0"/>
        </w:rPr>
        <w:t>概况</w:t>
      </w:r>
      <w:bookmarkEnd w:id="13"/>
      <w:bookmarkEnd w:id="14"/>
    </w:p>
    <w:p>
      <w:pPr>
        <w:pStyle w:val="5"/>
        <w:numPr>
          <w:ilvl w:val="0"/>
          <w:numId w:val="1"/>
        </w:numPr>
        <w:rPr>
          <w:rStyle w:val="30"/>
          <w:rFonts w:ascii="黑体" w:hAnsi="黑体" w:eastAsia="黑体"/>
          <w:b w:val="0"/>
          <w:bCs w:val="0"/>
        </w:rPr>
      </w:pPr>
      <w:bookmarkStart w:id="15" w:name="_Toc15377197"/>
      <w:bookmarkStart w:id="16" w:name="_Toc15396600"/>
      <w:r>
        <w:rPr>
          <w:rStyle w:val="30"/>
          <w:rFonts w:hint="eastAsia" w:ascii="黑体" w:hAnsi="黑体" w:eastAsia="黑体"/>
          <w:b w:val="0"/>
          <w:bCs w:val="0"/>
        </w:rPr>
        <w:t>主要职责</w:t>
      </w:r>
    </w:p>
    <w:p>
      <w:pPr>
        <w:numPr>
          <w:ilvl w:val="0"/>
          <w:numId w:val="2"/>
        </w:numPr>
        <w:ind w:firstLine="640" w:firstLineChars="200"/>
        <w:rPr>
          <w:rFonts w:ascii="仿宋_GB2312" w:eastAsia="仿宋_GB2312" w:cs="宋体"/>
          <w:kern w:val="0"/>
          <w:sz w:val="32"/>
          <w:szCs w:val="32"/>
        </w:rPr>
      </w:pPr>
      <w:r>
        <w:rPr>
          <w:rFonts w:hint="eastAsia" w:ascii="仿宋_GB2312" w:eastAsia="仿宋_GB2312" w:cs="宋体"/>
          <w:kern w:val="0"/>
          <w:sz w:val="32"/>
          <w:szCs w:val="32"/>
        </w:rPr>
        <w:t>贯彻执行中央、省、州关于行政管理体制和机构改革、机构编制管理的方针政策、法律法规以及县委有关工作部署和要求，统一管理全县党政群机关（含党委、政府各部门，人大、政协、法院</w:t>
      </w:r>
      <w:r>
        <w:rPr>
          <w:rFonts w:hint="eastAsia" w:ascii="仿宋_GB2312" w:eastAsia="仿宋_GB2312" w:cs="宋体"/>
          <w:kern w:val="0"/>
          <w:sz w:val="32"/>
          <w:szCs w:val="32"/>
          <w:lang w:val="en-US" w:eastAsia="zh-CN"/>
        </w:rPr>
        <w:t>相关机关</w:t>
      </w:r>
      <w:r>
        <w:rPr>
          <w:rFonts w:hint="eastAsia" w:ascii="仿宋_GB2312" w:eastAsia="仿宋_GB2312" w:cs="宋体"/>
          <w:kern w:val="0"/>
          <w:sz w:val="32"/>
          <w:szCs w:val="32"/>
        </w:rPr>
        <w:t>，民主党派和人民团体机关以及其他行政机构和事业单位的机构编制。</w:t>
      </w:r>
    </w:p>
    <w:p>
      <w:pPr>
        <w:numPr>
          <w:ilvl w:val="0"/>
          <w:numId w:val="2"/>
        </w:numPr>
        <w:ind w:firstLine="640" w:firstLineChars="200"/>
        <w:rPr>
          <w:rFonts w:ascii="仿宋_GB2312" w:eastAsia="仿宋_GB2312" w:cs="宋体"/>
          <w:kern w:val="0"/>
          <w:sz w:val="32"/>
          <w:szCs w:val="32"/>
        </w:rPr>
      </w:pPr>
      <w:r>
        <w:rPr>
          <w:rFonts w:hint="eastAsia" w:ascii="仿宋_GB2312" w:eastAsia="仿宋_GB2312" w:cs="宋体"/>
          <w:kern w:val="0"/>
          <w:sz w:val="32"/>
          <w:szCs w:val="32"/>
        </w:rPr>
        <w:t>负责拟订本县行政管理体制和机构改革总体方案并组织实施，审核县直机关和各乡、镇机构改革方案；负责各乡、镇的行政管理体制、机构改革和机构编制管理工作。</w:t>
      </w:r>
    </w:p>
    <w:p>
      <w:pPr>
        <w:ind w:firstLine="640" w:firstLineChars="200"/>
        <w:rPr>
          <w:rFonts w:ascii="仿宋_GB2312" w:eastAsia="仿宋_GB2312" w:cs="宋体"/>
          <w:kern w:val="0"/>
          <w:sz w:val="32"/>
          <w:szCs w:val="32"/>
        </w:rPr>
      </w:pPr>
      <w:r>
        <w:rPr>
          <w:rFonts w:hint="eastAsia" w:ascii="仿宋_GB2312" w:eastAsia="仿宋_GB2312" w:cs="‹ÎSå"/>
          <w:kern w:val="0"/>
          <w:sz w:val="32"/>
          <w:szCs w:val="32"/>
        </w:rPr>
        <w:t>3、</w:t>
      </w:r>
      <w:r>
        <w:rPr>
          <w:rFonts w:hint="eastAsia" w:ascii="仿宋_GB2312" w:eastAsia="仿宋_GB2312" w:cs="宋体"/>
          <w:kern w:val="0"/>
          <w:sz w:val="32"/>
          <w:szCs w:val="32"/>
        </w:rPr>
        <w:t>管理县直机关的职责配置、人员编制和领导职数，审核各乡、镇机关的机构设置与调整，审核各乡、镇行政编制总额的分配和调整。</w:t>
      </w:r>
    </w:p>
    <w:p>
      <w:pPr>
        <w:pStyle w:val="5"/>
        <w:rPr>
          <w:rFonts w:ascii="黑体" w:hAnsi="黑体" w:eastAsia="黑体"/>
          <w:b w:val="0"/>
        </w:rPr>
      </w:pPr>
      <w:r>
        <w:rPr>
          <w:rFonts w:hint="eastAsia" w:ascii="黑体" w:hAnsi="黑体" w:eastAsia="黑体"/>
          <w:b w:val="0"/>
        </w:rPr>
        <w:t>二、机构设置</w:t>
      </w:r>
    </w:p>
    <w:p>
      <w:pPr>
        <w:snapToGrid w:val="0"/>
        <w:ind w:firstLine="480" w:firstLineChars="150"/>
        <w:rPr>
          <w:rFonts w:ascii="仿宋_GB2312" w:eastAsia="仿宋_GB2312" w:cs="仿宋_GB2312"/>
          <w:sz w:val="32"/>
          <w:szCs w:val="32"/>
        </w:rPr>
      </w:pPr>
      <w:r>
        <w:rPr>
          <w:rFonts w:hint="eastAsia" w:ascii="仿宋_GB2312" w:eastAsia="仿宋_GB2312"/>
          <w:sz w:val="32"/>
          <w:szCs w:val="32"/>
        </w:rPr>
        <w:t>中共若尔盖县委机构编制委员会办公室为县委机关单位。</w:t>
      </w:r>
      <w:r>
        <w:rPr>
          <w:rFonts w:hint="eastAsia" w:ascii="仿宋_GB2312" w:eastAsia="仿宋_GB2312"/>
          <w:sz w:val="32"/>
        </w:rPr>
        <w:t>下属二级预算单位3个，行政单位1个，其中事业单位2个。</w:t>
      </w:r>
    </w:p>
    <w:p>
      <w:pPr>
        <w:pStyle w:val="14"/>
        <w:widowControl/>
        <w:spacing w:before="0" w:beforeAutospacing="0" w:after="0" w:afterAutospacing="0"/>
        <w:ind w:firstLine="640" w:firstLineChars="200"/>
        <w:rPr>
          <w:rFonts w:ascii="仿宋_GB2312" w:eastAsia="仿宋_GB2312"/>
          <w:sz w:val="32"/>
        </w:rPr>
      </w:pPr>
      <w:r>
        <w:rPr>
          <w:rFonts w:hint="eastAsia" w:ascii="仿宋_GB2312" w:eastAsia="仿宋_GB2312"/>
          <w:sz w:val="32"/>
        </w:rPr>
        <w:t>纳入202</w:t>
      </w:r>
      <w:r>
        <w:rPr>
          <w:rFonts w:hint="eastAsia" w:ascii="仿宋_GB2312" w:eastAsia="仿宋_GB2312"/>
          <w:sz w:val="32"/>
          <w:lang w:val="en-US" w:eastAsia="zh-CN"/>
        </w:rPr>
        <w:t>5</w:t>
      </w:r>
      <w:r>
        <w:rPr>
          <w:rFonts w:hint="eastAsia" w:ascii="仿宋_GB2312" w:eastAsia="仿宋_GB2312"/>
          <w:sz w:val="32"/>
        </w:rPr>
        <w:t>年度部门决算编制范围的二级预算单位包括：</w:t>
      </w:r>
    </w:p>
    <w:p>
      <w:pPr>
        <w:pStyle w:val="14"/>
        <w:widowControl/>
        <w:spacing w:before="0" w:beforeAutospacing="0" w:after="0" w:afterAutospacing="0"/>
        <w:ind w:firstLine="640" w:firstLineChars="200"/>
        <w:rPr>
          <w:rFonts w:ascii="仿宋_GB2312" w:eastAsia="仿宋_GB2312"/>
          <w:sz w:val="32"/>
        </w:rPr>
      </w:pPr>
      <w:bookmarkStart w:id="17" w:name="_Toc15306276"/>
      <w:bookmarkStart w:id="18" w:name="_Toc15378449"/>
      <w:bookmarkStart w:id="19" w:name="_Toc15377433"/>
      <w:bookmarkStart w:id="20" w:name="_Toc15377202"/>
      <w:r>
        <w:rPr>
          <w:rFonts w:hint="eastAsia" w:ascii="仿宋_GB2312" w:eastAsia="仿宋_GB2312"/>
          <w:sz w:val="32"/>
        </w:rPr>
        <w:t>1. 中共若尔盖县委机构编制委员会办公室本级</w:t>
      </w:r>
      <w:bookmarkEnd w:id="17"/>
      <w:bookmarkEnd w:id="18"/>
      <w:bookmarkEnd w:id="19"/>
      <w:bookmarkEnd w:id="20"/>
    </w:p>
    <w:p>
      <w:pPr>
        <w:pStyle w:val="14"/>
        <w:widowControl/>
        <w:spacing w:before="0" w:beforeAutospacing="0" w:after="0" w:afterAutospacing="0"/>
        <w:ind w:firstLine="640" w:firstLineChars="200"/>
        <w:rPr>
          <w:rFonts w:ascii="仿宋_GB2312" w:eastAsia="仿宋_GB2312"/>
          <w:sz w:val="32"/>
        </w:rPr>
      </w:pPr>
      <w:r>
        <w:rPr>
          <w:rFonts w:hint="eastAsia" w:ascii="仿宋_GB2312" w:eastAsia="仿宋_GB2312"/>
          <w:sz w:val="32"/>
        </w:rPr>
        <w:t>2．中共阿坝州若尔盖县事业单位登记管理局</w:t>
      </w:r>
    </w:p>
    <w:p>
      <w:pPr>
        <w:pStyle w:val="14"/>
        <w:widowControl/>
        <w:spacing w:before="0" w:beforeAutospacing="0" w:after="0" w:afterAutospacing="0"/>
        <w:ind w:firstLine="640" w:firstLineChars="200"/>
        <w:rPr>
          <w:rFonts w:ascii="仿宋_GB2312" w:eastAsia="仿宋_GB2312"/>
          <w:kern w:val="2"/>
          <w:sz w:val="32"/>
        </w:rPr>
      </w:pPr>
      <w:r>
        <w:rPr>
          <w:rFonts w:hint="eastAsia" w:ascii="仿宋_GB2312" w:eastAsia="仿宋_GB2312"/>
          <w:sz w:val="32"/>
        </w:rPr>
        <w:t>3. 中共阿坝州若尔盖县委编办信息中心</w:t>
      </w:r>
    </w:p>
    <w:p>
      <w:pPr>
        <w:pStyle w:val="14"/>
        <w:widowControl/>
        <w:spacing w:before="0" w:beforeAutospacing="0" w:after="0" w:afterAutospacing="0"/>
        <w:ind w:firstLine="640" w:firstLineChars="200"/>
        <w:rPr>
          <w:rFonts w:ascii="仿宋_GB2312" w:eastAsia="仿宋_GB2312"/>
          <w:kern w:val="2"/>
          <w:sz w:val="32"/>
        </w:rPr>
      </w:pPr>
      <w:r>
        <w:rPr>
          <w:rFonts w:hint="eastAsia" w:ascii="仿宋_GB2312" w:eastAsia="仿宋_GB2312"/>
          <w:kern w:val="2"/>
          <w:sz w:val="32"/>
        </w:rPr>
        <w:t> 本单位本年度年末实有人数为14人，公务员6人，机关工勤2人，事业人员6人；年末实有离退休人数为0人，比上年增加0人；变动情况及年末实有其他人数为0人，比上年增加0人。</w:t>
      </w:r>
    </w:p>
    <w:p/>
    <w:bookmarkEnd w:id="15"/>
    <w:bookmarkEnd w:id="16"/>
    <w:p>
      <w:pPr>
        <w:widowControl/>
        <w:ind w:firstLine="440" w:firstLineChars="100"/>
        <w:jc w:val="left"/>
        <w:rPr>
          <w:rStyle w:val="29"/>
          <w:rFonts w:ascii="黑体" w:hAnsi="黑体" w:eastAsia="黑体"/>
          <w:b w:val="0"/>
        </w:rPr>
      </w:pPr>
      <w:bookmarkStart w:id="21" w:name="_Toc15396602"/>
      <w:bookmarkStart w:id="22" w:name="_Toc15377204"/>
      <w:r>
        <w:rPr>
          <w:rFonts w:hint="eastAsia" w:ascii="黑体" w:hAnsi="黑体" w:eastAsia="黑体"/>
          <w:sz w:val="44"/>
          <w:szCs w:val="44"/>
        </w:rPr>
        <w:t>第二部分 202</w:t>
      </w:r>
      <w:r>
        <w:rPr>
          <w:rFonts w:hint="eastAsia" w:ascii="黑体" w:hAnsi="黑体" w:eastAsia="黑体"/>
          <w:sz w:val="44"/>
          <w:szCs w:val="44"/>
          <w:lang w:val="en-US" w:eastAsia="zh-CN"/>
        </w:rPr>
        <w:t>5</w:t>
      </w:r>
      <w:r>
        <w:rPr>
          <w:rFonts w:hint="eastAsia" w:ascii="黑体" w:hAnsi="黑体" w:eastAsia="黑体"/>
          <w:sz w:val="44"/>
          <w:szCs w:val="44"/>
        </w:rPr>
        <w:t>年度</w:t>
      </w:r>
      <w:r>
        <w:rPr>
          <w:rFonts w:hint="eastAsia" w:ascii="黑体" w:hAnsi="黑体" w:eastAsia="黑体"/>
          <w:sz w:val="44"/>
          <w:szCs w:val="44"/>
          <w:lang w:eastAsia="zh-CN"/>
        </w:rPr>
        <w:t>部门</w:t>
      </w:r>
      <w:r>
        <w:rPr>
          <w:rStyle w:val="29"/>
          <w:rFonts w:hint="eastAsia" w:ascii="黑体" w:hAnsi="黑体" w:eastAsia="黑体"/>
          <w:b w:val="0"/>
        </w:rPr>
        <w:t>决算情况说明</w:t>
      </w:r>
      <w:bookmarkEnd w:id="21"/>
      <w:bookmarkEnd w:id="22"/>
    </w:p>
    <w:p/>
    <w:p>
      <w:pPr>
        <w:pStyle w:val="28"/>
        <w:numPr>
          <w:ilvl w:val="0"/>
          <w:numId w:val="3"/>
        </w:numPr>
        <w:spacing w:line="600" w:lineRule="exact"/>
        <w:ind w:firstLineChars="0"/>
        <w:outlineLvl w:val="1"/>
        <w:rPr>
          <w:rStyle w:val="30"/>
          <w:rFonts w:ascii="黑体" w:hAnsi="黑体" w:eastAsia="黑体"/>
          <w:b w:val="0"/>
        </w:rPr>
      </w:pPr>
      <w:bookmarkStart w:id="23" w:name="_Toc15396603"/>
      <w:bookmarkStart w:id="24" w:name="_Toc15377205"/>
      <w:r>
        <w:rPr>
          <w:rFonts w:hint="eastAsia" w:ascii="黑体" w:hAnsi="黑体" w:eastAsia="黑体"/>
          <w:sz w:val="32"/>
          <w:szCs w:val="32"/>
        </w:rPr>
        <w:t>收</w:t>
      </w:r>
      <w:r>
        <w:rPr>
          <w:rStyle w:val="30"/>
          <w:rFonts w:hint="eastAsia" w:ascii="黑体" w:hAnsi="黑体" w:eastAsia="黑体"/>
          <w:b w:val="0"/>
        </w:rPr>
        <w:t>入支出决算总体情况说明</w:t>
      </w:r>
      <w:bookmarkEnd w:id="23"/>
      <w:bookmarkEnd w:id="24"/>
    </w:p>
    <w:p>
      <w:pPr>
        <w:spacing w:line="60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年度收、支总计均为</w:t>
      </w:r>
      <w:r>
        <w:rPr>
          <w:rFonts w:hint="eastAsia" w:eastAsia="仿宋"/>
          <w:sz w:val="32"/>
          <w:szCs w:val="32"/>
          <w:lang w:val="en-US" w:eastAsia="zh-CN"/>
        </w:rPr>
        <w:t>391.97</w:t>
      </w:r>
      <w:r>
        <w:rPr>
          <w:rFonts w:hint="eastAsia" w:ascii="仿宋" w:hAnsi="仿宋" w:eastAsia="仿宋"/>
          <w:sz w:val="32"/>
          <w:szCs w:val="32"/>
        </w:rPr>
        <w:t>万元。202</w:t>
      </w:r>
      <w:r>
        <w:rPr>
          <w:rFonts w:hint="eastAsia" w:ascii="仿宋" w:hAnsi="仿宋" w:eastAsia="仿宋"/>
          <w:sz w:val="32"/>
          <w:szCs w:val="32"/>
          <w:lang w:val="en-US" w:eastAsia="zh-CN"/>
        </w:rPr>
        <w:t>4</w:t>
      </w:r>
      <w:r>
        <w:rPr>
          <w:rFonts w:hint="eastAsia" w:ascii="仿宋" w:hAnsi="仿宋" w:eastAsia="仿宋"/>
          <w:sz w:val="32"/>
          <w:szCs w:val="32"/>
        </w:rPr>
        <w:t>年度相比，收、支总计各增加</w:t>
      </w:r>
      <w:r>
        <w:rPr>
          <w:rFonts w:hint="eastAsia" w:ascii="仿宋" w:hAnsi="仿宋" w:eastAsia="仿宋"/>
          <w:sz w:val="32"/>
          <w:szCs w:val="32"/>
          <w:lang w:val="en-US" w:eastAsia="zh-CN"/>
        </w:rPr>
        <w:t>56.08</w:t>
      </w:r>
      <w:r>
        <w:rPr>
          <w:rFonts w:hint="eastAsia" w:ascii="仿宋" w:hAnsi="仿宋" w:eastAsia="仿宋"/>
          <w:sz w:val="32"/>
          <w:szCs w:val="32"/>
        </w:rPr>
        <w:t>万元，增长</w:t>
      </w:r>
      <w:r>
        <w:rPr>
          <w:rFonts w:hint="eastAsia" w:ascii="仿宋" w:hAnsi="仿宋" w:eastAsia="仿宋"/>
          <w:sz w:val="32"/>
          <w:szCs w:val="32"/>
          <w:lang w:val="en-US" w:eastAsia="zh-CN"/>
        </w:rPr>
        <w:t>14.30</w:t>
      </w:r>
      <w:r>
        <w:rPr>
          <w:rFonts w:ascii="仿宋" w:hAnsi="仿宋" w:eastAsia="仿宋"/>
          <w:sz w:val="32"/>
          <w:szCs w:val="32"/>
        </w:rPr>
        <w:t>%</w:t>
      </w:r>
      <w:r>
        <w:rPr>
          <w:rFonts w:hint="eastAsia" w:ascii="仿宋" w:hAnsi="仿宋" w:eastAsia="仿宋"/>
          <w:sz w:val="32"/>
          <w:szCs w:val="32"/>
        </w:rPr>
        <w:t>。主要变动原因是因</w:t>
      </w:r>
      <w:r>
        <w:rPr>
          <w:rFonts w:hint="eastAsia" w:ascii="仿宋" w:hAnsi="仿宋" w:eastAsia="仿宋"/>
          <w:sz w:val="32"/>
          <w:szCs w:val="32"/>
          <w:lang w:val="en-US" w:eastAsia="zh-CN"/>
        </w:rPr>
        <w:t>人员</w:t>
      </w:r>
      <w:r>
        <w:rPr>
          <w:rFonts w:hint="eastAsia" w:ascii="仿宋" w:hAnsi="仿宋" w:eastAsia="仿宋"/>
          <w:sz w:val="32"/>
          <w:szCs w:val="32"/>
        </w:rPr>
        <w:t>增加，工资和各类保险、住房公积金增加，所以收、支总计</w:t>
      </w:r>
      <w:r>
        <w:rPr>
          <w:rFonts w:hint="eastAsia" w:ascii="仿宋_GB2312" w:eastAsia="仿宋_GB2312"/>
          <w:sz w:val="32"/>
        </w:rPr>
        <w:t>较上年有所增加</w:t>
      </w:r>
      <w:r>
        <w:rPr>
          <w:rFonts w:hint="eastAsia" w:ascii="仿宋" w:hAnsi="仿宋" w:eastAsia="仿宋"/>
          <w:sz w:val="32"/>
          <w:szCs w:val="32"/>
        </w:rPr>
        <w:t>。</w:t>
      </w:r>
    </w:p>
    <w:p>
      <w:pPr>
        <w:spacing w:line="600" w:lineRule="exact"/>
        <w:ind w:firstLine="422" w:firstLineChars="200"/>
        <w:rPr>
          <w:rFonts w:ascii="仿宋_GB2312" w:eastAsia="仿宋_GB2312"/>
          <w:sz w:val="32"/>
          <w:szCs w:val="32"/>
        </w:rPr>
      </w:pPr>
      <w:r>
        <w:rPr>
          <w:rStyle w:val="18"/>
          <w:rFonts w:hint="eastAsia"/>
        </w:rPr>
        <w:drawing>
          <wp:anchor distT="0" distB="0" distL="114300" distR="114300" simplePos="0" relativeHeight="251659264" behindDoc="0" locked="0" layoutInCell="1" allowOverlap="1">
            <wp:simplePos x="0" y="0"/>
            <wp:positionH relativeFrom="column">
              <wp:posOffset>40005</wp:posOffset>
            </wp:positionH>
            <wp:positionV relativeFrom="paragraph">
              <wp:posOffset>677545</wp:posOffset>
            </wp:positionV>
            <wp:extent cx="5080000" cy="2840990"/>
            <wp:effectExtent l="4445" t="4445" r="20955" b="1206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pPr>
        <w:pStyle w:val="28"/>
        <w:numPr>
          <w:ilvl w:val="0"/>
          <w:numId w:val="3"/>
        </w:numPr>
        <w:spacing w:line="600" w:lineRule="exact"/>
        <w:ind w:firstLineChars="0"/>
        <w:outlineLvl w:val="1"/>
        <w:rPr>
          <w:rStyle w:val="30"/>
          <w:rFonts w:ascii="黑体" w:hAnsi="黑体" w:eastAsia="黑体"/>
          <w:b w:val="0"/>
        </w:rPr>
      </w:pPr>
      <w:bookmarkStart w:id="25" w:name="_Toc15377206"/>
      <w:bookmarkStart w:id="26" w:name="_Toc15396604"/>
      <w:r>
        <w:rPr>
          <w:rFonts w:hint="eastAsia" w:ascii="黑体" w:hAnsi="黑体" w:eastAsia="黑体"/>
          <w:sz w:val="32"/>
          <w:szCs w:val="32"/>
        </w:rPr>
        <w:t>收</w:t>
      </w:r>
      <w:r>
        <w:rPr>
          <w:rStyle w:val="30"/>
          <w:rFonts w:hint="eastAsia" w:ascii="黑体" w:hAnsi="黑体" w:eastAsia="黑体"/>
          <w:b w:val="0"/>
        </w:rPr>
        <w:t>入决算情况说明</w:t>
      </w:r>
      <w:bookmarkEnd w:id="25"/>
      <w:bookmarkEnd w:id="26"/>
    </w:p>
    <w:p>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年度本年收入合计</w:t>
      </w:r>
      <w:r>
        <w:rPr>
          <w:rFonts w:hint="eastAsia" w:eastAsia="仿宋"/>
          <w:sz w:val="32"/>
          <w:szCs w:val="32"/>
          <w:lang w:val="en-US" w:eastAsia="zh-CN"/>
        </w:rPr>
        <w:t>391.97</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391.97</w:t>
      </w:r>
      <w:r>
        <w:rPr>
          <w:rFonts w:hint="eastAsia" w:ascii="仿宋" w:hAnsi="仿宋" w:eastAsia="仿宋"/>
          <w:sz w:val="32"/>
          <w:szCs w:val="32"/>
        </w:rPr>
        <w:t>万元，占</w:t>
      </w:r>
      <w:r>
        <w:rPr>
          <w:rFonts w:ascii="仿宋" w:hAnsi="仿宋" w:eastAsia="仿宋"/>
          <w:b/>
          <w:sz w:val="32"/>
          <w:szCs w:val="32"/>
        </w:rPr>
        <w:t>100%</w:t>
      </w:r>
      <w:r>
        <w:rPr>
          <w:rFonts w:hint="eastAsia" w:ascii="仿宋" w:hAnsi="仿宋" w:eastAsia="仿宋"/>
          <w:sz w:val="32"/>
          <w:szCs w:val="32"/>
        </w:rPr>
        <w:t>；政府性基金预算财政拨款收入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；国有资本经营预算财政拨款收入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；上级补助收入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；事业收入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；附属单位上缴收入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；其他收入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p>
    <w:p>
      <w:pPr>
        <w:spacing w:line="600" w:lineRule="exact"/>
        <w:ind w:firstLine="640" w:firstLineChars="200"/>
        <w:rPr>
          <w:rFonts w:ascii="仿宋" w:eastAsia="仿宋"/>
          <w:sz w:val="32"/>
          <w:szCs w:val="32"/>
        </w:rPr>
      </w:pPr>
      <w:bookmarkStart w:id="27" w:name="_Toc15377207"/>
      <w:bookmarkStart w:id="28" w:name="_Toc15396605"/>
      <w:r>
        <w:rPr>
          <w:rFonts w:hint="eastAsia" w:ascii="仿宋" w:eastAsia="仿宋"/>
          <w:sz w:val="32"/>
          <w:szCs w:val="32"/>
        </w:rPr>
        <w:t>（图2：收入决算结构图）（饼状图）</w:t>
      </w:r>
    </w:p>
    <w:p>
      <w:pPr>
        <w:pStyle w:val="28"/>
        <w:spacing w:line="600" w:lineRule="exact"/>
        <w:ind w:firstLine="0" w:firstLineChars="0"/>
        <w:outlineLvl w:val="1"/>
        <w:rPr>
          <w:rFonts w:ascii="黑体" w:hAnsi="黑体" w:eastAsia="黑体"/>
          <w:sz w:val="32"/>
          <w:szCs w:val="32"/>
        </w:rPr>
      </w:pPr>
      <w:r>
        <w:rPr>
          <w:rFonts w:hint="eastAsia" w:ascii="仿宋" w:eastAsia="仿宋"/>
          <w:sz w:val="32"/>
          <w:szCs w:val="32"/>
        </w:rPr>
        <w:drawing>
          <wp:anchor distT="0" distB="0" distL="114300" distR="114300" simplePos="0" relativeHeight="251660288" behindDoc="0" locked="0" layoutInCell="1" allowOverlap="1">
            <wp:simplePos x="0" y="0"/>
            <wp:positionH relativeFrom="column">
              <wp:posOffset>-281940</wp:posOffset>
            </wp:positionH>
            <wp:positionV relativeFrom="paragraph">
              <wp:posOffset>131445</wp:posOffset>
            </wp:positionV>
            <wp:extent cx="5256530" cy="4120515"/>
            <wp:effectExtent l="4445" t="4445" r="15875" b="889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8"/>
        <w:spacing w:line="600" w:lineRule="exact"/>
        <w:ind w:firstLine="0" w:firstLineChars="0"/>
        <w:outlineLvl w:val="1"/>
        <w:rPr>
          <w:rFonts w:ascii="黑体" w:hAnsi="黑体" w:eastAsia="黑体"/>
          <w:sz w:val="32"/>
          <w:szCs w:val="32"/>
        </w:rPr>
      </w:pPr>
    </w:p>
    <w:p>
      <w:pPr>
        <w:pStyle w:val="28"/>
        <w:spacing w:line="600" w:lineRule="exact"/>
        <w:ind w:firstLine="640"/>
        <w:outlineLvl w:val="1"/>
        <w:rPr>
          <w:rStyle w:val="30"/>
          <w:rFonts w:ascii="黑体" w:hAnsi="黑体" w:eastAsia="黑体"/>
          <w:b w:val="0"/>
        </w:rPr>
      </w:pPr>
      <w:r>
        <w:rPr>
          <w:rFonts w:hint="eastAsia" w:ascii="黑体" w:hAnsi="黑体" w:eastAsia="黑体"/>
          <w:sz w:val="32"/>
          <w:szCs w:val="32"/>
        </w:rPr>
        <w:t>三、支</w:t>
      </w:r>
      <w:r>
        <w:rPr>
          <w:rStyle w:val="30"/>
          <w:rFonts w:hint="eastAsia" w:ascii="黑体" w:hAnsi="黑体" w:eastAsia="黑体"/>
          <w:b w:val="0"/>
        </w:rPr>
        <w:t>出决算情况说明</w:t>
      </w:r>
      <w:bookmarkEnd w:id="27"/>
      <w:bookmarkEnd w:id="28"/>
    </w:p>
    <w:p>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年度本年支出合计</w:t>
      </w:r>
      <w:r>
        <w:rPr>
          <w:rFonts w:hint="eastAsia" w:eastAsia="仿宋"/>
          <w:sz w:val="32"/>
          <w:szCs w:val="32"/>
          <w:lang w:val="en-US" w:eastAsia="zh-CN"/>
        </w:rPr>
        <w:t>391.97</w:t>
      </w:r>
      <w:r>
        <w:rPr>
          <w:rFonts w:hint="eastAsia" w:ascii="仿宋" w:hAnsi="仿宋" w:eastAsia="仿宋"/>
          <w:sz w:val="32"/>
          <w:szCs w:val="32"/>
        </w:rPr>
        <w:t>万元，其中：基本支出</w:t>
      </w:r>
      <w:r>
        <w:rPr>
          <w:rFonts w:hint="eastAsia" w:eastAsia="仿宋"/>
          <w:sz w:val="32"/>
          <w:szCs w:val="32"/>
          <w:lang w:val="en-US" w:eastAsia="zh-CN"/>
        </w:rPr>
        <w:t>391.97</w:t>
      </w:r>
      <w:r>
        <w:rPr>
          <w:rFonts w:hint="eastAsia" w:ascii="仿宋" w:hAnsi="仿宋" w:eastAsia="仿宋"/>
          <w:sz w:val="32"/>
          <w:szCs w:val="32"/>
        </w:rPr>
        <w:t>万元，占</w:t>
      </w:r>
      <w:r>
        <w:rPr>
          <w:rFonts w:ascii="仿宋" w:hAnsi="仿宋" w:eastAsia="仿宋"/>
          <w:b/>
          <w:sz w:val="32"/>
          <w:szCs w:val="32"/>
        </w:rPr>
        <w:t>100</w:t>
      </w:r>
      <w:r>
        <w:rPr>
          <w:rFonts w:ascii="仿宋" w:hAnsi="仿宋" w:eastAsia="仿宋"/>
          <w:sz w:val="32"/>
          <w:szCs w:val="32"/>
        </w:rPr>
        <w:t>%</w:t>
      </w:r>
      <w:r>
        <w:rPr>
          <w:rFonts w:hint="eastAsia" w:ascii="仿宋" w:hAnsi="仿宋" w:eastAsia="仿宋"/>
          <w:sz w:val="32"/>
          <w:szCs w:val="32"/>
        </w:rPr>
        <w:t>；项目支出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；支出</w:t>
      </w:r>
      <w:r>
        <w:rPr>
          <w:rFonts w:ascii="仿宋" w:hAnsi="仿宋" w:eastAsia="仿宋"/>
          <w:b/>
          <w:sz w:val="32"/>
          <w:szCs w:val="32"/>
        </w:rPr>
        <w:t>0</w:t>
      </w:r>
      <w:r>
        <w:rPr>
          <w:rFonts w:hint="eastAsia" w:ascii="仿宋" w:hAnsi="仿宋" w:eastAsia="仿宋"/>
          <w:sz w:val="32"/>
          <w:szCs w:val="32"/>
        </w:rPr>
        <w:t>万元，占</w:t>
      </w:r>
      <w:r>
        <w:rPr>
          <w:rFonts w:hint="eastAsia"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；对附属单位补助支出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p>
    <w:p>
      <w:pPr>
        <w:spacing w:line="600" w:lineRule="exact"/>
        <w:ind w:firstLine="640"/>
        <w:rPr>
          <w:rFonts w:ascii="仿宋" w:hAnsi="仿宋" w:eastAsia="仿宋"/>
          <w:sz w:val="32"/>
          <w:szCs w:val="32"/>
        </w:rPr>
      </w:pPr>
      <w:r>
        <w:rPr>
          <w:rFonts w:hint="eastAsia" w:ascii="仿宋" w:eastAsia="仿宋"/>
          <w:sz w:val="32"/>
          <w:szCs w:val="32"/>
        </w:rPr>
        <w:drawing>
          <wp:anchor distT="0" distB="0" distL="114300" distR="114300" simplePos="0" relativeHeight="251661312" behindDoc="0" locked="0" layoutInCell="1" allowOverlap="1">
            <wp:simplePos x="0" y="0"/>
            <wp:positionH relativeFrom="column">
              <wp:posOffset>14605</wp:posOffset>
            </wp:positionH>
            <wp:positionV relativeFrom="paragraph">
              <wp:posOffset>206375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 w:hAnsi="仿宋" w:eastAsia="仿宋"/>
          <w:sz w:val="32"/>
          <w:szCs w:val="32"/>
        </w:rPr>
        <w:t>（图3：支出决算结构图）（饼状图）</w:t>
      </w:r>
    </w:p>
    <w:p>
      <w:pPr>
        <w:spacing w:line="600" w:lineRule="exact"/>
        <w:ind w:firstLine="640" w:firstLineChars="200"/>
        <w:rPr>
          <w:rFonts w:ascii="仿宋_GB2312" w:eastAsia="仿宋_GB2312"/>
          <w:sz w:val="32"/>
          <w:szCs w:val="32"/>
        </w:rPr>
      </w:pPr>
    </w:p>
    <w:p>
      <w:pPr>
        <w:spacing w:line="600" w:lineRule="exact"/>
        <w:ind w:firstLine="640" w:firstLineChars="200"/>
        <w:outlineLvl w:val="1"/>
        <w:rPr>
          <w:rStyle w:val="30"/>
          <w:rFonts w:ascii="黑体" w:hAnsi="黑体" w:eastAsia="黑体"/>
          <w:b w:val="0"/>
        </w:rPr>
      </w:pPr>
      <w:bookmarkStart w:id="29" w:name="_Toc15396606"/>
      <w:bookmarkStart w:id="30" w:name="_Toc15377208"/>
      <w:r>
        <w:rPr>
          <w:rFonts w:hint="eastAsia" w:ascii="黑体" w:hAnsi="黑体" w:eastAsia="黑体"/>
          <w:sz w:val="32"/>
          <w:szCs w:val="32"/>
        </w:rPr>
        <w:t>四、财</w:t>
      </w:r>
      <w:r>
        <w:rPr>
          <w:rStyle w:val="30"/>
          <w:rFonts w:hint="eastAsia" w:ascii="黑体" w:hAnsi="黑体" w:eastAsia="黑体"/>
          <w:b w:val="0"/>
        </w:rPr>
        <w:t>政拨款收入支出决算总体情况说明</w:t>
      </w:r>
      <w:bookmarkEnd w:id="29"/>
      <w:bookmarkEnd w:id="30"/>
    </w:p>
    <w:p>
      <w:pPr>
        <w:spacing w:line="60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年度财政拨款收、支总计均为</w:t>
      </w:r>
      <w:r>
        <w:rPr>
          <w:rFonts w:hint="eastAsia" w:eastAsia="仿宋"/>
          <w:sz w:val="32"/>
          <w:szCs w:val="32"/>
          <w:lang w:val="en-US" w:eastAsia="zh-CN"/>
        </w:rPr>
        <w:t>391.97</w:t>
      </w:r>
      <w:r>
        <w:rPr>
          <w:rFonts w:hint="eastAsia" w:ascii="仿宋" w:hAnsi="仿宋" w:eastAsia="仿宋"/>
          <w:sz w:val="32"/>
          <w:szCs w:val="32"/>
        </w:rPr>
        <w:t>万元。202</w:t>
      </w:r>
      <w:r>
        <w:rPr>
          <w:rFonts w:hint="eastAsia" w:ascii="仿宋" w:hAnsi="仿宋" w:eastAsia="仿宋"/>
          <w:sz w:val="32"/>
          <w:szCs w:val="32"/>
          <w:lang w:val="en-US" w:eastAsia="zh-CN"/>
        </w:rPr>
        <w:t>4</w:t>
      </w:r>
      <w:r>
        <w:rPr>
          <w:rFonts w:hint="eastAsia" w:ascii="仿宋" w:hAnsi="仿宋" w:eastAsia="仿宋"/>
          <w:sz w:val="32"/>
          <w:szCs w:val="32"/>
        </w:rPr>
        <w:t>年度相比，收、支总计各增加</w:t>
      </w:r>
      <w:r>
        <w:rPr>
          <w:rFonts w:hint="eastAsia" w:ascii="仿宋" w:hAnsi="仿宋" w:eastAsia="仿宋"/>
          <w:sz w:val="32"/>
          <w:szCs w:val="32"/>
          <w:lang w:val="en-US" w:eastAsia="zh-CN"/>
        </w:rPr>
        <w:t>56.08</w:t>
      </w:r>
      <w:r>
        <w:rPr>
          <w:rFonts w:hint="eastAsia" w:ascii="仿宋" w:hAnsi="仿宋" w:eastAsia="仿宋"/>
          <w:sz w:val="32"/>
          <w:szCs w:val="32"/>
        </w:rPr>
        <w:t>万元，增长</w:t>
      </w:r>
      <w:r>
        <w:rPr>
          <w:rFonts w:hint="eastAsia" w:ascii="仿宋" w:hAnsi="仿宋" w:eastAsia="仿宋"/>
          <w:sz w:val="32"/>
          <w:szCs w:val="32"/>
          <w:lang w:val="en-US" w:eastAsia="zh-CN"/>
        </w:rPr>
        <w:t>14.30</w:t>
      </w:r>
      <w:r>
        <w:rPr>
          <w:rFonts w:ascii="仿宋" w:hAnsi="仿宋" w:eastAsia="仿宋"/>
          <w:sz w:val="32"/>
          <w:szCs w:val="32"/>
        </w:rPr>
        <w:t>%</w:t>
      </w:r>
      <w:r>
        <w:rPr>
          <w:rFonts w:hint="eastAsia" w:ascii="仿宋" w:hAnsi="仿宋" w:eastAsia="仿宋"/>
          <w:sz w:val="32"/>
          <w:szCs w:val="32"/>
        </w:rPr>
        <w:t>。主要变动原因是因</w:t>
      </w:r>
      <w:r>
        <w:rPr>
          <w:rFonts w:hint="eastAsia" w:ascii="仿宋" w:hAnsi="仿宋" w:eastAsia="仿宋"/>
          <w:sz w:val="32"/>
          <w:szCs w:val="32"/>
          <w:lang w:val="en-US" w:eastAsia="zh-CN"/>
        </w:rPr>
        <w:t>人员</w:t>
      </w:r>
      <w:r>
        <w:rPr>
          <w:rFonts w:hint="eastAsia" w:ascii="仿宋" w:hAnsi="仿宋" w:eastAsia="仿宋"/>
          <w:sz w:val="32"/>
          <w:szCs w:val="32"/>
        </w:rPr>
        <w:t>增加，工资和各类保险、住房公积金增加，所以收、支总计</w:t>
      </w:r>
      <w:r>
        <w:rPr>
          <w:rFonts w:hint="eastAsia" w:ascii="仿宋_GB2312" w:eastAsia="仿宋_GB2312"/>
          <w:sz w:val="32"/>
        </w:rPr>
        <w:t>较上年有所增加</w:t>
      </w:r>
      <w:r>
        <w:rPr>
          <w:rFonts w:hint="eastAsia" w:ascii="仿宋" w:hAnsi="仿宋" w:eastAsia="仿宋"/>
          <w:sz w:val="32"/>
          <w:szCs w:val="32"/>
        </w:rPr>
        <w:t>。</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w:t>
      </w:r>
    </w:p>
    <w:p>
      <w:pPr>
        <w:pStyle w:val="2"/>
        <w:spacing w:before="93"/>
      </w:pPr>
      <w:r>
        <w:rPr>
          <w:rFonts w:hint="eastAsia" w:ascii="仿宋" w:hAnsi="仿宋" w:eastAsia="仿宋"/>
          <w:b/>
          <w:sz w:val="32"/>
          <w:szCs w:val="32"/>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2"/>
        <w:spacing w:before="93"/>
        <w:rPr>
          <w:rFonts w:ascii="仿宋" w:hAnsi="仿宋" w:eastAsia="仿宋"/>
          <w:sz w:val="32"/>
          <w:szCs w:val="32"/>
        </w:rPr>
      </w:pPr>
      <w:r>
        <w:rPr>
          <w:rFonts w:hint="eastAsia" w:ascii="仿宋" w:hAnsi="仿宋" w:eastAsia="仿宋"/>
          <w:sz w:val="32"/>
          <w:szCs w:val="32"/>
        </w:rPr>
        <w:t>（图4：财政拨款收、支决算总计变动情况）（柱状图）</w:t>
      </w:r>
    </w:p>
    <w:p>
      <w:pPr>
        <w:spacing w:line="600" w:lineRule="exact"/>
        <w:ind w:firstLine="640" w:firstLineChars="200"/>
        <w:outlineLvl w:val="1"/>
        <w:rPr>
          <w:rStyle w:val="30"/>
          <w:rFonts w:ascii="黑体" w:hAnsi="黑体" w:eastAsia="黑体"/>
          <w:b w:val="0"/>
        </w:rPr>
      </w:pPr>
      <w:bookmarkStart w:id="31" w:name="_Toc15396607"/>
      <w:bookmarkStart w:id="32" w:name="_Toc15377209"/>
      <w:r>
        <w:rPr>
          <w:rFonts w:hint="eastAsia" w:ascii="黑体" w:hAnsi="黑体" w:eastAsia="黑体"/>
          <w:sz w:val="32"/>
          <w:szCs w:val="32"/>
        </w:rPr>
        <w:t>五、</w:t>
      </w:r>
      <w:r>
        <w:rPr>
          <w:rFonts w:hint="eastAsia" w:ascii="黑体" w:hAnsi="黑体" w:eastAsia="黑体"/>
          <w:b/>
          <w:sz w:val="32"/>
          <w:szCs w:val="32"/>
        </w:rPr>
        <w:t>一</w:t>
      </w:r>
      <w:r>
        <w:rPr>
          <w:rStyle w:val="30"/>
          <w:rFonts w:hint="eastAsia" w:ascii="黑体" w:hAnsi="黑体" w:eastAsia="黑体"/>
          <w:b w:val="0"/>
        </w:rPr>
        <w:t>般公共预算财政拨款支出决算情况说明</w:t>
      </w:r>
      <w:bookmarkEnd w:id="31"/>
      <w:bookmarkEnd w:id="32"/>
    </w:p>
    <w:p>
      <w:pPr>
        <w:spacing w:line="600" w:lineRule="exact"/>
        <w:ind w:firstLine="643" w:firstLineChars="200"/>
        <w:outlineLvl w:val="2"/>
        <w:rPr>
          <w:rFonts w:ascii="仿宋" w:hAnsi="仿宋" w:eastAsia="仿宋"/>
          <w:b/>
          <w:sz w:val="32"/>
          <w:szCs w:val="32"/>
        </w:rPr>
      </w:pPr>
      <w:bookmarkStart w:id="33" w:name="_Toc15377210"/>
      <w:r>
        <w:rPr>
          <w:rFonts w:hint="eastAsia" w:ascii="仿宋" w:hAnsi="仿宋" w:eastAsia="仿宋"/>
          <w:b/>
          <w:sz w:val="32"/>
          <w:szCs w:val="32"/>
        </w:rPr>
        <w:t>（一）一般公共预算财政拨款支出决算总体情况</w:t>
      </w:r>
      <w:bookmarkEnd w:id="33"/>
    </w:p>
    <w:p>
      <w:pPr>
        <w:spacing w:line="60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年度一般公共预算财政拨款支出</w:t>
      </w:r>
      <w:r>
        <w:rPr>
          <w:rFonts w:hint="eastAsia" w:eastAsia="仿宋"/>
          <w:sz w:val="32"/>
          <w:szCs w:val="32"/>
          <w:lang w:val="en-US" w:eastAsia="zh-CN"/>
        </w:rPr>
        <w:t>391.97</w:t>
      </w:r>
      <w:r>
        <w:rPr>
          <w:rFonts w:hint="eastAsia" w:ascii="仿宋" w:hAnsi="仿宋" w:eastAsia="仿宋"/>
          <w:sz w:val="32"/>
          <w:szCs w:val="32"/>
        </w:rPr>
        <w:t>万元，占本年支出合计的</w:t>
      </w:r>
      <w:r>
        <w:rPr>
          <w:rFonts w:ascii="仿宋" w:hAnsi="仿宋" w:eastAsia="仿宋"/>
          <w:b/>
          <w:sz w:val="32"/>
          <w:szCs w:val="32"/>
        </w:rPr>
        <w:t>100</w:t>
      </w:r>
      <w:r>
        <w:rPr>
          <w:rFonts w:ascii="仿宋" w:hAnsi="仿宋" w:eastAsia="仿宋"/>
          <w:sz w:val="32"/>
          <w:szCs w:val="32"/>
        </w:rPr>
        <w:t>%</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年度相比，一般公共预算财政拨款支出增加</w:t>
      </w:r>
      <w:r>
        <w:rPr>
          <w:rFonts w:hint="eastAsia" w:ascii="仿宋" w:hAnsi="仿宋" w:eastAsia="仿宋"/>
          <w:sz w:val="32"/>
          <w:szCs w:val="32"/>
          <w:lang w:val="en-US" w:eastAsia="zh-CN"/>
        </w:rPr>
        <w:t>56.08</w:t>
      </w:r>
      <w:r>
        <w:rPr>
          <w:rFonts w:hint="eastAsia" w:ascii="仿宋" w:hAnsi="仿宋" w:eastAsia="仿宋"/>
          <w:sz w:val="32"/>
          <w:szCs w:val="32"/>
        </w:rPr>
        <w:t>万元，增长</w:t>
      </w:r>
      <w:r>
        <w:rPr>
          <w:rFonts w:hint="eastAsia" w:ascii="仿宋" w:hAnsi="仿宋" w:eastAsia="仿宋"/>
          <w:sz w:val="32"/>
          <w:szCs w:val="32"/>
          <w:lang w:val="en-US" w:eastAsia="zh-CN"/>
        </w:rPr>
        <w:t>14.30</w:t>
      </w:r>
      <w:r>
        <w:rPr>
          <w:rFonts w:ascii="仿宋" w:hAnsi="仿宋" w:eastAsia="仿宋"/>
          <w:sz w:val="32"/>
          <w:szCs w:val="32"/>
        </w:rPr>
        <w:t>%</w:t>
      </w:r>
      <w:r>
        <w:rPr>
          <w:rFonts w:hint="eastAsia" w:ascii="仿宋" w:hAnsi="仿宋" w:eastAsia="仿宋"/>
          <w:sz w:val="32"/>
          <w:szCs w:val="32"/>
        </w:rPr>
        <w:t>。主要变动原因是因</w:t>
      </w:r>
      <w:r>
        <w:rPr>
          <w:rFonts w:hint="eastAsia" w:ascii="仿宋" w:hAnsi="仿宋" w:eastAsia="仿宋"/>
          <w:sz w:val="32"/>
          <w:szCs w:val="32"/>
          <w:lang w:val="en-US" w:eastAsia="zh-CN"/>
        </w:rPr>
        <w:t>人员</w:t>
      </w:r>
      <w:r>
        <w:rPr>
          <w:rFonts w:hint="eastAsia" w:ascii="仿宋" w:hAnsi="仿宋" w:eastAsia="仿宋"/>
          <w:sz w:val="32"/>
          <w:szCs w:val="32"/>
        </w:rPr>
        <w:t>增加，工资和各类保险、住房公积金增加，所以收、支总计</w:t>
      </w:r>
      <w:r>
        <w:rPr>
          <w:rFonts w:hint="eastAsia" w:ascii="仿宋_GB2312" w:eastAsia="仿宋_GB2312"/>
          <w:sz w:val="32"/>
        </w:rPr>
        <w:t>较上年有所增加</w:t>
      </w:r>
      <w:r>
        <w:rPr>
          <w:rFonts w:hint="eastAsia" w:ascii="仿宋" w:hAnsi="仿宋" w:eastAsia="仿宋"/>
          <w:sz w:val="32"/>
          <w:szCs w:val="32"/>
        </w:rPr>
        <w:t>。</w:t>
      </w:r>
    </w:p>
    <w:p>
      <w:pPr>
        <w:spacing w:line="600" w:lineRule="exact"/>
        <w:ind w:firstLine="640" w:firstLineChars="200"/>
        <w:rPr>
          <w:rFonts w:ascii="仿宋" w:hAnsi="仿宋" w:eastAsia="仿宋"/>
          <w:sz w:val="32"/>
          <w:szCs w:val="32"/>
        </w:rPr>
      </w:pPr>
    </w:p>
    <w:p>
      <w:pPr>
        <w:pStyle w:val="2"/>
        <w:spacing w:before="93"/>
      </w:pPr>
      <w:r>
        <w:rPr>
          <w:rFonts w:hint="eastAsia" w:ascii="仿宋" w:hAnsi="仿宋" w:eastAsia="仿宋"/>
          <w:b/>
          <w:sz w:val="32"/>
          <w:szCs w:val="32"/>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pPr>
        <w:spacing w:line="600" w:lineRule="exact"/>
        <w:ind w:firstLine="643" w:firstLineChars="200"/>
        <w:outlineLvl w:val="2"/>
        <w:rPr>
          <w:rFonts w:ascii="仿宋" w:hAnsi="仿宋" w:eastAsia="仿宋"/>
          <w:b/>
          <w:sz w:val="32"/>
          <w:szCs w:val="32"/>
        </w:rPr>
      </w:pPr>
      <w:bookmarkStart w:id="34" w:name="_Toc15377211"/>
      <w:r>
        <w:rPr>
          <w:rFonts w:hint="eastAsia" w:ascii="仿宋" w:hAnsi="仿宋" w:eastAsia="仿宋"/>
          <w:b/>
          <w:sz w:val="32"/>
          <w:szCs w:val="32"/>
        </w:rPr>
        <w:t>（二）一般公共预算财政拨款支出决算结构情况</w:t>
      </w:r>
      <w:bookmarkEnd w:id="34"/>
    </w:p>
    <w:p>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年度一般公共预算财政拨款支出</w:t>
      </w:r>
      <w:r>
        <w:rPr>
          <w:rFonts w:hint="eastAsia" w:ascii="仿宋" w:hAnsi="仿宋" w:eastAsia="仿宋"/>
          <w:b/>
          <w:sz w:val="32"/>
          <w:szCs w:val="32"/>
          <w:lang w:val="en-US" w:eastAsia="zh-CN"/>
        </w:rPr>
        <w:t>391.97</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lang w:val="en-US" w:eastAsia="zh-CN"/>
        </w:rPr>
        <w:t>292.22</w:t>
      </w:r>
      <w:r>
        <w:rPr>
          <w:rFonts w:hint="eastAsia" w:ascii="仿宋" w:hAnsi="仿宋" w:eastAsia="仿宋"/>
          <w:sz w:val="32"/>
          <w:szCs w:val="32"/>
        </w:rPr>
        <w:t>万元，占7</w:t>
      </w:r>
      <w:r>
        <w:rPr>
          <w:rFonts w:hint="eastAsia" w:ascii="仿宋" w:hAnsi="仿宋" w:eastAsia="仿宋"/>
          <w:sz w:val="32"/>
          <w:szCs w:val="32"/>
          <w:lang w:val="en-US" w:eastAsia="zh-CN"/>
        </w:rPr>
        <w:t>4.55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b/>
          <w:bCs/>
          <w:sz w:val="32"/>
          <w:szCs w:val="32"/>
          <w:lang w:val="en-US" w:eastAsia="zh-CN"/>
        </w:rPr>
        <w:t>51.7</w:t>
      </w:r>
      <w:r>
        <w:rPr>
          <w:rFonts w:hint="eastAsia" w:ascii="仿宋" w:hAnsi="仿宋" w:eastAsia="仿宋"/>
          <w:sz w:val="32"/>
          <w:szCs w:val="32"/>
        </w:rPr>
        <w:t>万元，占</w:t>
      </w:r>
      <w:r>
        <w:rPr>
          <w:rFonts w:hint="eastAsia" w:ascii="仿宋" w:hAnsi="仿宋" w:eastAsia="仿宋"/>
          <w:sz w:val="32"/>
          <w:szCs w:val="32"/>
          <w:lang w:val="en-US" w:eastAsia="zh-CN"/>
        </w:rPr>
        <w:t>13.19</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卫生健康支出18.</w:t>
      </w:r>
      <w:r>
        <w:rPr>
          <w:rFonts w:hint="eastAsia" w:ascii="仿宋" w:hAnsi="仿宋" w:eastAsia="仿宋"/>
          <w:b/>
          <w:bCs/>
          <w:sz w:val="32"/>
          <w:szCs w:val="32"/>
          <w:lang w:val="en-US" w:eastAsia="zh-CN"/>
        </w:rPr>
        <w:t>83</w:t>
      </w:r>
      <w:r>
        <w:rPr>
          <w:rFonts w:hint="eastAsia" w:ascii="仿宋" w:hAnsi="仿宋" w:eastAsia="仿宋"/>
          <w:sz w:val="32"/>
          <w:szCs w:val="32"/>
        </w:rPr>
        <w:t>万元，占</w:t>
      </w:r>
      <w:r>
        <w:rPr>
          <w:rFonts w:hint="eastAsia" w:ascii="仿宋" w:hAnsi="仿宋" w:eastAsia="仿宋"/>
          <w:sz w:val="32"/>
          <w:szCs w:val="32"/>
          <w:lang w:val="en-US" w:eastAsia="zh-CN"/>
        </w:rPr>
        <w:t>4.80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b/>
          <w:bCs/>
          <w:sz w:val="32"/>
          <w:szCs w:val="32"/>
          <w:lang w:val="en-US" w:eastAsia="zh-CN"/>
        </w:rPr>
        <w:t>29.22</w:t>
      </w:r>
      <w:r>
        <w:rPr>
          <w:rFonts w:hint="eastAsia" w:ascii="仿宋" w:hAnsi="仿宋" w:eastAsia="仿宋"/>
          <w:sz w:val="32"/>
          <w:szCs w:val="32"/>
        </w:rPr>
        <w:t>万元，占7.</w:t>
      </w:r>
      <w:r>
        <w:rPr>
          <w:rFonts w:hint="eastAsia" w:ascii="仿宋" w:hAnsi="仿宋" w:eastAsia="仿宋"/>
          <w:sz w:val="32"/>
          <w:szCs w:val="32"/>
          <w:lang w:val="en-US" w:eastAsia="zh-CN"/>
        </w:rPr>
        <w:t>46</w:t>
      </w:r>
      <w:r>
        <w:rPr>
          <w:rFonts w:ascii="仿宋" w:hAnsi="仿宋" w:eastAsia="仿宋"/>
          <w:sz w:val="32"/>
          <w:szCs w:val="32"/>
        </w:rPr>
        <w:t>%</w:t>
      </w:r>
      <w:r>
        <w:rPr>
          <w:rFonts w:hint="eastAsia" w:ascii="仿宋" w:hAnsi="仿宋" w:eastAsia="仿宋"/>
          <w:sz w:val="32"/>
          <w:szCs w:val="32"/>
        </w:rPr>
        <w:t>。</w:t>
      </w: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r>
        <w:rPr>
          <w:rFonts w:hint="eastAsia" w:ascii="仿宋" w:eastAsia="仿宋"/>
          <w:sz w:val="32"/>
          <w:szCs w:val="32"/>
        </w:rPr>
        <w:drawing>
          <wp:anchor distT="0" distB="0" distL="114300" distR="114300" simplePos="0" relativeHeight="251662336" behindDoc="0" locked="0" layoutInCell="1" allowOverlap="1">
            <wp:simplePos x="0" y="0"/>
            <wp:positionH relativeFrom="column">
              <wp:posOffset>-168275</wp:posOffset>
            </wp:positionH>
            <wp:positionV relativeFrom="paragraph">
              <wp:posOffset>-147955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仿宋" w:hAnsi="仿宋" w:eastAsia="仿宋"/>
          <w:sz w:val="32"/>
          <w:szCs w:val="32"/>
        </w:rPr>
        <w:t>（图6：一般公共预算财政拨款支出决算结构）（饼状图）</w:t>
      </w:r>
    </w:p>
    <w:p>
      <w:pPr>
        <w:spacing w:line="600" w:lineRule="exact"/>
        <w:ind w:firstLine="643" w:firstLineChars="200"/>
        <w:outlineLvl w:val="2"/>
        <w:rPr>
          <w:rFonts w:ascii="仿宋" w:hAnsi="仿宋" w:eastAsia="仿宋"/>
          <w:b/>
          <w:sz w:val="32"/>
          <w:szCs w:val="32"/>
        </w:rPr>
      </w:pPr>
      <w:bookmarkStart w:id="35" w:name="_Toc15377212"/>
      <w:r>
        <w:rPr>
          <w:rFonts w:hint="eastAsia" w:ascii="仿宋" w:hAnsi="仿宋" w:eastAsia="仿宋"/>
          <w:b/>
          <w:sz w:val="32"/>
          <w:szCs w:val="32"/>
        </w:rPr>
        <w:t>（三）一般公共预算财政拨款支出决算具体情况</w:t>
      </w:r>
      <w:bookmarkEnd w:id="35"/>
    </w:p>
    <w:p>
      <w:pPr>
        <w:spacing w:line="600" w:lineRule="exact"/>
        <w:ind w:firstLine="643" w:firstLineChars="200"/>
        <w:outlineLvl w:val="2"/>
        <w:rPr>
          <w:rFonts w:ascii="仿宋" w:hAnsi="仿宋" w:eastAsia="仿宋"/>
          <w:sz w:val="32"/>
          <w:szCs w:val="32"/>
        </w:rPr>
      </w:pPr>
      <w:bookmarkStart w:id="36" w:name="_Toc15377444"/>
      <w:bookmarkStart w:id="37" w:name="_Toc15378460"/>
      <w:bookmarkStart w:id="38" w:name="_Toc15377213"/>
      <w:r>
        <w:rPr>
          <w:rFonts w:hint="eastAsia" w:ascii="仿宋" w:hAnsi="仿宋" w:eastAsia="仿宋"/>
          <w:b/>
          <w:sz w:val="32"/>
          <w:szCs w:val="32"/>
        </w:rPr>
        <w:t>202</w:t>
      </w:r>
      <w:r>
        <w:rPr>
          <w:rFonts w:hint="eastAsia" w:ascii="仿宋" w:hAnsi="仿宋" w:eastAsia="仿宋"/>
          <w:b/>
          <w:sz w:val="32"/>
          <w:szCs w:val="32"/>
          <w:lang w:val="en-US" w:eastAsia="zh-CN"/>
        </w:rPr>
        <w:t>5</w:t>
      </w:r>
      <w:r>
        <w:rPr>
          <w:rFonts w:hint="eastAsia" w:ascii="仿宋" w:hAnsi="仿宋" w:eastAsia="仿宋"/>
          <w:b/>
          <w:sz w:val="32"/>
          <w:szCs w:val="32"/>
        </w:rPr>
        <w:t>年度一般公共预算支出决算数为</w:t>
      </w:r>
      <w:r>
        <w:rPr>
          <w:rFonts w:hint="eastAsia" w:ascii="仿宋" w:hAnsi="仿宋" w:eastAsia="仿宋"/>
          <w:b/>
          <w:sz w:val="32"/>
          <w:szCs w:val="32"/>
          <w:lang w:val="en-US" w:eastAsia="zh-CN"/>
        </w:rPr>
        <w:t>391.97</w:t>
      </w:r>
      <w:r>
        <w:rPr>
          <w:rFonts w:hint="eastAsia" w:ascii="仿宋" w:hAnsi="仿宋" w:eastAsia="仿宋"/>
          <w:sz w:val="32"/>
          <w:szCs w:val="32"/>
        </w:rPr>
        <w:t>，</w:t>
      </w:r>
      <w:r>
        <w:rPr>
          <w:rStyle w:val="18"/>
          <w:rFonts w:hint="eastAsia" w:ascii="仿宋" w:hAnsi="仿宋" w:eastAsia="仿宋"/>
          <w:bCs/>
          <w:sz w:val="32"/>
          <w:szCs w:val="32"/>
        </w:rPr>
        <w:t>完成预算100</w:t>
      </w:r>
      <w:r>
        <w:rPr>
          <w:rStyle w:val="18"/>
          <w:rFonts w:ascii="仿宋" w:hAnsi="仿宋" w:eastAsia="仿宋"/>
          <w:bCs/>
          <w:sz w:val="32"/>
          <w:szCs w:val="32"/>
        </w:rPr>
        <w:t>%</w:t>
      </w:r>
      <w:r>
        <w:rPr>
          <w:rStyle w:val="18"/>
          <w:rFonts w:hint="eastAsia" w:ascii="仿宋" w:hAnsi="仿宋" w:eastAsia="仿宋"/>
          <w:bCs/>
          <w:sz w:val="32"/>
          <w:szCs w:val="32"/>
        </w:rPr>
        <w:t>。其中：</w:t>
      </w:r>
      <w:bookmarkEnd w:id="36"/>
      <w:bookmarkEnd w:id="37"/>
      <w:bookmarkEnd w:id="38"/>
    </w:p>
    <w:p>
      <w:pPr>
        <w:spacing w:line="600" w:lineRule="exact"/>
        <w:ind w:firstLine="643" w:firstLineChars="200"/>
        <w:rPr>
          <w:rFonts w:ascii="仿宋" w:hAnsi="仿宋" w:eastAsia="仿宋"/>
          <w:b/>
          <w:sz w:val="32"/>
          <w:szCs w:val="32"/>
        </w:rPr>
      </w:pPr>
      <w:r>
        <w:rPr>
          <w:rStyle w:val="18"/>
          <w:rFonts w:ascii="仿宋" w:hAnsi="仿宋" w:eastAsia="仿宋"/>
          <w:bCs/>
          <w:sz w:val="32"/>
          <w:szCs w:val="32"/>
        </w:rPr>
        <w:t>1.</w:t>
      </w:r>
      <w:r>
        <w:rPr>
          <w:rStyle w:val="18"/>
          <w:rFonts w:hint="eastAsia" w:ascii="仿宋" w:hAnsi="仿宋" w:eastAsia="仿宋"/>
          <w:bCs/>
          <w:sz w:val="32"/>
          <w:szCs w:val="32"/>
        </w:rPr>
        <w:t>一般公共服务2013101</w:t>
      </w:r>
      <w:r>
        <w:rPr>
          <w:rStyle w:val="18"/>
          <w:rFonts w:ascii="仿宋" w:hAnsi="仿宋" w:eastAsia="仿宋"/>
          <w:bCs/>
          <w:sz w:val="32"/>
          <w:szCs w:val="32"/>
        </w:rPr>
        <w:t>:</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292.22</w:t>
      </w:r>
      <w:r>
        <w:rPr>
          <w:rStyle w:val="18"/>
          <w:rFonts w:hint="eastAsia" w:ascii="仿宋" w:hAnsi="仿宋" w:eastAsia="仿宋"/>
          <w:b w:val="0"/>
          <w:bCs/>
          <w:sz w:val="32"/>
          <w:szCs w:val="32"/>
        </w:rPr>
        <w:t>万元，完成预算100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rPr>
        <w:t>2</w:t>
      </w:r>
      <w:r>
        <w:rPr>
          <w:rStyle w:val="18"/>
          <w:rFonts w:ascii="仿宋" w:hAnsi="仿宋" w:eastAsia="仿宋"/>
          <w:bCs/>
          <w:sz w:val="32"/>
          <w:szCs w:val="32"/>
        </w:rPr>
        <w:t>.</w:t>
      </w:r>
      <w:r>
        <w:rPr>
          <w:rStyle w:val="18"/>
          <w:rFonts w:hint="eastAsia" w:ascii="仿宋" w:hAnsi="仿宋" w:eastAsia="仿宋"/>
          <w:bCs/>
          <w:sz w:val="32"/>
          <w:szCs w:val="32"/>
        </w:rPr>
        <w:t>社会保障和就业20805</w:t>
      </w:r>
      <w:r>
        <w:rPr>
          <w:rStyle w:val="18"/>
          <w:rFonts w:ascii="仿宋" w:hAnsi="仿宋" w:eastAsia="仿宋"/>
          <w:bCs/>
          <w:sz w:val="32"/>
          <w:szCs w:val="32"/>
        </w:rPr>
        <w:t>:</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51.70</w:t>
      </w:r>
      <w:r>
        <w:rPr>
          <w:rStyle w:val="18"/>
          <w:rFonts w:hint="eastAsia" w:ascii="仿宋" w:hAnsi="仿宋" w:eastAsia="仿宋"/>
          <w:b w:val="0"/>
          <w:bCs/>
          <w:sz w:val="32"/>
          <w:szCs w:val="32"/>
        </w:rPr>
        <w:t>万元，完成预算100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3" w:firstLineChars="200"/>
        <w:rPr>
          <w:rStyle w:val="18"/>
          <w:rFonts w:ascii="仿宋" w:hAnsi="仿宋" w:eastAsia="仿宋"/>
          <w:b w:val="0"/>
          <w:bCs/>
          <w:sz w:val="32"/>
          <w:szCs w:val="32"/>
        </w:rPr>
      </w:pPr>
      <w:r>
        <w:rPr>
          <w:rStyle w:val="18"/>
          <w:rFonts w:hint="eastAsia" w:ascii="仿宋" w:hAnsi="仿宋" w:eastAsia="仿宋"/>
          <w:bCs/>
          <w:sz w:val="32"/>
          <w:szCs w:val="32"/>
        </w:rPr>
        <w:t>3</w:t>
      </w:r>
      <w:r>
        <w:rPr>
          <w:rStyle w:val="18"/>
          <w:rFonts w:ascii="仿宋" w:hAnsi="仿宋" w:eastAsia="仿宋"/>
          <w:bCs/>
          <w:sz w:val="32"/>
          <w:szCs w:val="32"/>
        </w:rPr>
        <w:t>.</w:t>
      </w:r>
      <w:r>
        <w:rPr>
          <w:rFonts w:hint="eastAsia" w:ascii="仿宋" w:hAnsi="仿宋" w:eastAsia="仿宋"/>
          <w:b/>
          <w:bCs/>
          <w:sz w:val="32"/>
          <w:szCs w:val="32"/>
        </w:rPr>
        <w:t>卫生健康</w:t>
      </w:r>
      <w:r>
        <w:rPr>
          <w:rStyle w:val="18"/>
          <w:rFonts w:hint="eastAsia" w:ascii="仿宋" w:hAnsi="仿宋" w:eastAsia="仿宋"/>
          <w:bCs/>
          <w:sz w:val="32"/>
          <w:szCs w:val="32"/>
        </w:rPr>
        <w:t>21011</w:t>
      </w:r>
      <w:r>
        <w:rPr>
          <w:rStyle w:val="18"/>
          <w:rFonts w:ascii="仿宋" w:hAnsi="仿宋" w:eastAsia="仿宋"/>
          <w:bCs/>
          <w:sz w:val="32"/>
          <w:szCs w:val="32"/>
        </w:rPr>
        <w:t>:</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18.83</w:t>
      </w:r>
      <w:r>
        <w:rPr>
          <w:rStyle w:val="18"/>
          <w:rFonts w:hint="eastAsia" w:ascii="仿宋" w:hAnsi="仿宋" w:eastAsia="仿宋"/>
          <w:b w:val="0"/>
          <w:bCs/>
          <w:sz w:val="32"/>
          <w:szCs w:val="32"/>
        </w:rPr>
        <w:t>万元，完成预算100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pStyle w:val="2"/>
        <w:spacing w:before="93"/>
        <w:ind w:firstLine="643" w:firstLineChars="200"/>
        <w:rPr>
          <w:rFonts w:eastAsia="仿宋"/>
        </w:rPr>
      </w:pPr>
      <w:r>
        <w:rPr>
          <w:rStyle w:val="18"/>
          <w:rFonts w:hint="eastAsia" w:ascii="仿宋" w:hAnsi="仿宋" w:eastAsia="仿宋"/>
          <w:bCs/>
          <w:sz w:val="32"/>
          <w:szCs w:val="32"/>
        </w:rPr>
        <w:t>4</w:t>
      </w:r>
      <w:r>
        <w:rPr>
          <w:rStyle w:val="18"/>
          <w:rFonts w:ascii="仿宋" w:hAnsi="仿宋" w:eastAsia="仿宋"/>
          <w:bCs/>
          <w:sz w:val="32"/>
          <w:szCs w:val="32"/>
        </w:rPr>
        <w:t>.</w:t>
      </w:r>
      <w:r>
        <w:rPr>
          <w:rStyle w:val="18"/>
          <w:rFonts w:hint="eastAsia" w:ascii="仿宋" w:hAnsi="仿宋" w:eastAsia="仿宋"/>
          <w:bCs/>
          <w:sz w:val="32"/>
          <w:szCs w:val="32"/>
        </w:rPr>
        <w:t>住房保障2210201</w:t>
      </w:r>
      <w:r>
        <w:rPr>
          <w:rStyle w:val="18"/>
          <w:rFonts w:ascii="仿宋" w:hAnsi="仿宋" w:eastAsia="仿宋"/>
          <w:bCs/>
          <w:sz w:val="32"/>
          <w:szCs w:val="32"/>
        </w:rPr>
        <w:t>:</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29.22</w:t>
      </w:r>
      <w:r>
        <w:rPr>
          <w:rStyle w:val="18"/>
          <w:rFonts w:hint="eastAsia" w:ascii="仿宋" w:hAnsi="仿宋" w:eastAsia="仿宋"/>
          <w:b w:val="0"/>
          <w:bCs/>
          <w:sz w:val="32"/>
          <w:szCs w:val="32"/>
        </w:rPr>
        <w:t>万元，完成预算100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tabs>
          <w:tab w:val="right" w:pos="8306"/>
        </w:tabs>
        <w:spacing w:line="600" w:lineRule="exact"/>
        <w:ind w:firstLine="640"/>
        <w:outlineLvl w:val="1"/>
        <w:rPr>
          <w:rStyle w:val="30"/>
        </w:rPr>
      </w:pPr>
      <w:bookmarkStart w:id="39" w:name="_Toc15396608"/>
      <w:bookmarkStart w:id="40"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0"/>
          <w:rFonts w:hint="eastAsia" w:ascii="黑体" w:hAnsi="黑体" w:eastAsia="黑体"/>
          <w:b w:val="0"/>
        </w:rPr>
        <w:t>般公共预算财政拨款基本支出决算情况说明</w:t>
      </w:r>
      <w:bookmarkEnd w:id="39"/>
      <w:bookmarkEnd w:id="40"/>
      <w:r>
        <w:rPr>
          <w:rStyle w:val="30"/>
          <w:rFonts w:ascii="黑体" w:hAnsi="黑体" w:eastAsia="黑体"/>
          <w:b w:val="0"/>
        </w:rPr>
        <w:tab/>
      </w:r>
    </w:p>
    <w:p>
      <w:pPr>
        <w:spacing w:line="600" w:lineRule="exact"/>
        <w:ind w:firstLine="645"/>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年度一般公共预算财政拨款基本支出</w:t>
      </w:r>
      <w:r>
        <w:rPr>
          <w:rFonts w:hint="eastAsia" w:ascii="仿宋" w:hAnsi="仿宋" w:eastAsia="仿宋"/>
          <w:b/>
          <w:sz w:val="32"/>
          <w:szCs w:val="32"/>
          <w:lang w:val="en-US" w:eastAsia="zh-CN"/>
        </w:rPr>
        <w:t>391.97</w:t>
      </w:r>
      <w:r>
        <w:rPr>
          <w:rFonts w:hint="eastAsia" w:ascii="仿宋" w:hAnsi="仿宋" w:eastAsia="仿宋"/>
          <w:sz w:val="32"/>
          <w:szCs w:val="32"/>
        </w:rPr>
        <w:t>万元，其中：</w:t>
      </w:r>
    </w:p>
    <w:p>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hint="eastAsia" w:ascii="仿宋" w:hAnsi="仿宋" w:eastAsia="仿宋"/>
          <w:b/>
          <w:sz w:val="32"/>
          <w:szCs w:val="32"/>
          <w:lang w:val="en-US" w:eastAsia="zh-CN"/>
        </w:rPr>
        <w:t>358.83</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sz w:val="32"/>
          <w:szCs w:val="32"/>
        </w:rPr>
        <w:br w:type="textWrapping"/>
      </w:r>
      <w:r>
        <w:rPr>
          <w:rFonts w:hint="eastAsia" w:ascii="仿宋" w:hAnsi="仿宋" w:eastAsia="仿宋"/>
          <w:sz w:val="32"/>
          <w:szCs w:val="32"/>
        </w:rPr>
        <w:t>　　公用经费</w:t>
      </w:r>
      <w:r>
        <w:rPr>
          <w:rFonts w:hint="eastAsia" w:ascii="仿宋" w:hAnsi="仿宋" w:eastAsia="仿宋"/>
          <w:sz w:val="32"/>
          <w:szCs w:val="32"/>
          <w:lang w:val="en-US" w:eastAsia="zh-CN"/>
        </w:rPr>
        <w:t>33.13</w:t>
      </w:r>
      <w:r>
        <w:rPr>
          <w:rFonts w:hint="eastAsia" w:ascii="仿宋" w:hAnsi="仿宋" w:eastAsia="仿宋"/>
          <w:sz w:val="32"/>
          <w:szCs w:val="32"/>
        </w:rPr>
        <w:t>万元，主要包括：办公费、印刷费、咨询费、手续费、水费、电费、邮电费、取暖费、物业管理费、差旅费、因公出（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0"/>
          <w:rFonts w:ascii="黑体" w:hAnsi="黑体" w:eastAsia="黑体"/>
          <w:b w:val="0"/>
        </w:rPr>
      </w:pPr>
      <w:bookmarkStart w:id="41" w:name="_Toc15396609"/>
      <w:bookmarkStart w:id="42" w:name="_Toc15377215"/>
      <w:r>
        <w:rPr>
          <w:rFonts w:hint="eastAsia" w:ascii="黑体" w:eastAsia="黑体"/>
          <w:sz w:val="32"/>
          <w:szCs w:val="32"/>
        </w:rPr>
        <w:t>七、</w:t>
      </w:r>
      <w:r>
        <w:rPr>
          <w:rStyle w:val="30"/>
          <w:rFonts w:hint="eastAsia" w:ascii="黑体" w:hAnsi="黑体" w:eastAsia="黑体"/>
          <w:b w:val="0"/>
        </w:rPr>
        <w:t>财政拨款</w:t>
      </w:r>
      <w:r>
        <w:rPr>
          <w:rStyle w:val="30"/>
          <w:rFonts w:hint="eastAsia" w:ascii="黑体" w:hAnsi="黑体" w:eastAsia="黑体"/>
        </w:rPr>
        <w:t>“</w:t>
      </w:r>
      <w:r>
        <w:rPr>
          <w:rStyle w:val="30"/>
          <w:rFonts w:hint="eastAsia" w:ascii="黑体" w:hAnsi="黑体" w:eastAsia="黑体"/>
          <w:b w:val="0"/>
        </w:rPr>
        <w:t>三公”经费支出决算情况说明</w:t>
      </w:r>
      <w:bookmarkEnd w:id="41"/>
      <w:bookmarkEnd w:id="42"/>
    </w:p>
    <w:p>
      <w:pPr>
        <w:spacing w:line="600" w:lineRule="exact"/>
        <w:ind w:firstLine="640"/>
        <w:outlineLvl w:val="2"/>
        <w:rPr>
          <w:rFonts w:ascii="仿宋" w:hAnsi="仿宋" w:eastAsia="仿宋"/>
          <w:b/>
          <w:sz w:val="32"/>
          <w:szCs w:val="32"/>
        </w:rPr>
      </w:pPr>
      <w:bookmarkStart w:id="43" w:name="_Toc15377216"/>
      <w:r>
        <w:rPr>
          <w:rFonts w:hint="eastAsia" w:ascii="仿宋" w:hAnsi="仿宋" w:eastAsia="仿宋"/>
          <w:b/>
          <w:sz w:val="32"/>
          <w:szCs w:val="32"/>
        </w:rPr>
        <w:t>（一）“三公”经费财政拨款支出决算总体情况说明</w:t>
      </w:r>
      <w:bookmarkEnd w:id="43"/>
    </w:p>
    <w:p>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年度“三公”经费财政拨款支出决算为</w:t>
      </w:r>
      <w:r>
        <w:rPr>
          <w:rFonts w:hint="eastAsia" w:ascii="仿宋" w:hAnsi="仿宋" w:eastAsia="仿宋"/>
          <w:b/>
          <w:sz w:val="32"/>
          <w:szCs w:val="32"/>
          <w:lang w:val="en-US" w:eastAsia="zh-CN"/>
        </w:rPr>
        <w:t>0.97</w:t>
      </w:r>
      <w:r>
        <w:rPr>
          <w:rFonts w:hint="eastAsia" w:ascii="仿宋" w:hAnsi="仿宋" w:eastAsia="仿宋"/>
          <w:sz w:val="32"/>
          <w:szCs w:val="32"/>
        </w:rPr>
        <w:t>万元，完成预算</w:t>
      </w:r>
      <w:r>
        <w:rPr>
          <w:rFonts w:ascii="仿宋" w:hAnsi="仿宋" w:eastAsia="仿宋"/>
          <w:b/>
          <w:sz w:val="32"/>
          <w:szCs w:val="32"/>
        </w:rPr>
        <w:t>100</w:t>
      </w:r>
      <w:r>
        <w:rPr>
          <w:rFonts w:ascii="仿宋" w:hAnsi="仿宋" w:eastAsia="仿宋"/>
          <w:sz w:val="32"/>
          <w:szCs w:val="32"/>
        </w:rPr>
        <w:t>%</w:t>
      </w:r>
      <w:r>
        <w:rPr>
          <w:rFonts w:hint="eastAsia" w:ascii="仿宋" w:hAnsi="仿宋" w:eastAsia="仿宋"/>
          <w:sz w:val="32"/>
          <w:szCs w:val="32"/>
        </w:rPr>
        <w:t>，较上年度减少</w:t>
      </w:r>
      <w:r>
        <w:rPr>
          <w:rFonts w:hint="eastAsia" w:ascii="仿宋" w:hAnsi="仿宋" w:eastAsia="仿宋"/>
          <w:sz w:val="32"/>
          <w:szCs w:val="32"/>
          <w:lang w:val="en-US" w:eastAsia="zh-CN"/>
        </w:rPr>
        <w:t>0.63</w:t>
      </w:r>
      <w:r>
        <w:rPr>
          <w:rFonts w:hint="eastAsia" w:ascii="仿宋" w:hAnsi="仿宋" w:eastAsia="仿宋"/>
          <w:sz w:val="32"/>
          <w:szCs w:val="32"/>
        </w:rPr>
        <w:t>万元，下降</w:t>
      </w:r>
      <w:r>
        <w:rPr>
          <w:rFonts w:hint="eastAsia" w:ascii="仿宋" w:hAnsi="仿宋" w:eastAsia="仿宋"/>
          <w:sz w:val="32"/>
          <w:szCs w:val="32"/>
          <w:lang w:val="en-US" w:eastAsia="zh-CN"/>
        </w:rPr>
        <w:t>39.37</w:t>
      </w:r>
      <w:r>
        <w:rPr>
          <w:rFonts w:hint="eastAsia" w:ascii="仿宋" w:hAnsi="仿宋" w:eastAsia="仿宋"/>
          <w:sz w:val="32"/>
          <w:szCs w:val="32"/>
        </w:rPr>
        <w:t>%。决算数小于预算数的主要原因是坚持从严从简，厉行节俭，降低公务用车运行维护费用，</w:t>
      </w:r>
      <w:r>
        <w:rPr>
          <w:rFonts w:hint="eastAsia" w:ascii="仿宋_GB2312" w:eastAsia="仿宋_GB2312"/>
          <w:sz w:val="32"/>
          <w:szCs w:val="32"/>
        </w:rPr>
        <w:t>较202</w:t>
      </w:r>
      <w:r>
        <w:rPr>
          <w:rFonts w:hint="eastAsia" w:ascii="仿宋_GB2312" w:eastAsia="仿宋_GB2312"/>
          <w:sz w:val="32"/>
          <w:szCs w:val="32"/>
          <w:lang w:val="en-US" w:eastAsia="zh-CN"/>
        </w:rPr>
        <w:t>4</w:t>
      </w:r>
      <w:r>
        <w:rPr>
          <w:rFonts w:hint="eastAsia" w:ascii="仿宋_GB2312" w:eastAsia="仿宋_GB2312"/>
          <w:sz w:val="32"/>
          <w:szCs w:val="32"/>
        </w:rPr>
        <w:t>年决算相比有所下降。</w:t>
      </w:r>
    </w:p>
    <w:p>
      <w:pPr>
        <w:spacing w:line="600" w:lineRule="exact"/>
        <w:ind w:firstLine="640"/>
        <w:outlineLvl w:val="2"/>
        <w:rPr>
          <w:rFonts w:ascii="仿宋" w:hAnsi="仿宋" w:eastAsia="仿宋"/>
          <w:b/>
          <w:sz w:val="32"/>
          <w:szCs w:val="32"/>
        </w:rPr>
      </w:pPr>
      <w:bookmarkStart w:id="44" w:name="_Toc15377217"/>
      <w:r>
        <w:rPr>
          <w:rFonts w:hint="eastAsia" w:ascii="仿宋" w:hAnsi="仿宋" w:eastAsia="仿宋"/>
          <w:b/>
          <w:sz w:val="32"/>
          <w:szCs w:val="32"/>
        </w:rPr>
        <w:t>（二）“三公”经费财政拨款支出决算具体情况说明</w:t>
      </w:r>
      <w:bookmarkEnd w:id="44"/>
    </w:p>
    <w:p>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年度“三公”经费财政拨款支出决算中，因公（境）费支出决算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hint="eastAsia" w:ascii="仿宋" w:hAnsi="仿宋" w:eastAsia="仿宋"/>
          <w:sz w:val="32"/>
          <w:szCs w:val="32"/>
          <w:lang w:val="en-US" w:eastAsia="zh-CN"/>
        </w:rPr>
        <w:t>0.97</w:t>
      </w:r>
      <w:r>
        <w:rPr>
          <w:rFonts w:hint="eastAsia" w:ascii="仿宋" w:hAnsi="仿宋" w:eastAsia="仿宋"/>
          <w:sz w:val="32"/>
          <w:szCs w:val="32"/>
        </w:rPr>
        <w:t>万元，占</w:t>
      </w:r>
      <w:r>
        <w:rPr>
          <w:rFonts w:hint="eastAsia" w:eastAsia="仿宋"/>
          <w:sz w:val="32"/>
          <w:szCs w:val="32"/>
        </w:rPr>
        <w:t>100</w:t>
      </w:r>
      <w:r>
        <w:rPr>
          <w:rFonts w:ascii="仿宋" w:hAnsi="仿宋" w:eastAsia="仿宋"/>
          <w:sz w:val="32"/>
          <w:szCs w:val="32"/>
        </w:rPr>
        <w:t>%</w:t>
      </w:r>
      <w:r>
        <w:rPr>
          <w:rFonts w:hint="eastAsia" w:ascii="仿宋" w:hAnsi="仿宋" w:eastAsia="仿宋"/>
          <w:sz w:val="32"/>
          <w:szCs w:val="32"/>
        </w:rPr>
        <w:t>；公务接待费支出决算</w:t>
      </w:r>
      <w:r>
        <w:rPr>
          <w:rFonts w:hint="eastAsia" w:eastAsia="仿宋"/>
          <w:sz w:val="32"/>
          <w:szCs w:val="32"/>
        </w:rPr>
        <w:t>0</w:t>
      </w:r>
      <w:r>
        <w:rPr>
          <w:rFonts w:hint="eastAsia" w:ascii="仿宋" w:hAnsi="仿宋" w:eastAsia="仿宋"/>
          <w:sz w:val="32"/>
          <w:szCs w:val="32"/>
        </w:rPr>
        <w:t>万元，占0</w:t>
      </w:r>
      <w:r>
        <w:rPr>
          <w:rFonts w:ascii="仿宋" w:hAnsi="仿宋" w:eastAsia="仿宋"/>
          <w:sz w:val="32"/>
          <w:szCs w:val="32"/>
        </w:rPr>
        <w:t>%</w:t>
      </w:r>
      <w:r>
        <w:rPr>
          <w:rFonts w:hint="eastAsia" w:ascii="仿宋" w:hAnsi="仿宋" w:eastAsia="仿宋"/>
          <w:sz w:val="32"/>
          <w:szCs w:val="32"/>
        </w:rPr>
        <w:t>。具体情况如下：</w:t>
      </w:r>
    </w:p>
    <w:p>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r>
        <w:rPr>
          <w:rFonts w:hint="eastAsia" w:ascii="仿宋" w:eastAsia="仿宋"/>
          <w:sz w:val="32"/>
          <w:szCs w:val="32"/>
        </w:rPr>
        <w:drawing>
          <wp:anchor distT="0" distB="0" distL="114300" distR="114300" simplePos="0" relativeHeight="251663360" behindDoc="0" locked="0" layoutInCell="1" allowOverlap="1">
            <wp:simplePos x="0" y="0"/>
            <wp:positionH relativeFrom="column">
              <wp:posOffset>-12065</wp:posOffset>
            </wp:positionH>
            <wp:positionV relativeFrom="paragraph">
              <wp:posOffset>241935</wp:posOffset>
            </wp:positionV>
            <wp:extent cx="5256530" cy="2988310"/>
            <wp:effectExtent l="5080" t="4445" r="15240" b="17145"/>
            <wp:wrapTopAndBottom/>
            <wp:docPr id="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spacing w:line="600" w:lineRule="exact"/>
        <w:ind w:firstLine="321" w:firstLineChars="100"/>
        <w:rPr>
          <w:rFonts w:ascii="宋体" w:hAnsi="宋体" w:cs="宋体"/>
          <w:sz w:val="32"/>
          <w:szCs w:val="32"/>
        </w:rPr>
      </w:pPr>
      <w:bookmarkStart w:id="45" w:name="_Toc15396610"/>
      <w:bookmarkStart w:id="46" w:name="_Toc15377218"/>
      <w:r>
        <w:rPr>
          <w:rFonts w:hint="eastAsia" w:ascii="仿宋_GB2312" w:eastAsia="仿宋_GB2312"/>
          <w:b/>
          <w:sz w:val="32"/>
          <w:szCs w:val="32"/>
        </w:rPr>
        <w:t>1.因公出国（境）经费支出</w:t>
      </w:r>
      <w:r>
        <w:rPr>
          <w:rFonts w:ascii="仿宋" w:hAnsi="仿宋" w:eastAsia="仿宋"/>
          <w:b/>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ascii="仿宋" w:hAnsi="仿宋" w:eastAsia="仿宋"/>
          <w:bCs/>
          <w:sz w:val="32"/>
          <w:szCs w:val="32"/>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w:t>
      </w:r>
    </w:p>
    <w:p>
      <w:pPr>
        <w:spacing w:line="600" w:lineRule="exact"/>
        <w:rPr>
          <w:rFonts w:ascii="宋体" w:hAnsi="宋体" w:cs="宋体"/>
          <w:sz w:val="32"/>
          <w:szCs w:val="32"/>
        </w:rPr>
      </w:pPr>
      <w:r>
        <w:rPr>
          <w:rFonts w:hint="eastAsia" w:ascii="仿宋_GB2312" w:eastAsia="仿宋_GB2312"/>
          <w:sz w:val="32"/>
          <w:szCs w:val="32"/>
        </w:rPr>
        <w:t>出国（境）</w:t>
      </w:r>
      <w:r>
        <w:rPr>
          <w:rFonts w:ascii="仿宋_GB2312" w:eastAsia="仿宋_GB2312"/>
          <w:b/>
          <w:sz w:val="32"/>
          <w:szCs w:val="32"/>
        </w:rPr>
        <w:t>0</w:t>
      </w:r>
      <w:r>
        <w:rPr>
          <w:rFonts w:hint="eastAsia" w:ascii="仿宋_GB2312" w:eastAsia="仿宋_GB2312"/>
          <w:sz w:val="32"/>
          <w:szCs w:val="32"/>
        </w:rPr>
        <w:t>人。因公出国（境）支出决算比202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宋体" w:hAnsi="宋体" w:cs="宋体"/>
          <w:sz w:val="32"/>
          <w:szCs w:val="32"/>
        </w:rPr>
        <w:t>无变化。</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2.开支内容包括：无</w:t>
      </w:r>
    </w:p>
    <w:p>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 w:hAnsi="仿宋" w:eastAsia="仿宋"/>
          <w:b/>
          <w:sz w:val="32"/>
          <w:szCs w:val="32"/>
          <w:lang w:val="en-US" w:eastAsia="zh-CN"/>
        </w:rPr>
        <w:t>0.97</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ascii="仿宋" w:hAnsi="仿宋" w:eastAsia="仿宋"/>
          <w:bCs/>
          <w:sz w:val="32"/>
          <w:szCs w:val="32"/>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公务用车购置及运行维护费支出决算比202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ascii="仿宋" w:hAnsi="仿宋" w:eastAsia="仿宋"/>
          <w:sz w:val="32"/>
          <w:szCs w:val="32"/>
        </w:rPr>
        <w:t>减少</w:t>
      </w:r>
      <w:r>
        <w:rPr>
          <w:rFonts w:hint="eastAsia" w:ascii="仿宋" w:hAnsi="仿宋" w:eastAsia="仿宋"/>
          <w:sz w:val="32"/>
          <w:szCs w:val="32"/>
          <w:lang w:val="en-US" w:eastAsia="zh-CN"/>
        </w:rPr>
        <w:t>0.63</w:t>
      </w:r>
      <w:r>
        <w:rPr>
          <w:rFonts w:hint="eastAsia" w:ascii="仿宋" w:hAnsi="仿宋" w:eastAsia="仿宋"/>
          <w:sz w:val="32"/>
          <w:szCs w:val="32"/>
        </w:rPr>
        <w:t>万元，下降</w:t>
      </w:r>
      <w:r>
        <w:rPr>
          <w:rFonts w:hint="eastAsia" w:ascii="仿宋" w:hAnsi="仿宋" w:eastAsia="仿宋"/>
          <w:sz w:val="32"/>
          <w:szCs w:val="32"/>
          <w:lang w:val="en-US" w:eastAsia="zh-CN"/>
        </w:rPr>
        <w:t>39.37</w:t>
      </w:r>
      <w:r>
        <w:rPr>
          <w:rFonts w:hint="eastAsia" w:ascii="仿宋" w:hAnsi="仿宋" w:eastAsia="仿宋"/>
          <w:sz w:val="32"/>
          <w:szCs w:val="32"/>
        </w:rPr>
        <w:t>%。决算数小于预算数的主要原因是坚持从严从简，厉行节俭，降低公务用车运行维护费用，</w:t>
      </w:r>
      <w:r>
        <w:rPr>
          <w:rFonts w:hint="eastAsia" w:ascii="仿宋_GB2312" w:eastAsia="仿宋_GB2312"/>
          <w:sz w:val="32"/>
          <w:szCs w:val="32"/>
        </w:rPr>
        <w:t>较202</w:t>
      </w:r>
      <w:r>
        <w:rPr>
          <w:rFonts w:hint="eastAsia" w:ascii="仿宋_GB2312" w:eastAsia="仿宋_GB2312"/>
          <w:sz w:val="32"/>
          <w:szCs w:val="32"/>
          <w:lang w:val="en-US" w:eastAsia="zh-CN"/>
        </w:rPr>
        <w:t>4</w:t>
      </w:r>
      <w:r>
        <w:rPr>
          <w:rFonts w:hint="eastAsia" w:ascii="仿宋_GB2312" w:eastAsia="仿宋_GB2312"/>
          <w:sz w:val="32"/>
          <w:szCs w:val="32"/>
        </w:rPr>
        <w:t>年决算相比有所下降。</w:t>
      </w:r>
    </w:p>
    <w:p>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万元。全年按规定更新购置公务用车0辆，其中：轿车0辆、金额0万元，越野车0辆、金额0万元，载客汽车0辆、金额0万元。截至202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月31日，单位共有公务用车1辆，其中：轿车1辆。</w:t>
      </w:r>
    </w:p>
    <w:p>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 w:hAnsi="仿宋" w:eastAsia="仿宋"/>
          <w:b/>
          <w:sz w:val="32"/>
          <w:szCs w:val="32"/>
          <w:lang w:val="en-US" w:eastAsia="zh-CN"/>
        </w:rPr>
        <w:t>0.97</w:t>
      </w:r>
      <w:r>
        <w:rPr>
          <w:rFonts w:hint="eastAsia" w:ascii="仿宋_GB2312" w:eastAsia="仿宋_GB2312"/>
          <w:sz w:val="32"/>
          <w:szCs w:val="32"/>
        </w:rPr>
        <w:t>万元。主要用于：机构编制调研下乡、出差等工作所需的公务用车燃料费、维修费、过路过桥费、保险费等支出。</w:t>
      </w:r>
    </w:p>
    <w:p>
      <w:pPr>
        <w:numPr>
          <w:ilvl w:val="0"/>
          <w:numId w:val="4"/>
        </w:numPr>
        <w:spacing w:line="600" w:lineRule="exact"/>
        <w:ind w:firstLine="640"/>
        <w:rPr>
          <w:rFonts w:hint="eastAsia" w:ascii="仿宋_GB2312" w:eastAsia="仿宋_GB2312"/>
          <w:sz w:val="32"/>
          <w:szCs w:val="32"/>
          <w:lang w:val="en-US" w:eastAsia="zh-CN"/>
        </w:rPr>
      </w:pPr>
      <w:r>
        <w:rPr>
          <w:rFonts w:hint="eastAsia" w:ascii="仿宋_GB2312" w:eastAsia="仿宋_GB2312"/>
          <w:b/>
          <w:sz w:val="32"/>
          <w:szCs w:val="32"/>
        </w:rPr>
        <w:t>公务接待费支出0</w:t>
      </w:r>
      <w:r>
        <w:rPr>
          <w:rFonts w:hint="eastAsia" w:ascii="仿宋_GB2312" w:eastAsia="仿宋_GB2312"/>
          <w:sz w:val="32"/>
          <w:szCs w:val="32"/>
        </w:rPr>
        <w:t>万元，公务接待费支出决算比202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ascii="仿宋_GB2312" w:eastAsia="仿宋_GB2312"/>
          <w:sz w:val="32"/>
          <w:szCs w:val="32"/>
          <w:lang w:val="en-US" w:eastAsia="zh-CN"/>
        </w:rPr>
        <w:t>无变化。</w:t>
      </w:r>
    </w:p>
    <w:p>
      <w:pPr>
        <w:numPr>
          <w:ilvl w:val="0"/>
          <w:numId w:val="4"/>
        </w:numPr>
        <w:spacing w:line="600" w:lineRule="exact"/>
        <w:ind w:firstLine="640"/>
        <w:rPr>
          <w:rFonts w:ascii="仿宋_GB2312" w:eastAsia="仿宋_GB2312"/>
          <w:sz w:val="32"/>
          <w:szCs w:val="32"/>
        </w:rPr>
      </w:pPr>
      <w:r>
        <w:rPr>
          <w:rFonts w:hint="eastAsia" w:ascii="仿宋" w:hAnsi="仿宋" w:eastAsia="仿宋"/>
          <w:b/>
          <w:sz w:val="32"/>
          <w:szCs w:val="32"/>
        </w:rPr>
        <w:t>国内公务接待支出0</w:t>
      </w:r>
      <w:r>
        <w:rPr>
          <w:rFonts w:hint="eastAsia" w:ascii="仿宋_GB2312" w:eastAsia="仿宋_GB2312"/>
          <w:sz w:val="32"/>
          <w:szCs w:val="32"/>
        </w:rPr>
        <w:t>万元，主要用于业务活动开支的用餐费等。国内公务接待0批次，0人次（不包括陪同人员），共计支出0万元。较202</w:t>
      </w:r>
      <w:r>
        <w:rPr>
          <w:rFonts w:hint="eastAsia" w:ascii="仿宋_GB2312" w:eastAsia="仿宋_GB2312"/>
          <w:sz w:val="32"/>
          <w:szCs w:val="32"/>
          <w:lang w:val="en-US" w:eastAsia="zh-CN"/>
        </w:rPr>
        <w:t>4</w:t>
      </w:r>
      <w:r>
        <w:rPr>
          <w:rFonts w:hint="eastAsia" w:ascii="仿宋_GB2312" w:eastAsia="仿宋_GB2312"/>
          <w:sz w:val="32"/>
          <w:szCs w:val="32"/>
        </w:rPr>
        <w:t>年决算相比</w:t>
      </w:r>
      <w:r>
        <w:rPr>
          <w:rFonts w:hint="eastAsia" w:ascii="仿宋_GB2312" w:eastAsia="仿宋_GB2312"/>
          <w:sz w:val="32"/>
          <w:szCs w:val="32"/>
          <w:lang w:val="en-US" w:eastAsia="zh-CN"/>
        </w:rPr>
        <w:t>无变化</w:t>
      </w:r>
      <w:r>
        <w:rPr>
          <w:rFonts w:hint="eastAsia" w:ascii="仿宋_GB2312" w:eastAsia="仿宋_GB2312"/>
          <w:sz w:val="32"/>
          <w:szCs w:val="32"/>
        </w:rPr>
        <w:t>。</w:t>
      </w:r>
    </w:p>
    <w:p>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万元，较202</w:t>
      </w:r>
      <w:r>
        <w:rPr>
          <w:rFonts w:hint="eastAsia" w:ascii="仿宋_GB2312" w:eastAsia="仿宋_GB2312"/>
          <w:sz w:val="32"/>
          <w:szCs w:val="32"/>
          <w:lang w:val="en-US" w:eastAsia="zh-CN"/>
        </w:rPr>
        <w:t>4</w:t>
      </w:r>
      <w:r>
        <w:rPr>
          <w:rFonts w:hint="eastAsia" w:ascii="仿宋_GB2312" w:eastAsia="仿宋_GB2312"/>
          <w:sz w:val="32"/>
          <w:szCs w:val="32"/>
        </w:rPr>
        <w:t>年决算相比无变化</w:t>
      </w:r>
    </w:p>
    <w:p>
      <w:pPr>
        <w:spacing w:line="600" w:lineRule="exact"/>
        <w:ind w:firstLine="640" w:firstLineChars="200"/>
        <w:outlineLvl w:val="1"/>
        <w:rPr>
          <w:rStyle w:val="30"/>
          <w:rFonts w:ascii="黑体" w:hAnsi="黑体" w:eastAsia="黑体"/>
        </w:rPr>
      </w:pPr>
      <w:r>
        <w:rPr>
          <w:rFonts w:hint="eastAsia" w:ascii="黑体" w:eastAsia="黑体"/>
          <w:sz w:val="32"/>
          <w:szCs w:val="32"/>
        </w:rPr>
        <w:t>八、</w:t>
      </w:r>
      <w:r>
        <w:rPr>
          <w:rStyle w:val="30"/>
          <w:rFonts w:hint="eastAsia" w:ascii="黑体" w:hAnsi="黑体" w:eastAsia="黑体"/>
          <w:b w:val="0"/>
        </w:rPr>
        <w:t>政府性基金预算支出决算情况说明</w:t>
      </w:r>
      <w:bookmarkEnd w:id="45"/>
      <w:bookmarkEnd w:id="46"/>
    </w:p>
    <w:p>
      <w:pPr>
        <w:spacing w:line="600" w:lineRule="exact"/>
        <w:ind w:firstLine="64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年相比无变化。</w:t>
      </w:r>
    </w:p>
    <w:p>
      <w:pPr>
        <w:numPr>
          <w:ilvl w:val="0"/>
          <w:numId w:val="5"/>
        </w:numPr>
        <w:spacing w:line="600" w:lineRule="exact"/>
        <w:ind w:firstLine="640"/>
        <w:outlineLvl w:val="1"/>
        <w:rPr>
          <w:rStyle w:val="30"/>
          <w:rFonts w:ascii="黑体" w:hAnsi="黑体" w:eastAsia="黑体"/>
          <w:b w:val="0"/>
        </w:rPr>
      </w:pPr>
      <w:bookmarkStart w:id="47" w:name="_Toc15396611"/>
      <w:bookmarkStart w:id="48" w:name="_Toc15377219"/>
      <w:r>
        <w:rPr>
          <w:rStyle w:val="30"/>
          <w:rFonts w:hint="eastAsia" w:ascii="黑体" w:hAnsi="黑体" w:eastAsia="黑体"/>
          <w:b w:val="0"/>
        </w:rPr>
        <w:t>国有资本经营预算支出决算情况说明</w:t>
      </w:r>
      <w:bookmarkEnd w:id="47"/>
      <w:bookmarkEnd w:id="48"/>
    </w:p>
    <w:p>
      <w:pPr>
        <w:spacing w:line="600" w:lineRule="exact"/>
        <w:ind w:firstLine="640"/>
        <w:rPr>
          <w:rFonts w:ascii="微软雅黑" w:hAnsi="微软雅黑" w:eastAsia="微软雅黑" w:cs="微软雅黑"/>
          <w:sz w:val="44"/>
          <w:szCs w:val="44"/>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年相比无变化。</w:t>
      </w:r>
    </w:p>
    <w:p>
      <w:pPr>
        <w:numPr>
          <w:ilvl w:val="0"/>
          <w:numId w:val="5"/>
        </w:numPr>
        <w:spacing w:line="600" w:lineRule="exact"/>
        <w:ind w:firstLine="640"/>
        <w:outlineLvl w:val="1"/>
        <w:rPr>
          <w:rStyle w:val="30"/>
          <w:rFonts w:ascii="黑体" w:hAnsi="黑体" w:eastAsia="黑体"/>
          <w:b w:val="0"/>
        </w:rPr>
      </w:pPr>
      <w:bookmarkStart w:id="49" w:name="_Toc15396612"/>
      <w:bookmarkStart w:id="50" w:name="_Toc15377221"/>
      <w:r>
        <w:rPr>
          <w:rStyle w:val="30"/>
          <w:rFonts w:hint="eastAsia" w:ascii="黑体" w:hAnsi="黑体" w:eastAsia="黑体"/>
          <w:b w:val="0"/>
        </w:rPr>
        <w:t>其他重要事项的情况说明</w:t>
      </w:r>
      <w:bookmarkEnd w:id="49"/>
      <w:bookmarkEnd w:id="50"/>
    </w:p>
    <w:p>
      <w:pPr>
        <w:spacing w:line="600" w:lineRule="exact"/>
        <w:ind w:firstLine="643" w:firstLineChars="200"/>
        <w:outlineLvl w:val="2"/>
        <w:rPr>
          <w:rFonts w:ascii="仿宋" w:hAnsi="仿宋" w:eastAsia="仿宋"/>
          <w:sz w:val="32"/>
          <w:szCs w:val="32"/>
        </w:rPr>
      </w:pPr>
      <w:bookmarkStart w:id="51" w:name="_Toc15377222"/>
      <w:r>
        <w:rPr>
          <w:rFonts w:hint="eastAsia" w:ascii="仿宋" w:hAnsi="仿宋" w:eastAsia="仿宋"/>
          <w:b/>
          <w:sz w:val="32"/>
          <w:szCs w:val="32"/>
        </w:rPr>
        <w:t>（一）机关运行经费支出情况</w:t>
      </w:r>
      <w:bookmarkEnd w:id="51"/>
    </w:p>
    <w:p>
      <w:pPr>
        <w:spacing w:line="600" w:lineRule="exact"/>
        <w:ind w:firstLine="640"/>
        <w:rPr>
          <w:rFonts w:ascii="仿宋_GB2312" w:hAnsi="仿宋_GB2312" w:eastAsia="仿宋_GB2312" w:cs="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ascii="仿宋_GB2312" w:eastAsia="仿宋_GB2312"/>
          <w:b/>
          <w:sz w:val="32"/>
          <w:szCs w:val="32"/>
        </w:rPr>
        <w:t>中共阿坝州若尔盖县机构编制委员会办公室（</w:t>
      </w:r>
      <w:r>
        <w:rPr>
          <w:rFonts w:hint="eastAsia" w:ascii="仿宋_GB2312" w:eastAsia="仿宋_GB2312"/>
          <w:b/>
          <w:sz w:val="32"/>
          <w:szCs w:val="32"/>
        </w:rPr>
        <w:t>汇总</w:t>
      </w:r>
      <w:r>
        <w:rPr>
          <w:rFonts w:ascii="仿宋_GB2312" w:eastAsia="仿宋_GB2312"/>
          <w:b/>
          <w:sz w:val="32"/>
          <w:szCs w:val="32"/>
        </w:rPr>
        <w:t>）</w:t>
      </w:r>
      <w:r>
        <w:rPr>
          <w:rFonts w:hint="eastAsia" w:ascii="仿宋_GB2312" w:eastAsia="仿宋_GB2312"/>
          <w:sz w:val="32"/>
          <w:szCs w:val="32"/>
        </w:rPr>
        <w:t>机关运行经费支出</w:t>
      </w:r>
      <w:r>
        <w:rPr>
          <w:rFonts w:hint="eastAsia" w:ascii="仿宋" w:hAnsi="仿宋" w:eastAsia="仿宋"/>
          <w:b/>
          <w:sz w:val="32"/>
          <w:szCs w:val="32"/>
          <w:lang w:val="en-US" w:eastAsia="zh-CN"/>
        </w:rPr>
        <w:t>33.12</w:t>
      </w:r>
      <w:r>
        <w:rPr>
          <w:rFonts w:hint="eastAsia" w:ascii="仿宋_GB2312" w:eastAsia="仿宋_GB2312"/>
          <w:sz w:val="32"/>
          <w:szCs w:val="32"/>
        </w:rPr>
        <w:t>万元，</w:t>
      </w:r>
      <w:r>
        <w:rPr>
          <w:rFonts w:hint="eastAsia" w:ascii="仿宋_GB2312" w:eastAsia="仿宋_GB2312"/>
          <w:sz w:val="32"/>
          <w:szCs w:val="32"/>
          <w:lang w:val="en-US" w:eastAsia="zh-CN"/>
        </w:rPr>
        <w:t>较</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年度增加</w:t>
      </w:r>
      <w:r>
        <w:rPr>
          <w:rFonts w:hint="eastAsia" w:ascii="仿宋_GB2312" w:eastAsia="仿宋_GB2312"/>
          <w:sz w:val="32"/>
          <w:szCs w:val="32"/>
          <w:lang w:val="en-US" w:eastAsia="zh-CN"/>
        </w:rPr>
        <w:t>12.98</w:t>
      </w:r>
      <w:r>
        <w:rPr>
          <w:rFonts w:hint="eastAsia" w:ascii="仿宋_GB2312" w:eastAsia="仿宋_GB2312"/>
          <w:sz w:val="32"/>
          <w:szCs w:val="32"/>
        </w:rPr>
        <w:t>万元，上升</w:t>
      </w:r>
      <w:r>
        <w:rPr>
          <w:rFonts w:hint="eastAsia" w:ascii="仿宋_GB2312" w:eastAsia="仿宋_GB2312"/>
          <w:sz w:val="32"/>
          <w:szCs w:val="32"/>
          <w:lang w:val="en-US" w:eastAsia="zh-CN"/>
        </w:rPr>
        <w:t>39.19</w:t>
      </w:r>
      <w:r>
        <w:rPr>
          <w:rFonts w:ascii="仿宋_GB2312" w:eastAsia="仿宋_GB2312"/>
          <w:sz w:val="32"/>
          <w:szCs w:val="32"/>
        </w:rPr>
        <w:t>%</w:t>
      </w:r>
      <w:r>
        <w:rPr>
          <w:rFonts w:hint="eastAsia" w:ascii="仿宋_GB2312" w:eastAsia="仿宋_GB2312"/>
          <w:sz w:val="32"/>
          <w:szCs w:val="32"/>
        </w:rPr>
        <w:t>。主要原因是因</w:t>
      </w:r>
      <w:r>
        <w:rPr>
          <w:rFonts w:hint="eastAsia" w:ascii="仿宋_GB2312" w:eastAsia="仿宋_GB2312"/>
          <w:sz w:val="32"/>
          <w:szCs w:val="32"/>
          <w:lang w:val="en-US" w:eastAsia="zh-CN"/>
        </w:rPr>
        <w:t>人员</w:t>
      </w:r>
      <w:r>
        <w:rPr>
          <w:rFonts w:hint="eastAsia" w:ascii="仿宋_GB2312" w:eastAsia="仿宋_GB2312"/>
          <w:sz w:val="32"/>
          <w:szCs w:val="32"/>
        </w:rPr>
        <w:t>新增，</w:t>
      </w:r>
      <w:r>
        <w:rPr>
          <w:rFonts w:hint="eastAsia" w:ascii="仿宋_GB2312" w:eastAsia="仿宋_GB2312"/>
          <w:sz w:val="32"/>
          <w:szCs w:val="32"/>
          <w:lang w:val="en-US" w:eastAsia="zh-CN"/>
        </w:rPr>
        <w:t>购买办公设备等，</w:t>
      </w:r>
      <w:r>
        <w:rPr>
          <w:rFonts w:hint="eastAsia" w:ascii="仿宋_GB2312" w:eastAsia="仿宋_GB2312"/>
          <w:sz w:val="32"/>
          <w:szCs w:val="32"/>
        </w:rPr>
        <w:t>导致机关运行费增加，所以较</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年相比有所增加。</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52" w:name="_Toc15377223"/>
      <w:r>
        <w:rPr>
          <w:rFonts w:hint="eastAsia" w:ascii="仿宋" w:hAnsi="仿宋" w:eastAsia="仿宋"/>
          <w:b/>
          <w:sz w:val="32"/>
          <w:szCs w:val="32"/>
        </w:rPr>
        <w:t>（二）政府采购支出情况</w:t>
      </w:r>
      <w:bookmarkEnd w:id="52"/>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ascii="仿宋_GB2312" w:eastAsia="仿宋_GB2312"/>
          <w:b/>
          <w:sz w:val="32"/>
          <w:szCs w:val="32"/>
        </w:rPr>
        <w:t>中共阿坝州若尔盖县机构编制委员会办公室（</w:t>
      </w:r>
      <w:r>
        <w:rPr>
          <w:rFonts w:hint="eastAsia" w:ascii="仿宋_GB2312" w:eastAsia="仿宋_GB2312"/>
          <w:b/>
          <w:sz w:val="32"/>
          <w:szCs w:val="32"/>
        </w:rPr>
        <w:t>汇总</w:t>
      </w:r>
      <w:r>
        <w:rPr>
          <w:rFonts w:ascii="仿宋_GB2312" w:eastAsia="仿宋_GB2312"/>
          <w:b/>
          <w:sz w:val="32"/>
          <w:szCs w:val="32"/>
        </w:rPr>
        <w:t>）</w:t>
      </w:r>
      <w:r>
        <w:rPr>
          <w:rFonts w:hint="eastAsia" w:ascii="仿宋_GB2312" w:eastAsia="仿宋_GB2312"/>
          <w:sz w:val="32"/>
          <w:szCs w:val="32"/>
        </w:rPr>
        <w:t>政府采购支出总额</w:t>
      </w:r>
      <w:r>
        <w:rPr>
          <w:rFonts w:hint="eastAsia" w:ascii="仿宋" w:hAnsi="仿宋" w:eastAsia="仿宋"/>
          <w:b/>
          <w:sz w:val="32"/>
          <w:szCs w:val="32"/>
        </w:rPr>
        <w:t>1.</w:t>
      </w:r>
      <w:r>
        <w:rPr>
          <w:rFonts w:hint="eastAsia" w:ascii="仿宋" w:hAnsi="仿宋" w:eastAsia="仿宋"/>
          <w:b/>
          <w:sz w:val="32"/>
          <w:szCs w:val="32"/>
          <w:lang w:val="en-US" w:eastAsia="zh-CN"/>
        </w:rPr>
        <w:t>45</w:t>
      </w:r>
      <w:r>
        <w:rPr>
          <w:rFonts w:hint="eastAsia" w:ascii="仿宋_GB2312" w:eastAsia="仿宋_GB2312"/>
          <w:sz w:val="32"/>
          <w:szCs w:val="32"/>
        </w:rPr>
        <w:t>万元，其中：政府采购货物支出</w:t>
      </w:r>
      <w:r>
        <w:rPr>
          <w:rFonts w:hint="eastAsia" w:ascii="仿宋" w:hAnsi="仿宋" w:eastAsia="仿宋"/>
          <w:b/>
          <w:sz w:val="32"/>
          <w:szCs w:val="32"/>
        </w:rPr>
        <w:t>1.</w:t>
      </w:r>
      <w:r>
        <w:rPr>
          <w:rFonts w:hint="eastAsia" w:ascii="仿宋" w:hAnsi="仿宋" w:eastAsia="仿宋"/>
          <w:b/>
          <w:sz w:val="32"/>
          <w:szCs w:val="32"/>
          <w:lang w:val="en-US" w:eastAsia="zh-CN"/>
        </w:rPr>
        <w:t>45</w:t>
      </w:r>
      <w:r>
        <w:rPr>
          <w:rFonts w:hint="eastAsia" w:ascii="仿宋_GB2312" w:eastAsia="仿宋_GB2312"/>
          <w:sz w:val="32"/>
          <w:szCs w:val="32"/>
        </w:rPr>
        <w:t>万元、政府采购工程支出</w:t>
      </w:r>
      <w:r>
        <w:rPr>
          <w:rFonts w:ascii="仿宋" w:hAnsi="仿宋" w:eastAsia="仿宋"/>
          <w:b/>
          <w:sz w:val="32"/>
          <w:szCs w:val="32"/>
        </w:rPr>
        <w:t>0</w:t>
      </w:r>
      <w:r>
        <w:rPr>
          <w:rFonts w:hint="eastAsia" w:ascii="仿宋_GB2312" w:eastAsia="仿宋_GB2312"/>
          <w:sz w:val="32"/>
          <w:szCs w:val="32"/>
        </w:rPr>
        <w:t>万元、政府采购服务支出</w:t>
      </w:r>
      <w:r>
        <w:rPr>
          <w:rFonts w:ascii="仿宋" w:hAnsi="仿宋" w:eastAsia="仿宋"/>
          <w:b/>
          <w:sz w:val="32"/>
          <w:szCs w:val="32"/>
        </w:rPr>
        <w:t>0</w:t>
      </w:r>
      <w:r>
        <w:rPr>
          <w:rFonts w:hint="eastAsia" w:ascii="仿宋_GB2312" w:eastAsia="仿宋_GB2312"/>
          <w:sz w:val="32"/>
          <w:szCs w:val="32"/>
        </w:rPr>
        <w:t>万元。授予中小企业合同金额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sz w:val="32"/>
          <w:szCs w:val="32"/>
        </w:rPr>
        <w:t>0%</w:t>
      </w:r>
      <w:r>
        <w:rPr>
          <w:rFonts w:hint="eastAsia" w:ascii="仿宋_GB2312" w:eastAsia="仿宋_GB2312"/>
          <w:sz w:val="32"/>
          <w:szCs w:val="32"/>
        </w:rPr>
        <w:t>，其中：授予小微企业合同金额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b/>
          <w:sz w:val="32"/>
          <w:szCs w:val="32"/>
        </w:rPr>
        <w:t>0</w:t>
      </w:r>
      <w:r>
        <w:rPr>
          <w:rFonts w:ascii="仿宋_GB2312" w:eastAsia="仿宋_GB2312"/>
          <w:sz w:val="32"/>
          <w:szCs w:val="32"/>
        </w:rPr>
        <w:t>%</w:t>
      </w:r>
      <w:r>
        <w:rPr>
          <w:rFonts w:hint="eastAsia" w:ascii="仿宋_GB2312" w:eastAsia="仿宋_GB2312"/>
          <w:sz w:val="32"/>
          <w:szCs w:val="32"/>
        </w:rPr>
        <w:t>。</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53" w:name="_Toc15377224"/>
      <w:r>
        <w:rPr>
          <w:rFonts w:hint="eastAsia" w:ascii="仿宋" w:hAnsi="仿宋" w:eastAsia="仿宋"/>
          <w:b/>
          <w:sz w:val="32"/>
          <w:szCs w:val="32"/>
        </w:rPr>
        <w:t>（三）国有资产占有使用情况</w:t>
      </w:r>
      <w:bookmarkEnd w:id="53"/>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ascii="仿宋_GB2312" w:eastAsia="仿宋_GB2312"/>
          <w:b/>
          <w:sz w:val="32"/>
          <w:szCs w:val="32"/>
        </w:rPr>
        <w:t>中共阿坝州若尔盖县机构编制委员会办公室（本级）</w:t>
      </w:r>
      <w:r>
        <w:rPr>
          <w:rFonts w:hint="eastAsia" w:ascii="仿宋_GB2312" w:eastAsia="仿宋_GB2312"/>
          <w:sz w:val="32"/>
          <w:szCs w:val="32"/>
        </w:rPr>
        <w:t>共有车辆</w:t>
      </w:r>
      <w:r>
        <w:rPr>
          <w:rFonts w:hint="eastAsia" w:ascii="仿宋_GB2312" w:eastAsia="仿宋_GB2312"/>
          <w:b/>
          <w:sz w:val="32"/>
          <w:szCs w:val="32"/>
        </w:rPr>
        <w:t>1</w:t>
      </w:r>
      <w:r>
        <w:rPr>
          <w:rFonts w:hint="eastAsia" w:ascii="仿宋_GB2312" w:eastAsia="仿宋_GB2312"/>
          <w:sz w:val="32"/>
          <w:szCs w:val="32"/>
        </w:rPr>
        <w:t>辆，其中：其他用车主要是用于单位出差下乡开展工作。</w:t>
      </w:r>
    </w:p>
    <w:p>
      <w:pPr>
        <w:autoSpaceDE w:val="0"/>
        <w:autoSpaceDN w:val="0"/>
        <w:adjustRightInd w:val="0"/>
        <w:spacing w:line="600" w:lineRule="exact"/>
        <w:ind w:firstLine="643" w:firstLineChars="200"/>
        <w:jc w:val="left"/>
        <w:outlineLvl w:val="2"/>
        <w:rPr>
          <w:rFonts w:ascii="仿宋" w:eastAsia="仿宋"/>
          <w:b/>
          <w:sz w:val="32"/>
          <w:szCs w:val="32"/>
        </w:rPr>
      </w:pPr>
      <w:bookmarkStart w:id="54" w:name="_Toc346038659"/>
      <w:r>
        <w:rPr>
          <w:rFonts w:hint="eastAsia" w:ascii="仿宋" w:eastAsia="仿宋"/>
          <w:b/>
          <w:sz w:val="32"/>
          <w:szCs w:val="32"/>
        </w:rPr>
        <w:t>（四）预算绩效管理情况</w:t>
      </w:r>
      <w:bookmarkEnd w:id="54"/>
    </w:p>
    <w:p>
      <w:pPr>
        <w:pStyle w:val="2"/>
        <w:spacing w:beforeLines="0"/>
        <w:ind w:firstLine="640" w:firstLineChars="200"/>
        <w:rPr>
          <w:rFonts w:cs="仿宋_GB2312"/>
          <w:sz w:val="32"/>
          <w:szCs w:val="32"/>
        </w:rPr>
      </w:pPr>
      <w:r>
        <w:rPr>
          <w:rFonts w:hint="eastAsia" w:cs="仿宋_GB2312"/>
          <w:sz w:val="32"/>
          <w:szCs w:val="32"/>
        </w:rPr>
        <w:t>根据预算绩效管理要求，本单位在202</w:t>
      </w:r>
      <w:r>
        <w:rPr>
          <w:rFonts w:hint="eastAsia" w:cs="仿宋_GB2312"/>
          <w:sz w:val="32"/>
          <w:szCs w:val="32"/>
          <w:lang w:val="en-US" w:eastAsia="zh-CN"/>
        </w:rPr>
        <w:t>5</w:t>
      </w:r>
      <w:r>
        <w:rPr>
          <w:rFonts w:hint="eastAsia" w:cs="仿宋_GB2312"/>
          <w:sz w:val="32"/>
          <w:szCs w:val="32"/>
        </w:rPr>
        <w:t>年度预算编制阶段，组织对0项目（项目名称）等0个项目开展了预算事前绩效评估，对0个项目编制了绩效目标，预算执行过程中，选取0个项目开展绩效监控，年终执行完毕后，对0个项目开展了绩效自评，202</w:t>
      </w:r>
      <w:r>
        <w:rPr>
          <w:rFonts w:hint="eastAsia" w:cs="仿宋_GB2312"/>
          <w:sz w:val="32"/>
          <w:szCs w:val="32"/>
          <w:lang w:val="en-US" w:eastAsia="zh-CN"/>
        </w:rPr>
        <w:t>5</w:t>
      </w:r>
      <w:r>
        <w:rPr>
          <w:rFonts w:hint="eastAsia" w:cs="仿宋_GB2312"/>
          <w:sz w:val="32"/>
          <w:szCs w:val="32"/>
        </w:rPr>
        <w:t>年特定目标类部门预算项目绩效目标自评表详见第四部分附件。</w:t>
      </w:r>
    </w:p>
    <w:p>
      <w:pPr>
        <w:pStyle w:val="2"/>
        <w:spacing w:beforeLines="0"/>
        <w:ind w:firstLine="643" w:firstLineChars="200"/>
        <w:rPr>
          <w:rFonts w:ascii="仿宋" w:eastAsia="仿宋"/>
          <w:b/>
          <w:sz w:val="32"/>
          <w:szCs w:val="32"/>
        </w:rPr>
      </w:pPr>
      <w:r>
        <w:rPr>
          <w:rFonts w:hint="eastAsia" w:ascii="仿宋" w:eastAsia="仿宋"/>
          <w:b/>
          <w:sz w:val="32"/>
          <w:szCs w:val="32"/>
        </w:rPr>
        <w:t>（五）绩效管理情况</w:t>
      </w:r>
    </w:p>
    <w:p>
      <w:pPr>
        <w:pStyle w:val="14"/>
        <w:shd w:val="clear" w:color="auto" w:fill="FFFFFF"/>
        <w:spacing w:before="0" w:beforeAutospacing="0" w:after="0" w:afterAutospacing="0" w:line="480" w:lineRule="auto"/>
        <w:ind w:firstLine="640" w:firstLineChars="200"/>
      </w:pPr>
      <w:r>
        <w:rPr>
          <w:rFonts w:hint="eastAsia" w:ascii="仿宋_GB2312" w:hAnsi="仿宋_GB2312" w:eastAsia="仿宋_GB2312" w:cs="仿宋_GB2312"/>
          <w:color w:val="333333"/>
          <w:sz w:val="32"/>
          <w:szCs w:val="32"/>
        </w:rPr>
        <w:t>根据预算绩效管理要求，县</w:t>
      </w:r>
      <w:r>
        <w:rPr>
          <w:rFonts w:hint="eastAsia" w:ascii="仿宋_GB2312" w:hAnsi="仿宋_GB2312" w:eastAsia="仿宋_GB2312" w:cs="仿宋_GB2312"/>
          <w:color w:val="333333"/>
          <w:sz w:val="32"/>
          <w:szCs w:val="32"/>
          <w:lang w:val="en-US" w:eastAsia="zh-CN"/>
        </w:rPr>
        <w:t>委</w:t>
      </w:r>
      <w:r>
        <w:rPr>
          <w:rFonts w:hint="eastAsia" w:ascii="仿宋_GB2312" w:hAnsi="仿宋_GB2312" w:eastAsia="仿宋_GB2312" w:cs="仿宋_GB2312"/>
          <w:color w:val="333333"/>
          <w:sz w:val="32"/>
          <w:szCs w:val="32"/>
        </w:rPr>
        <w:t>编办年初预算编制阶段，按照经费管理制度，加强对我办预算执行管理，及时跟进各项资金使用情况，每季度通报资金执行进度。对于执行进度缓慢或无法执行的预算按规定程序及时进行调整。完善资金使用审批手续，坚持先审批，后使用，确保资金专款专用。</w:t>
      </w:r>
    </w:p>
    <w:p>
      <w:pPr>
        <w:pStyle w:val="3"/>
      </w:pP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br w:type="page"/>
      </w:r>
    </w:p>
    <w:p>
      <w:pPr>
        <w:numPr>
          <w:ilvl w:val="0"/>
          <w:numId w:val="6"/>
        </w:numPr>
        <w:spacing w:line="600" w:lineRule="exact"/>
        <w:ind w:firstLine="660" w:firstLineChars="150"/>
        <w:jc w:val="center"/>
        <w:outlineLvl w:val="0"/>
        <w:rPr>
          <w:rStyle w:val="29"/>
          <w:rFonts w:ascii="黑体" w:eastAsia="黑体"/>
          <w:b w:val="0"/>
        </w:rPr>
      </w:pPr>
      <w:bookmarkStart w:id="55" w:name="_Toc346038874"/>
      <w:bookmarkStart w:id="56" w:name="_Toc15377225"/>
      <w:bookmarkStart w:id="57" w:name="_Toc15396613"/>
      <w:r>
        <w:rPr>
          <w:rFonts w:hint="eastAsia" w:ascii="黑体" w:eastAsia="黑体"/>
          <w:sz w:val="44"/>
          <w:szCs w:val="44"/>
        </w:rPr>
        <w:t>名</w:t>
      </w:r>
      <w:r>
        <w:rPr>
          <w:rStyle w:val="29"/>
          <w:rFonts w:hint="eastAsia" w:ascii="黑体" w:eastAsia="黑体"/>
        </w:rPr>
        <w:t>词解释</w:t>
      </w:r>
      <w:bookmarkEnd w:id="55"/>
      <w:bookmarkEnd w:id="56"/>
      <w:bookmarkEnd w:id="57"/>
    </w:p>
    <w:p>
      <w:pPr>
        <w:spacing w:line="600" w:lineRule="exact"/>
        <w:jc w:val="left"/>
        <w:rPr>
          <w:rFonts w:ascii="宋体"/>
          <w:b/>
          <w:sz w:val="44"/>
          <w:szCs w:val="44"/>
        </w:rPr>
      </w:pPr>
    </w:p>
    <w:p>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w:t>
      </w:r>
      <w:r>
        <w:rPr>
          <w:rFonts w:ascii="仿宋_GB2312" w:eastAsia="仿宋_GB2312"/>
          <w:color w:val="auto"/>
          <w:sz w:val="32"/>
          <w:szCs w:val="32"/>
        </w:rPr>
        <w:t>.</w:t>
      </w:r>
      <w:r>
        <w:rPr>
          <w:rFonts w:hint="eastAsia" w:ascii="仿宋_GB2312" w:eastAsia="仿宋_GB2312"/>
          <w:color w:val="auto"/>
          <w:sz w:val="32"/>
          <w:szCs w:val="32"/>
        </w:rPr>
        <w:t>年初结转和结余：指以前年度尚未完成、结转到本年按有关规定继续使用的资金。</w:t>
      </w:r>
    </w:p>
    <w:p>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3、年末结转和结余：指单位按有关规定结转到下年或以后年度继续使用的资金。</w:t>
      </w:r>
    </w:p>
    <w:p>
      <w:pPr>
        <w:ind w:firstLine="640" w:firstLineChars="200"/>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社会保障和就业（208）：指反映政府在社会保障与就业方面的支出，包括人力资源和社会保障管理事务、民政管理事务、补充全国社会保障基金、行政事业单位养老、企业改革补助、就业补助、抚恤、退役安置、社会福利、残疾人事业、红十字事业、最低生活保障、临时救助、特困人员救助供养、其他生活救助、财政对基本养老保险及其他社会保险基金的补助、退役军人管理事务、财政代缴社会保险费等支出。</w:t>
      </w:r>
    </w:p>
    <w:p>
      <w:pPr>
        <w:ind w:firstLine="640" w:firstLineChars="200"/>
        <w:rPr>
          <w:rFonts w:ascii="仿宋_GB2312" w:eastAsia="仿宋_GB2312"/>
          <w:sz w:val="32"/>
          <w:szCs w:val="32"/>
        </w:rPr>
      </w:pPr>
      <w:r>
        <w:rPr>
          <w:rFonts w:hint="eastAsia" w:ascii="仿宋_GB2312" w:eastAsia="仿宋_GB2312"/>
          <w:sz w:val="32"/>
          <w:szCs w:val="32"/>
        </w:rPr>
        <w:t>5</w:t>
      </w:r>
      <w:r>
        <w:rPr>
          <w:rFonts w:ascii="仿宋_GB2312" w:eastAsia="仿宋_GB2312"/>
          <w:sz w:val="32"/>
          <w:szCs w:val="32"/>
        </w:rPr>
        <w:t>.</w:t>
      </w:r>
      <w:r>
        <w:rPr>
          <w:rFonts w:hint="eastAsia" w:ascii="仿宋_GB2312" w:eastAsia="仿宋_GB2312"/>
          <w:sz w:val="32"/>
          <w:szCs w:val="32"/>
        </w:rPr>
        <w:t>医疗卫生与计划生育（210）：反映政府卫生健康方面的支出，包括卫生健康管理事务、公立医院、基层医疗卫生机构、公共卫生、中医药、计划生育事务、行政事业单位医疗、财政对基本医疗保险基金的补助、医疗救助、优抚对象医疗、医疗保障管理事务、老龄卫生健康事务等支出。</w:t>
      </w:r>
    </w:p>
    <w:p>
      <w:pPr>
        <w:ind w:firstLine="640" w:firstLineChars="200"/>
        <w:rPr>
          <w:rFonts w:ascii="仿宋_GB2312" w:eastAsia="仿宋_GB2312"/>
          <w:sz w:val="32"/>
          <w:szCs w:val="32"/>
        </w:rPr>
      </w:pPr>
      <w:r>
        <w:rPr>
          <w:rFonts w:hint="eastAsia" w:ascii="仿宋_GB2312" w:eastAsia="仿宋_GB2312"/>
          <w:sz w:val="32"/>
          <w:szCs w:val="32"/>
        </w:rPr>
        <w:t>6</w:t>
      </w:r>
      <w:r>
        <w:rPr>
          <w:rFonts w:ascii="仿宋_GB2312" w:eastAsia="仿宋_GB2312"/>
          <w:sz w:val="32"/>
          <w:szCs w:val="32"/>
        </w:rPr>
        <w:t>.</w:t>
      </w:r>
      <w:r>
        <w:rPr>
          <w:rFonts w:hint="eastAsia" w:ascii="仿宋_GB2312" w:eastAsia="仿宋_GB2312"/>
          <w:sz w:val="32"/>
          <w:szCs w:val="32"/>
        </w:rPr>
        <w:t>资源勘探信息等（215）：指反映用于资源勘探、制造业、建筑业、工业信息等方面支出，包括资源勘探开发、制造业、建筑业、工业和信息产业监管、国有资产监管、支持中小企业发展和管理等支出。</w:t>
      </w:r>
    </w:p>
    <w:p>
      <w:pPr>
        <w:ind w:firstLine="640" w:firstLineChars="200"/>
        <w:rPr>
          <w:rFonts w:ascii="仿宋_GB2312" w:eastAsia="仿宋_GB2312"/>
          <w:sz w:val="32"/>
          <w:szCs w:val="32"/>
        </w:rPr>
      </w:pPr>
      <w:r>
        <w:rPr>
          <w:rFonts w:hint="eastAsia" w:ascii="仿宋_GB2312" w:eastAsia="仿宋_GB2312"/>
          <w:sz w:val="32"/>
          <w:szCs w:val="32"/>
        </w:rPr>
        <w:t>7住房保障（221）：指集中反映政府用于住房方面的支出，包括保障性安居工程、住房改革、城乡社区住宅等支出。。</w:t>
      </w:r>
    </w:p>
    <w:p>
      <w:pPr>
        <w:ind w:firstLine="640" w:firstLineChars="200"/>
        <w:rPr>
          <w:rFonts w:ascii="仿宋_GB2312" w:eastAsia="仿宋_GB2312"/>
          <w:sz w:val="32"/>
          <w:szCs w:val="32"/>
        </w:rPr>
      </w:pPr>
      <w:r>
        <w:rPr>
          <w:rFonts w:hint="eastAsia" w:ascii="仿宋_GB2312" w:eastAsia="仿宋_GB2312"/>
          <w:sz w:val="32"/>
          <w:szCs w:val="32"/>
        </w:rPr>
        <w:t>8基本支出：指为保障机构正常运转、完成日常工作任务而发生的人员支出和公用支出。</w:t>
      </w:r>
    </w:p>
    <w:p>
      <w:pPr>
        <w:ind w:firstLine="640" w:firstLineChars="200"/>
        <w:rPr>
          <w:rFonts w:ascii="仿宋_GB2312" w:eastAsia="仿宋_GB2312"/>
          <w:sz w:val="32"/>
          <w:szCs w:val="32"/>
        </w:rPr>
      </w:pPr>
      <w:r>
        <w:rPr>
          <w:rFonts w:hint="eastAsia" w:ascii="仿宋_GB2312" w:eastAsia="仿宋_GB2312"/>
          <w:sz w:val="32"/>
          <w:szCs w:val="32"/>
        </w:rPr>
        <w:t>9.项目支出：指在基本支出之外为完成特定行政任务和事业发展目标所发生的支出。</w:t>
      </w:r>
    </w:p>
    <w:p>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10.“三公”经费：指单位用财政拨款安排的因公出（境）费、公务用车购置及运行费和公务接待费。其中，因公出（境）费反映单位公务出（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7"/>
        <w:spacing w:line="560" w:lineRule="exact"/>
        <w:ind w:firstLine="640" w:firstLineChars="200"/>
        <w:rPr>
          <w:rFonts w:ascii="仿宋_GB2312" w:eastAsia="仿宋_GB2312"/>
          <w:color w:val="auto"/>
          <w:sz w:val="32"/>
          <w:szCs w:val="32"/>
        </w:rPr>
      </w:pPr>
    </w:p>
    <w:p>
      <w:pPr>
        <w:pStyle w:val="27"/>
        <w:spacing w:line="560" w:lineRule="exact"/>
        <w:ind w:firstLine="640" w:firstLineChars="200"/>
        <w:rPr>
          <w:rFonts w:ascii="仿宋_GB2312" w:eastAsia="仿宋_GB2312" w:cs="黑体"/>
          <w:color w:val="auto"/>
          <w:sz w:val="32"/>
          <w:szCs w:val="32"/>
        </w:rPr>
      </w:pPr>
    </w:p>
    <w:p>
      <w:pPr>
        <w:spacing w:line="600" w:lineRule="exact"/>
        <w:jc w:val="center"/>
        <w:outlineLvl w:val="0"/>
        <w:rPr>
          <w:rStyle w:val="29"/>
          <w:rFonts w:ascii="黑体" w:hAnsi="黑体" w:eastAsia="黑体"/>
          <w:b w:val="0"/>
        </w:rPr>
      </w:pPr>
      <w:bookmarkStart w:id="58" w:name="_Toc15377226"/>
      <w:r>
        <w:rPr>
          <w:rFonts w:ascii="宋体"/>
          <w:b/>
          <w:sz w:val="44"/>
          <w:szCs w:val="44"/>
        </w:rPr>
        <w:br w:type="page"/>
      </w:r>
      <w:bookmarkEnd w:id="58"/>
      <w:bookmarkStart w:id="59" w:name="_Toc15396614"/>
      <w:r>
        <w:rPr>
          <w:rFonts w:hint="eastAsia" w:ascii="黑体" w:hAnsi="黑体" w:eastAsia="黑体"/>
          <w:sz w:val="44"/>
          <w:szCs w:val="44"/>
        </w:rPr>
        <w:t>第</w:t>
      </w:r>
      <w:r>
        <w:rPr>
          <w:rStyle w:val="29"/>
          <w:rFonts w:hint="eastAsia" w:ascii="黑体" w:hAnsi="黑体" w:eastAsia="黑体"/>
          <w:b w:val="0"/>
        </w:rPr>
        <w:t xml:space="preserve">四部分 </w:t>
      </w:r>
      <w:bookmarkStart w:id="73" w:name="_GoBack"/>
      <w:bookmarkEnd w:id="73"/>
      <w:r>
        <w:rPr>
          <w:rStyle w:val="29"/>
          <w:rFonts w:hint="eastAsia" w:ascii="黑体" w:hAnsi="黑体" w:eastAsia="黑体"/>
          <w:b w:val="0"/>
        </w:rPr>
        <w:t>附件</w:t>
      </w:r>
      <w:bookmarkEnd w:id="59"/>
    </w:p>
    <w:p>
      <w:pPr>
        <w:spacing w:line="600" w:lineRule="exact"/>
        <w:outlineLvl w:val="0"/>
        <w:rPr>
          <w:rFonts w:ascii="仿宋_GB2312" w:hAnsi="仿宋_GB2312" w:eastAsia="仿宋_GB2312" w:cs="仿宋_GB2312"/>
          <w:color w:val="000000" w:themeColor="text1"/>
          <w:sz w:val="28"/>
          <w:szCs w:val="28"/>
        </w:rPr>
      </w:pPr>
      <w:bookmarkStart w:id="60" w:name="_Toc15396618"/>
    </w:p>
    <w:p>
      <w:pPr>
        <w:spacing w:line="600" w:lineRule="exact"/>
        <w:outlineLvl w:val="0"/>
        <w:rPr>
          <w:rFonts w:ascii="仿宋_GB2312" w:hAnsi="仿宋_GB2312" w:eastAsia="仿宋_GB2312" w:cs="仿宋_GB2312"/>
          <w:color w:val="000000" w:themeColor="text1"/>
          <w:sz w:val="28"/>
          <w:szCs w:val="28"/>
        </w:rPr>
      </w:pPr>
      <w:r>
        <w:rPr>
          <w:rFonts w:hint="eastAsia" w:ascii="仿宋_GB2312" w:hAnsi="仿宋_GB2312" w:eastAsia="仿宋_GB2312" w:cs="仿宋_GB2312"/>
          <w:color w:val="000000" w:themeColor="text1"/>
          <w:sz w:val="28"/>
          <w:szCs w:val="28"/>
        </w:rPr>
        <w:t>附件1部门预算绩效评价报告</w:t>
      </w:r>
    </w:p>
    <w:p>
      <w:pPr>
        <w:pStyle w:val="2"/>
        <w:spacing w:before="93"/>
        <w:rPr>
          <w:rFonts w:hint="eastAsia" w:hAnsi="仿宋_GB2312" w:cs="仿宋_GB2312"/>
          <w:color w:val="000000" w:themeColor="text1"/>
          <w:sz w:val="28"/>
          <w:szCs w:val="28"/>
        </w:rPr>
      </w:pPr>
      <w:r>
        <w:rPr>
          <w:rFonts w:hint="eastAsia" w:hAnsi="仿宋_GB2312" w:cs="仿宋_GB2312"/>
          <w:color w:val="000000" w:themeColor="text1"/>
          <w:sz w:val="28"/>
          <w:szCs w:val="28"/>
        </w:rPr>
        <w:t>附件2专项预算项目绩效评价报告</w:t>
      </w:r>
    </w:p>
    <w:p>
      <w:pPr>
        <w:pStyle w:val="3"/>
        <w:rPr>
          <w:rFonts w:hint="eastAsia"/>
        </w:rPr>
      </w:pPr>
    </w:p>
    <w:p>
      <w:pPr>
        <w:rPr>
          <w:rFonts w:hint="eastAsia"/>
        </w:rPr>
      </w:pPr>
    </w:p>
    <w:p>
      <w:pPr>
        <w:pStyle w:val="2"/>
        <w:spacing w:before="93"/>
      </w:pPr>
    </w:p>
    <w:p>
      <w:pPr>
        <w:tabs>
          <w:tab w:val="left" w:pos="1498"/>
        </w:tabs>
        <w:jc w:val="center"/>
        <w:rPr>
          <w:rStyle w:val="29"/>
          <w:rFonts w:ascii="黑体" w:hAnsi="黑体" w:eastAsia="黑体"/>
          <w:b w:val="0"/>
        </w:rPr>
      </w:pPr>
      <w:r>
        <w:rPr>
          <w:rFonts w:hint="eastAsia" w:ascii="黑体" w:hAnsi="黑体" w:eastAsia="黑体"/>
          <w:sz w:val="44"/>
          <w:szCs w:val="44"/>
        </w:rPr>
        <w:t>第</w:t>
      </w:r>
      <w:r>
        <w:rPr>
          <w:rStyle w:val="29"/>
          <w:rFonts w:hint="eastAsia" w:ascii="黑体" w:hAnsi="黑体" w:eastAsia="黑体"/>
          <w:b w:val="0"/>
        </w:rPr>
        <w:t>五部分 附表</w:t>
      </w:r>
      <w:bookmarkEnd w:id="60"/>
    </w:p>
    <w:p>
      <w:pPr>
        <w:pStyle w:val="5"/>
        <w:spacing w:before="0" w:after="0" w:line="560" w:lineRule="exact"/>
        <w:rPr>
          <w:rFonts w:ascii="仿宋" w:hAnsi="仿宋" w:eastAsia="仿宋"/>
          <w:b w:val="0"/>
        </w:rPr>
      </w:pPr>
    </w:p>
    <w:p>
      <w:pPr>
        <w:pStyle w:val="5"/>
        <w:spacing w:before="0" w:after="0" w:line="560" w:lineRule="exact"/>
        <w:rPr>
          <w:rFonts w:ascii="仿宋" w:hAnsi="仿宋" w:eastAsia="仿宋"/>
        </w:rPr>
      </w:pPr>
      <w:r>
        <w:rPr>
          <w:rFonts w:hint="eastAsia" w:ascii="仿宋" w:hAnsi="仿宋" w:eastAsia="仿宋"/>
          <w:b w:val="0"/>
        </w:rPr>
        <w:t>一、收</w:t>
      </w:r>
      <w:r>
        <w:rPr>
          <w:rStyle w:val="30"/>
          <w:rFonts w:hint="eastAsia" w:ascii="仿宋" w:hAnsi="仿宋" w:eastAsia="仿宋"/>
          <w:b w:val="0"/>
          <w:bCs w:val="0"/>
        </w:rPr>
        <w:t>入支出决算总表</w:t>
      </w:r>
    </w:p>
    <w:p>
      <w:pPr>
        <w:pStyle w:val="5"/>
        <w:spacing w:before="0" w:after="0" w:line="560" w:lineRule="exact"/>
        <w:rPr>
          <w:rFonts w:ascii="仿宋" w:hAnsi="仿宋" w:eastAsia="仿宋"/>
        </w:rPr>
      </w:pPr>
      <w:bookmarkStart w:id="61" w:name="_Toc15396620"/>
      <w:r>
        <w:rPr>
          <w:rFonts w:hint="eastAsia" w:ascii="仿宋" w:hAnsi="仿宋" w:eastAsia="仿宋"/>
          <w:b w:val="0"/>
        </w:rPr>
        <w:t>二、收</w:t>
      </w:r>
      <w:r>
        <w:rPr>
          <w:rStyle w:val="30"/>
          <w:rFonts w:hint="eastAsia" w:ascii="仿宋" w:hAnsi="仿宋" w:eastAsia="仿宋"/>
          <w:b w:val="0"/>
          <w:bCs w:val="0"/>
        </w:rPr>
        <w:t>入决算表</w:t>
      </w:r>
      <w:bookmarkEnd w:id="61"/>
    </w:p>
    <w:p>
      <w:pPr>
        <w:pStyle w:val="5"/>
        <w:spacing w:before="0" w:after="0" w:line="560" w:lineRule="exact"/>
        <w:rPr>
          <w:rFonts w:ascii="仿宋" w:hAnsi="仿宋" w:eastAsia="仿宋"/>
        </w:rPr>
      </w:pPr>
      <w:bookmarkStart w:id="62" w:name="_Toc15396621"/>
      <w:r>
        <w:rPr>
          <w:rStyle w:val="30"/>
          <w:rFonts w:hint="eastAsia" w:ascii="仿宋" w:hAnsi="仿宋" w:eastAsia="仿宋"/>
          <w:b w:val="0"/>
          <w:bCs w:val="0"/>
        </w:rPr>
        <w:t>三、</w:t>
      </w:r>
      <w:r>
        <w:rPr>
          <w:rFonts w:hint="eastAsia" w:ascii="仿宋" w:hAnsi="仿宋" w:eastAsia="仿宋"/>
          <w:b w:val="0"/>
        </w:rPr>
        <w:t>支</w:t>
      </w:r>
      <w:r>
        <w:rPr>
          <w:rStyle w:val="30"/>
          <w:rFonts w:hint="eastAsia" w:ascii="仿宋" w:hAnsi="仿宋" w:eastAsia="仿宋"/>
          <w:b w:val="0"/>
          <w:bCs w:val="0"/>
        </w:rPr>
        <w:t>出决算表</w:t>
      </w:r>
      <w:bookmarkEnd w:id="62"/>
    </w:p>
    <w:p>
      <w:pPr>
        <w:pStyle w:val="5"/>
        <w:spacing w:before="0" w:after="0" w:line="560" w:lineRule="exact"/>
        <w:rPr>
          <w:rFonts w:ascii="仿宋" w:hAnsi="仿宋" w:eastAsia="仿宋"/>
          <w:b w:val="0"/>
        </w:rPr>
      </w:pPr>
      <w:bookmarkStart w:id="63" w:name="_Toc15396622"/>
      <w:r>
        <w:rPr>
          <w:rStyle w:val="30"/>
          <w:rFonts w:hint="eastAsia" w:ascii="仿宋" w:hAnsi="仿宋" w:eastAsia="仿宋"/>
          <w:b w:val="0"/>
          <w:bCs w:val="0"/>
        </w:rPr>
        <w:t>四、</w:t>
      </w:r>
      <w:r>
        <w:rPr>
          <w:rFonts w:hint="eastAsia" w:ascii="仿宋" w:hAnsi="仿宋" w:eastAsia="仿宋"/>
          <w:b w:val="0"/>
        </w:rPr>
        <w:t>财</w:t>
      </w:r>
      <w:r>
        <w:rPr>
          <w:rStyle w:val="30"/>
          <w:rFonts w:hint="eastAsia" w:ascii="仿宋" w:hAnsi="仿宋" w:eastAsia="仿宋"/>
          <w:b w:val="0"/>
          <w:bCs w:val="0"/>
        </w:rPr>
        <w:t>政拨款收入支出决算总表</w:t>
      </w:r>
      <w:bookmarkEnd w:id="63"/>
    </w:p>
    <w:p>
      <w:pPr>
        <w:pStyle w:val="5"/>
        <w:spacing w:before="0" w:after="0" w:line="560" w:lineRule="exact"/>
        <w:rPr>
          <w:rStyle w:val="30"/>
          <w:rFonts w:ascii="仿宋" w:hAnsi="仿宋" w:eastAsia="仿宋"/>
          <w:b w:val="0"/>
          <w:bCs w:val="0"/>
        </w:rPr>
      </w:pPr>
      <w:bookmarkStart w:id="64" w:name="_Toc15396623"/>
      <w:r>
        <w:rPr>
          <w:rStyle w:val="30"/>
          <w:rFonts w:hint="eastAsia" w:ascii="仿宋" w:hAnsi="仿宋" w:eastAsia="仿宋"/>
          <w:b w:val="0"/>
          <w:bCs w:val="0"/>
        </w:rPr>
        <w:t>五、</w:t>
      </w:r>
      <w:r>
        <w:rPr>
          <w:rFonts w:hint="eastAsia" w:ascii="仿宋" w:hAnsi="仿宋" w:eastAsia="仿宋"/>
          <w:b w:val="0"/>
        </w:rPr>
        <w:t>财</w:t>
      </w:r>
      <w:r>
        <w:rPr>
          <w:rStyle w:val="30"/>
          <w:rFonts w:hint="eastAsia" w:ascii="仿宋" w:hAnsi="仿宋" w:eastAsia="仿宋"/>
          <w:b w:val="0"/>
          <w:bCs w:val="0"/>
        </w:rPr>
        <w:t>政拨款支出决算明细表</w:t>
      </w:r>
      <w:bookmarkEnd w:id="64"/>
      <w:bookmarkStart w:id="65" w:name="_Toc15396624"/>
    </w:p>
    <w:p>
      <w:pPr>
        <w:pStyle w:val="5"/>
        <w:spacing w:before="0" w:after="0" w:line="560" w:lineRule="exact"/>
        <w:rPr>
          <w:rFonts w:ascii="仿宋" w:hAnsi="仿宋" w:eastAsia="仿宋"/>
        </w:rPr>
      </w:pPr>
      <w:r>
        <w:rPr>
          <w:rStyle w:val="30"/>
          <w:rFonts w:hint="eastAsia" w:ascii="仿宋" w:hAnsi="仿宋" w:eastAsia="仿宋"/>
          <w:b w:val="0"/>
          <w:bCs w:val="0"/>
        </w:rPr>
        <w:t>六、</w:t>
      </w:r>
      <w:r>
        <w:rPr>
          <w:rFonts w:hint="eastAsia" w:ascii="仿宋" w:hAnsi="仿宋" w:eastAsia="仿宋"/>
          <w:b w:val="0"/>
        </w:rPr>
        <w:t>一</w:t>
      </w:r>
      <w:r>
        <w:rPr>
          <w:rStyle w:val="30"/>
          <w:rFonts w:hint="eastAsia" w:ascii="仿宋" w:hAnsi="仿宋" w:eastAsia="仿宋"/>
          <w:b w:val="0"/>
          <w:bCs w:val="0"/>
        </w:rPr>
        <w:t>般公共预算财政拨款支出决算表</w:t>
      </w:r>
      <w:bookmarkEnd w:id="65"/>
    </w:p>
    <w:p>
      <w:pPr>
        <w:pStyle w:val="5"/>
        <w:spacing w:before="0" w:after="0" w:line="560" w:lineRule="exact"/>
        <w:rPr>
          <w:rFonts w:ascii="仿宋" w:hAnsi="仿宋" w:eastAsia="仿宋"/>
        </w:rPr>
      </w:pPr>
      <w:bookmarkStart w:id="66" w:name="_Toc15396625"/>
      <w:r>
        <w:rPr>
          <w:rStyle w:val="30"/>
          <w:rFonts w:hint="eastAsia" w:ascii="仿宋" w:hAnsi="仿宋" w:eastAsia="仿宋"/>
          <w:b w:val="0"/>
          <w:bCs w:val="0"/>
        </w:rPr>
        <w:t>七、</w:t>
      </w:r>
      <w:r>
        <w:rPr>
          <w:rFonts w:hint="eastAsia" w:ascii="仿宋" w:hAnsi="仿宋" w:eastAsia="仿宋"/>
          <w:b w:val="0"/>
        </w:rPr>
        <w:t>一</w:t>
      </w:r>
      <w:r>
        <w:rPr>
          <w:rStyle w:val="30"/>
          <w:rFonts w:hint="eastAsia" w:ascii="仿宋" w:hAnsi="仿宋" w:eastAsia="仿宋"/>
          <w:b w:val="0"/>
          <w:bCs w:val="0"/>
        </w:rPr>
        <w:t>般公共预算财政拨款支出决算明细表</w:t>
      </w:r>
      <w:bookmarkEnd w:id="66"/>
    </w:p>
    <w:p>
      <w:pPr>
        <w:pStyle w:val="5"/>
        <w:spacing w:before="0" w:after="0" w:line="560" w:lineRule="exact"/>
        <w:rPr>
          <w:rFonts w:ascii="仿宋" w:hAnsi="仿宋" w:eastAsia="仿宋"/>
        </w:rPr>
      </w:pPr>
      <w:bookmarkStart w:id="67" w:name="_Toc15396626"/>
      <w:r>
        <w:rPr>
          <w:rStyle w:val="30"/>
          <w:rFonts w:hint="eastAsia" w:ascii="仿宋" w:hAnsi="仿宋" w:eastAsia="仿宋"/>
          <w:b w:val="0"/>
          <w:bCs w:val="0"/>
        </w:rPr>
        <w:t>八、</w:t>
      </w:r>
      <w:r>
        <w:rPr>
          <w:rFonts w:hint="eastAsia" w:ascii="仿宋" w:hAnsi="仿宋" w:eastAsia="仿宋"/>
          <w:b w:val="0"/>
        </w:rPr>
        <w:t>一</w:t>
      </w:r>
      <w:r>
        <w:rPr>
          <w:rStyle w:val="30"/>
          <w:rFonts w:hint="eastAsia" w:ascii="仿宋" w:hAnsi="仿宋" w:eastAsia="仿宋"/>
          <w:b w:val="0"/>
          <w:bCs w:val="0"/>
        </w:rPr>
        <w:t>般公共预算财政拨款基本支出决算表</w:t>
      </w:r>
      <w:bookmarkEnd w:id="67"/>
    </w:p>
    <w:p>
      <w:pPr>
        <w:pStyle w:val="5"/>
        <w:spacing w:before="0" w:after="0" w:line="560" w:lineRule="exact"/>
        <w:rPr>
          <w:rFonts w:ascii="仿宋" w:hAnsi="仿宋" w:eastAsia="仿宋"/>
        </w:rPr>
      </w:pPr>
      <w:bookmarkStart w:id="68" w:name="_Toc15396627"/>
      <w:r>
        <w:rPr>
          <w:rStyle w:val="30"/>
          <w:rFonts w:hint="eastAsia" w:ascii="仿宋" w:hAnsi="仿宋" w:eastAsia="仿宋"/>
          <w:b w:val="0"/>
          <w:bCs w:val="0"/>
        </w:rPr>
        <w:t>九、</w:t>
      </w:r>
      <w:r>
        <w:rPr>
          <w:rFonts w:hint="eastAsia" w:ascii="仿宋" w:hAnsi="仿宋" w:eastAsia="仿宋"/>
          <w:b w:val="0"/>
        </w:rPr>
        <w:t>一</w:t>
      </w:r>
      <w:r>
        <w:rPr>
          <w:rStyle w:val="30"/>
          <w:rFonts w:hint="eastAsia" w:ascii="仿宋" w:hAnsi="仿宋" w:eastAsia="仿宋"/>
          <w:b w:val="0"/>
          <w:bCs w:val="0"/>
        </w:rPr>
        <w:t>般公共预算财政拨款项目支出决算表</w:t>
      </w:r>
      <w:bookmarkEnd w:id="68"/>
    </w:p>
    <w:p>
      <w:pPr>
        <w:pStyle w:val="5"/>
        <w:spacing w:before="0" w:after="0" w:line="560" w:lineRule="exact"/>
        <w:rPr>
          <w:rFonts w:ascii="仿宋" w:hAnsi="仿宋" w:eastAsia="仿宋"/>
        </w:rPr>
      </w:pPr>
      <w:bookmarkStart w:id="69" w:name="_Toc15396628"/>
      <w:r>
        <w:rPr>
          <w:rStyle w:val="30"/>
          <w:rFonts w:hint="eastAsia" w:ascii="仿宋" w:hAnsi="仿宋" w:eastAsia="仿宋"/>
          <w:b w:val="0"/>
          <w:bCs w:val="0"/>
        </w:rPr>
        <w:t>十、</w:t>
      </w:r>
      <w:bookmarkEnd w:id="69"/>
      <w:r>
        <w:rPr>
          <w:rFonts w:hint="eastAsia" w:ascii="仿宋" w:hAnsi="仿宋" w:eastAsia="仿宋"/>
          <w:b w:val="0"/>
        </w:rPr>
        <w:t>政</w:t>
      </w:r>
      <w:r>
        <w:rPr>
          <w:rStyle w:val="30"/>
          <w:rFonts w:hint="eastAsia" w:ascii="仿宋" w:hAnsi="仿宋" w:eastAsia="仿宋"/>
          <w:b w:val="0"/>
          <w:bCs w:val="0"/>
        </w:rPr>
        <w:t>府性基金预算财政拨款收入支出决算表</w:t>
      </w:r>
    </w:p>
    <w:p>
      <w:pPr>
        <w:pStyle w:val="5"/>
        <w:spacing w:before="0" w:after="0" w:line="560" w:lineRule="exact"/>
        <w:rPr>
          <w:rFonts w:ascii="仿宋" w:hAnsi="仿宋" w:eastAsia="仿宋"/>
        </w:rPr>
      </w:pPr>
      <w:bookmarkStart w:id="70" w:name="_Toc15396629"/>
      <w:r>
        <w:rPr>
          <w:rStyle w:val="30"/>
          <w:rFonts w:hint="eastAsia" w:ascii="仿宋" w:hAnsi="仿宋" w:eastAsia="仿宋"/>
          <w:b w:val="0"/>
          <w:bCs w:val="0"/>
        </w:rPr>
        <w:t>十一、</w:t>
      </w:r>
      <w:bookmarkEnd w:id="70"/>
      <w:r>
        <w:rPr>
          <w:rFonts w:hint="eastAsia" w:ascii="仿宋" w:hAnsi="仿宋" w:eastAsia="仿宋"/>
          <w:b w:val="0"/>
        </w:rPr>
        <w:t>国</w:t>
      </w:r>
      <w:r>
        <w:rPr>
          <w:rStyle w:val="30"/>
          <w:rFonts w:hint="eastAsia" w:ascii="仿宋" w:hAnsi="仿宋" w:eastAsia="仿宋"/>
          <w:b w:val="0"/>
          <w:bCs w:val="0"/>
        </w:rPr>
        <w:t>有资本经营预算财政拨款收入支出决算表</w:t>
      </w:r>
    </w:p>
    <w:p>
      <w:pPr>
        <w:pStyle w:val="5"/>
        <w:spacing w:before="0" w:after="0" w:line="560" w:lineRule="exact"/>
        <w:rPr>
          <w:rFonts w:ascii="仿宋" w:hAnsi="仿宋" w:eastAsia="仿宋"/>
        </w:rPr>
      </w:pPr>
      <w:bookmarkStart w:id="71" w:name="_Toc15396630"/>
      <w:r>
        <w:rPr>
          <w:rStyle w:val="30"/>
          <w:rFonts w:hint="eastAsia" w:ascii="仿宋" w:hAnsi="仿宋" w:eastAsia="仿宋"/>
          <w:b w:val="0"/>
          <w:bCs w:val="0"/>
        </w:rPr>
        <w:t>十二、</w:t>
      </w:r>
      <w:bookmarkEnd w:id="71"/>
      <w:r>
        <w:rPr>
          <w:rStyle w:val="30"/>
          <w:rFonts w:hint="eastAsia" w:ascii="仿宋" w:hAnsi="仿宋" w:eastAsia="仿宋"/>
          <w:b w:val="0"/>
          <w:bCs w:val="0"/>
        </w:rPr>
        <w:t>国有资本经营预算财政拨款支出决算表</w:t>
      </w:r>
    </w:p>
    <w:p>
      <w:pPr>
        <w:pStyle w:val="5"/>
        <w:spacing w:before="0" w:after="0" w:line="560" w:lineRule="exact"/>
        <w:rPr>
          <w:rFonts w:eastAsia="仿宋"/>
        </w:rPr>
      </w:pPr>
      <w:bookmarkStart w:id="72" w:name="_Toc15396631"/>
      <w:r>
        <w:rPr>
          <w:rStyle w:val="30"/>
          <w:rFonts w:hint="eastAsia" w:ascii="仿宋" w:hAnsi="仿宋" w:eastAsia="仿宋"/>
          <w:b w:val="0"/>
          <w:bCs w:val="0"/>
        </w:rPr>
        <w:t>十三、</w:t>
      </w:r>
      <w:bookmarkEnd w:id="72"/>
      <w:r>
        <w:rPr>
          <w:rStyle w:val="30"/>
          <w:rFonts w:hint="eastAsia" w:ascii="仿宋" w:hAnsi="仿宋" w:eastAsia="仿宋"/>
          <w:b w:val="0"/>
          <w:bCs w:val="0"/>
        </w:rPr>
        <w:t>财政拨款“三公”经费支出决算表</w:t>
      </w:r>
    </w:p>
    <w:p>
      <w:pPr>
        <w:pStyle w:val="5"/>
        <w:rPr>
          <w:rFonts w:eastAsia="仿宋"/>
        </w:rPr>
      </w:pPr>
    </w:p>
    <w:sectPr>
      <w:headerReference r:id="rId9" w:type="default"/>
      <w:footerReference r:id="rId10"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4A093F1-39E4-4EE4-8C00-FCC7AD784F42}"/>
  </w:font>
  <w:font w:name="黑体">
    <w:panose1 w:val="02010609060101010101"/>
    <w:charset w:val="86"/>
    <w:family w:val="auto"/>
    <w:pitch w:val="default"/>
    <w:sig w:usb0="800002BF" w:usb1="38CF7CFA" w:usb2="00000016" w:usb3="00000000" w:csb0="00040001" w:csb1="00000000"/>
    <w:embedRegular r:id="rId2" w:fontKey="{384756B3-6785-4217-8EEE-0751D552FCE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embedRegular r:id="rId3" w:fontKey="{D3FA46C9-1AF7-4237-95AE-24BE2959E44F}"/>
  </w:font>
  <w:font w:name="仿宋_GB2312">
    <w:panose1 w:val="02010609030101010101"/>
    <w:charset w:val="86"/>
    <w:family w:val="modern"/>
    <w:pitch w:val="default"/>
    <w:sig w:usb0="00000001" w:usb1="080E0000" w:usb2="00000000" w:usb3="00000000" w:csb0="00040000" w:csb1="00000000"/>
    <w:embedRegular r:id="rId4" w:fontKey="{6C233303-F909-4FF0-90BC-2EAFA97F274F}"/>
  </w:font>
  <w:font w:name="仿宋">
    <w:panose1 w:val="02010609060101010101"/>
    <w:charset w:val="86"/>
    <w:family w:val="modern"/>
    <w:pitch w:val="default"/>
    <w:sig w:usb0="800002BF" w:usb1="38CF7CFA" w:usb2="00000016" w:usb3="00000000" w:csb0="00040001" w:csb1="00000000"/>
    <w:embedRegular r:id="rId5" w:fontKey="{6C5993FA-2A64-4977-8C7F-02D431AB4FAA}"/>
  </w:font>
  <w:font w:name="微软雅黑">
    <w:panose1 w:val="020B0503020204020204"/>
    <w:charset w:val="86"/>
    <w:family w:val="swiss"/>
    <w:pitch w:val="default"/>
    <w:sig w:usb0="80000287" w:usb1="280F3C52" w:usb2="00000016" w:usb3="00000000" w:csb0="0004001F" w:csb1="00000000"/>
    <w:embedRegular r:id="rId6" w:fontKey="{81777636-3FAF-4480-9B2B-9153A60395C4}"/>
  </w:font>
  <w:font w:name="‹ÎSå">
    <w:altName w:val="Segoe Print"/>
    <w:panose1 w:val="00000000000000000000"/>
    <w:charset w:val="00"/>
    <w:family w:val="auto"/>
    <w:pitch w:val="default"/>
    <w:sig w:usb0="00000000" w:usb1="00000000" w:usb2="00000000" w:usb3="00000000" w:csb0="00000001" w:csb1="00000000"/>
  </w:font>
  <w:font w:name="Lucida Sans">
    <w:panose1 w:val="020B0602030504020204"/>
    <w:charset w:val="01"/>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9195538"/>
    </w:sdtPr>
    <w:sdtContent>
      <w:p>
        <w:pPr>
          <w:pStyle w:val="10"/>
          <w:jc w:val="center"/>
        </w:pPr>
        <w:r>
          <w:fldChar w:fldCharType="begin"/>
        </w:r>
        <w:r>
          <w:instrText xml:space="preserve">PAGE   \* MERGEFORMAT</w:instrText>
        </w:r>
        <w:r>
          <w:fldChar w:fldCharType="separate"/>
        </w:r>
        <w:r>
          <w:rPr>
            <w:lang w:val="zh-CN"/>
          </w:rPr>
          <w:t>22</w:t>
        </w:r>
        <w:r>
          <w:rPr>
            <w:lang w:val="zh-CN"/>
          </w:rP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10"/>
          <w:jc w:val="center"/>
        </w:pPr>
        <w:r>
          <w:fldChar w:fldCharType="begin"/>
        </w:r>
        <w:r>
          <w:instrText xml:space="preserve">PAGE   \* MERGEFORMAT</w:instrText>
        </w:r>
        <w:r>
          <w:fldChar w:fldCharType="separate"/>
        </w:r>
        <w:r>
          <w:rPr>
            <w:lang w:val="zh-CN"/>
          </w:rPr>
          <w:t>17</w:t>
        </w:r>
        <w:r>
          <w:fldChar w:fldCharType="end"/>
        </w:r>
      </w:p>
    </w:sdtContent>
  </w:sdt>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F0C25D72"/>
    <w:multiLevelType w:val="singleLevel"/>
    <w:tmpl w:val="F0C25D72"/>
    <w:lvl w:ilvl="0" w:tentative="0">
      <w:start w:val="1"/>
      <w:numFmt w:val="decimal"/>
      <w:suff w:val="nothing"/>
      <w:lvlText w:val="%1、"/>
      <w:lvlJc w:val="left"/>
    </w:lvl>
  </w:abstractNum>
  <w:abstractNum w:abstractNumId="3">
    <w:nsid w:val="1248F8EC"/>
    <w:multiLevelType w:val="singleLevel"/>
    <w:tmpl w:val="1248F8EC"/>
    <w:lvl w:ilvl="0" w:tentative="0">
      <w:start w:val="3"/>
      <w:numFmt w:val="decimal"/>
      <w:lvlText w:val="%1."/>
      <w:lvlJc w:val="left"/>
      <w:pPr>
        <w:tabs>
          <w:tab w:val="left" w:pos="312"/>
        </w:tabs>
      </w:p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3818A09A"/>
    <w:multiLevelType w:val="singleLevel"/>
    <w:tmpl w:val="3818A09A"/>
    <w:lvl w:ilvl="0" w:tentative="0">
      <w:start w:val="1"/>
      <w:numFmt w:val="chineseCounting"/>
      <w:suff w:val="nothing"/>
      <w:lvlText w:val="%1、"/>
      <w:lvlJc w:val="left"/>
      <w:rPr>
        <w:rFonts w:hint="eastAsia"/>
      </w:r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E4Yjc4MzE1N2NjMDFiZWIwY2QxMWVlZWM5MTU0OW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0B85"/>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E72B4"/>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64E8C"/>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2DC0"/>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35B0276"/>
    <w:rsid w:val="037B371D"/>
    <w:rsid w:val="03DC2831"/>
    <w:rsid w:val="045D2E23"/>
    <w:rsid w:val="049C7DEF"/>
    <w:rsid w:val="05455959"/>
    <w:rsid w:val="06975025"/>
    <w:rsid w:val="081B5E94"/>
    <w:rsid w:val="08283748"/>
    <w:rsid w:val="09003D43"/>
    <w:rsid w:val="096C5A1D"/>
    <w:rsid w:val="0A075F99"/>
    <w:rsid w:val="0A2032A3"/>
    <w:rsid w:val="0A500BFB"/>
    <w:rsid w:val="0B1445DB"/>
    <w:rsid w:val="0B8A37D8"/>
    <w:rsid w:val="0D676AC1"/>
    <w:rsid w:val="0DE03144"/>
    <w:rsid w:val="0F5FFB2F"/>
    <w:rsid w:val="0FFFCF60"/>
    <w:rsid w:val="10C055FF"/>
    <w:rsid w:val="118107EC"/>
    <w:rsid w:val="11DD6519"/>
    <w:rsid w:val="125B293E"/>
    <w:rsid w:val="129F0AAB"/>
    <w:rsid w:val="13B57591"/>
    <w:rsid w:val="14A34882"/>
    <w:rsid w:val="151E215B"/>
    <w:rsid w:val="16BB723D"/>
    <w:rsid w:val="17057BF5"/>
    <w:rsid w:val="18015F3F"/>
    <w:rsid w:val="18EB67F8"/>
    <w:rsid w:val="1A990C69"/>
    <w:rsid w:val="1BE8440E"/>
    <w:rsid w:val="1BF10C99"/>
    <w:rsid w:val="1C073948"/>
    <w:rsid w:val="1D155CEE"/>
    <w:rsid w:val="1DB7314C"/>
    <w:rsid w:val="1EA678C9"/>
    <w:rsid w:val="1FDBBF84"/>
    <w:rsid w:val="208C08C0"/>
    <w:rsid w:val="20F57F95"/>
    <w:rsid w:val="238826AD"/>
    <w:rsid w:val="240371BF"/>
    <w:rsid w:val="25707300"/>
    <w:rsid w:val="25711CC6"/>
    <w:rsid w:val="25C741E6"/>
    <w:rsid w:val="2670658E"/>
    <w:rsid w:val="276F80C0"/>
    <w:rsid w:val="27842671"/>
    <w:rsid w:val="292E4941"/>
    <w:rsid w:val="29746395"/>
    <w:rsid w:val="29FD04D3"/>
    <w:rsid w:val="2ABE7A3E"/>
    <w:rsid w:val="2AF94DA4"/>
    <w:rsid w:val="2AFB4FC0"/>
    <w:rsid w:val="2AFF09B6"/>
    <w:rsid w:val="2C671380"/>
    <w:rsid w:val="2CA234A8"/>
    <w:rsid w:val="2D477DEE"/>
    <w:rsid w:val="2EFA178C"/>
    <w:rsid w:val="2EFDF86C"/>
    <w:rsid w:val="2F9D17E1"/>
    <w:rsid w:val="30B46D73"/>
    <w:rsid w:val="313157B7"/>
    <w:rsid w:val="3199107C"/>
    <w:rsid w:val="319F7F4E"/>
    <w:rsid w:val="31DB16A7"/>
    <w:rsid w:val="33D54710"/>
    <w:rsid w:val="35084E41"/>
    <w:rsid w:val="356A28F1"/>
    <w:rsid w:val="357C035A"/>
    <w:rsid w:val="35B56C5B"/>
    <w:rsid w:val="35DF103A"/>
    <w:rsid w:val="35DF577C"/>
    <w:rsid w:val="361E5CB5"/>
    <w:rsid w:val="368E000D"/>
    <w:rsid w:val="383D272C"/>
    <w:rsid w:val="391A0AFD"/>
    <w:rsid w:val="39273424"/>
    <w:rsid w:val="395A55A8"/>
    <w:rsid w:val="39AE70AB"/>
    <w:rsid w:val="3A4DCE41"/>
    <w:rsid w:val="3B693880"/>
    <w:rsid w:val="3BCB56FA"/>
    <w:rsid w:val="3C0C0783"/>
    <w:rsid w:val="3C8B18B7"/>
    <w:rsid w:val="3CA803D8"/>
    <w:rsid w:val="3D672041"/>
    <w:rsid w:val="3EE24385"/>
    <w:rsid w:val="3EE7C2F4"/>
    <w:rsid w:val="3F371B56"/>
    <w:rsid w:val="3F792ED8"/>
    <w:rsid w:val="3F9F3A96"/>
    <w:rsid w:val="3FECA4B2"/>
    <w:rsid w:val="3FF12096"/>
    <w:rsid w:val="3FF58C48"/>
    <w:rsid w:val="426F49B7"/>
    <w:rsid w:val="42D235AE"/>
    <w:rsid w:val="42FF6694"/>
    <w:rsid w:val="430D1298"/>
    <w:rsid w:val="430E7D4F"/>
    <w:rsid w:val="43242EE5"/>
    <w:rsid w:val="43DA751F"/>
    <w:rsid w:val="442E1B0B"/>
    <w:rsid w:val="45841D74"/>
    <w:rsid w:val="45B24076"/>
    <w:rsid w:val="46D57A5C"/>
    <w:rsid w:val="483010C0"/>
    <w:rsid w:val="48783354"/>
    <w:rsid w:val="48BF60AB"/>
    <w:rsid w:val="490704C4"/>
    <w:rsid w:val="49110150"/>
    <w:rsid w:val="493C27E9"/>
    <w:rsid w:val="49602B97"/>
    <w:rsid w:val="496F39ED"/>
    <w:rsid w:val="49FF41D3"/>
    <w:rsid w:val="4A2C2648"/>
    <w:rsid w:val="4A471230"/>
    <w:rsid w:val="4ACA3C0F"/>
    <w:rsid w:val="4B103D18"/>
    <w:rsid w:val="4B313C65"/>
    <w:rsid w:val="4BE068DB"/>
    <w:rsid w:val="4BF6002B"/>
    <w:rsid w:val="4BFFC6BE"/>
    <w:rsid w:val="4D6D6F06"/>
    <w:rsid w:val="4E892302"/>
    <w:rsid w:val="4ECE2238"/>
    <w:rsid w:val="50A3041D"/>
    <w:rsid w:val="51CE0489"/>
    <w:rsid w:val="51DB4B86"/>
    <w:rsid w:val="51F64DB0"/>
    <w:rsid w:val="52A33117"/>
    <w:rsid w:val="54D16E15"/>
    <w:rsid w:val="55333C3E"/>
    <w:rsid w:val="55872E29"/>
    <w:rsid w:val="57831D16"/>
    <w:rsid w:val="57946598"/>
    <w:rsid w:val="57D32355"/>
    <w:rsid w:val="57D91936"/>
    <w:rsid w:val="5A17464C"/>
    <w:rsid w:val="5AE8158A"/>
    <w:rsid w:val="5B7420A1"/>
    <w:rsid w:val="5C9F4EFC"/>
    <w:rsid w:val="5ED65FF4"/>
    <w:rsid w:val="5F67802D"/>
    <w:rsid w:val="5F7DC4F2"/>
    <w:rsid w:val="5FB36814"/>
    <w:rsid w:val="5FBB8E56"/>
    <w:rsid w:val="5FFB5535"/>
    <w:rsid w:val="62A25F13"/>
    <w:rsid w:val="632317CB"/>
    <w:rsid w:val="64CA39A1"/>
    <w:rsid w:val="65AD292F"/>
    <w:rsid w:val="67B57682"/>
    <w:rsid w:val="69630ADE"/>
    <w:rsid w:val="69BD5F13"/>
    <w:rsid w:val="69FB0B4B"/>
    <w:rsid w:val="6B021E54"/>
    <w:rsid w:val="6BFFE1FB"/>
    <w:rsid w:val="6C4A05C8"/>
    <w:rsid w:val="6D3B1A89"/>
    <w:rsid w:val="6DB7D8A3"/>
    <w:rsid w:val="6E301D26"/>
    <w:rsid w:val="6EC78701"/>
    <w:rsid w:val="6F7A5481"/>
    <w:rsid w:val="6FFE07A9"/>
    <w:rsid w:val="71833A0B"/>
    <w:rsid w:val="71BF4EC2"/>
    <w:rsid w:val="72734D90"/>
    <w:rsid w:val="73C92407"/>
    <w:rsid w:val="73E75B71"/>
    <w:rsid w:val="7412278C"/>
    <w:rsid w:val="74232316"/>
    <w:rsid w:val="751A5610"/>
    <w:rsid w:val="75DDCDA9"/>
    <w:rsid w:val="75FF44B1"/>
    <w:rsid w:val="76477D5F"/>
    <w:rsid w:val="76A71401"/>
    <w:rsid w:val="76E41A31"/>
    <w:rsid w:val="77670518"/>
    <w:rsid w:val="777FA627"/>
    <w:rsid w:val="77DF1B5F"/>
    <w:rsid w:val="77EF2D9D"/>
    <w:rsid w:val="79214B3D"/>
    <w:rsid w:val="793D367B"/>
    <w:rsid w:val="79E7B28D"/>
    <w:rsid w:val="7A260F89"/>
    <w:rsid w:val="7A5E1AFB"/>
    <w:rsid w:val="7ACFF0C2"/>
    <w:rsid w:val="7AFB9108"/>
    <w:rsid w:val="7BD5340C"/>
    <w:rsid w:val="7BE91898"/>
    <w:rsid w:val="7BEC036B"/>
    <w:rsid w:val="7BFB19D2"/>
    <w:rsid w:val="7BFD1750"/>
    <w:rsid w:val="7BFDAA1B"/>
    <w:rsid w:val="7CDF9A82"/>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6"/>
    <w:qFormat/>
    <w:uiPriority w:val="99"/>
    <w:pPr>
      <w:spacing w:beforeLines="30"/>
    </w:pPr>
    <w:rPr>
      <w:rFonts w:ascii="仿宋_GB2312" w:eastAsia="仿宋_GB2312"/>
      <w:kern w:val="0"/>
      <w:sz w:val="30"/>
    </w:rPr>
  </w:style>
  <w:style w:type="paragraph" w:styleId="3">
    <w:name w:val="Subtitle"/>
    <w:basedOn w:val="1"/>
    <w:next w:val="1"/>
    <w:qFormat/>
    <w:uiPriority w:val="0"/>
    <w:pPr>
      <w:spacing w:before="120" w:after="120" w:line="312" w:lineRule="auto"/>
      <w:jc w:val="left"/>
      <w:outlineLvl w:val="1"/>
    </w:pPr>
    <w:rPr>
      <w:rFonts w:ascii="Cambria" w:hAnsi="Cambria"/>
      <w:b/>
      <w:bCs/>
      <w:kern w:val="28"/>
      <w:sz w:val="24"/>
      <w:szCs w:val="32"/>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qFormat/>
    <w:uiPriority w:val="0"/>
    <w:pPr>
      <w:spacing w:before="100" w:beforeAutospacing="1" w:after="100" w:afterAutospacing="1"/>
      <w:jc w:val="left"/>
    </w:pPr>
    <w:rPr>
      <w:kern w:val="0"/>
      <w:sz w:val="24"/>
    </w:rPr>
  </w:style>
  <w:style w:type="paragraph" w:styleId="15">
    <w:name w:val="Body Text First Indent 2"/>
    <w:basedOn w:val="7"/>
    <w:unhideWhenUsed/>
    <w:qFormat/>
    <w:uiPriority w:val="99"/>
    <w:pPr>
      <w:ind w:firstLine="420" w:firstLine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4"/>
    <w:qFormat/>
    <w:uiPriority w:val="0"/>
    <w:rPr>
      <w:rFonts w:ascii="Times New Roman" w:hAnsi="Times New Roman"/>
      <w:b/>
      <w:bCs/>
      <w:kern w:val="44"/>
      <w:sz w:val="44"/>
      <w:szCs w:val="44"/>
    </w:rPr>
  </w:style>
  <w:style w:type="character" w:customStyle="1" w:styleId="30">
    <w:name w:val="标题 2 Char"/>
    <w:basedOn w:val="17"/>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6"/>
    <w:qFormat/>
    <w:uiPriority w:val="9"/>
    <w:rPr>
      <w:rFonts w:ascii="Times New Roman" w:hAnsi="Times New Roman"/>
      <w:b/>
      <w:bCs/>
      <w:kern w:val="2"/>
      <w:sz w:val="32"/>
      <w:szCs w:val="32"/>
    </w:rPr>
  </w:style>
  <w:style w:type="paragraph" w:customStyle="1" w:styleId="34">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5">
    <w:name w:val="TOC 标题3"/>
    <w:basedOn w:val="4"/>
    <w:next w:val="1"/>
    <w:qFormat/>
    <w:uiPriority w:val="0"/>
    <w:pPr>
      <w:widowControl/>
      <w:spacing w:before="480" w:after="0" w:line="276" w:lineRule="auto"/>
      <w:jc w:val="left"/>
      <w:outlineLvl w:val="9"/>
    </w:pPr>
    <w:rPr>
      <w:rFonts w:ascii="Cambria" w:hAnsi="Cambria"/>
      <w:color w:val="3660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宋体" panose="02010600030101010101" charset="-122"/>
                <a:cs typeface="Lucida Sans" panose="020B0602030504020204"/>
              </a:defRPr>
            </a:pPr>
            <a:r>
              <a:rPr lang="zh-CN"/>
              <a:t>收、支决算总计柱状图对比</a:t>
            </a:r>
            <a:endParaRPr lang="zh-CN"/>
          </a:p>
        </c:rich>
      </c:tx>
      <c:layout>
        <c:manualLayout>
          <c:xMode val="edge"/>
          <c:yMode val="edge"/>
          <c:x val="0.2815"/>
          <c:y val="0.0306978798586572"/>
        </c:manualLayout>
      </c:layout>
      <c:overlay val="0"/>
      <c:spPr>
        <a:noFill/>
        <a:ln>
          <a:noFill/>
        </a:ln>
      </c:spPr>
    </c:title>
    <c:autoTitleDeleted val="0"/>
    <c:plotArea>
      <c:layout>
        <c:manualLayout>
          <c:layoutTarget val="inner"/>
          <c:xMode val="edge"/>
          <c:yMode val="edge"/>
          <c:x val="0.11795"/>
          <c:y val="0.0951641931684338"/>
          <c:w val="0.6963"/>
          <c:h val="0.792733333333333"/>
        </c:manualLayout>
      </c:layout>
      <c:barChart>
        <c:barDir val="col"/>
        <c:grouping val="clustered"/>
        <c:varyColors val="0"/>
        <c:ser>
          <c:idx val="0"/>
          <c:order val="0"/>
          <c:tx>
            <c:strRef>
              <c:f>Sheet1!$A$2</c:f>
              <c:strCache>
                <c:ptCount val="1"/>
                <c:pt idx="0">
                  <c:v>2025年收、支决算总计</c:v>
                </c:pt>
              </c:strCache>
            </c:strRef>
          </c:tx>
          <c:spPr>
            <a:solidFill>
              <a:srgbClr val="4F81BD"/>
            </a:solidFill>
            <a:ln>
              <a:noFill/>
            </a:ln>
          </c:spPr>
          <c:invertIfNegative val="0"/>
          <c:dLbls>
            <c:delete val="1"/>
          </c:dLbls>
          <c:val>
            <c:numRef>
              <c:f>Sheet1!$B$2</c:f>
              <c:numCache>
                <c:formatCode>General</c:formatCode>
                <c:ptCount val="1"/>
                <c:pt idx="0">
                  <c:v>391.97</c:v>
                </c:pt>
              </c:numCache>
            </c:numRef>
          </c:val>
        </c:ser>
        <c:ser>
          <c:idx val="1"/>
          <c:order val="1"/>
          <c:tx>
            <c:strRef>
              <c:f>Sheet1!$A$3</c:f>
              <c:strCache>
                <c:ptCount val="1"/>
                <c:pt idx="0">
                  <c:v>2024年收、支决算总计</c:v>
                </c:pt>
              </c:strCache>
            </c:strRef>
          </c:tx>
          <c:spPr>
            <a:solidFill>
              <a:srgbClr val="C0504D"/>
            </a:solidFill>
            <a:ln>
              <a:noFill/>
            </a:ln>
          </c:spPr>
          <c:invertIfNegative val="0"/>
          <c:dLbls>
            <c:delete val="1"/>
          </c:dLbls>
          <c:val>
            <c:numRef>
              <c:f>Sheet1!$B$3</c:f>
              <c:numCache>
                <c:formatCode>General</c:formatCode>
                <c:ptCount val="1"/>
                <c:pt idx="0">
                  <c:v>335.89</c:v>
                </c:pt>
              </c:numCache>
            </c:numRef>
          </c:val>
        </c:ser>
        <c:dLbls>
          <c:showLegendKey val="0"/>
          <c:showVal val="0"/>
          <c:showCatName val="0"/>
          <c:showSerName val="0"/>
          <c:showPercent val="0"/>
          <c:showBubbleSize val="0"/>
        </c:dLbls>
        <c:gapWidth val="150"/>
        <c:axId val="46040576"/>
        <c:axId val="46042112"/>
      </c:barChart>
      <c:catAx>
        <c:axId val="46040576"/>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46042112"/>
        <c:crosses val="autoZero"/>
        <c:auto val="1"/>
        <c:lblAlgn val="ctr"/>
        <c:lblOffset val="100"/>
        <c:noMultiLvlLbl val="0"/>
      </c:catAx>
      <c:valAx>
        <c:axId val="46042112"/>
        <c:scaling>
          <c:orientation val="minMax"/>
        </c:scaling>
        <c:delete val="0"/>
        <c:axPos val="l"/>
        <c:majorGridlines>
          <c:spPr>
            <a:ln w="6350" cap="flat" cmpd="sng" algn="ctr">
              <a:solidFill>
                <a:srgbClr val="D9D9D9"/>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46040576"/>
        <c:crossesAt val="1"/>
        <c:crossBetween val="between"/>
      </c:valAx>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本年收入</a:t>
            </a:r>
            <a:endParaRPr lang="zh-CN"/>
          </a:p>
        </c:rich>
      </c:tx>
      <c:layout>
        <c:manualLayout>
          <c:xMode val="edge"/>
          <c:yMode val="edge"/>
          <c:x val="0.426673109446726"/>
          <c:y val="0.0399490012749681"/>
        </c:manualLayout>
      </c:layout>
      <c:overlay val="0"/>
      <c:spPr>
        <a:noFill/>
        <a:ln>
          <a:noFill/>
        </a:ln>
      </c:spPr>
    </c:title>
    <c:autoTitleDeleted val="0"/>
    <c:plotArea>
      <c:layout/>
      <c:pieChart>
        <c:varyColors val="1"/>
        <c:ser>
          <c:idx val="0"/>
          <c:order val="0"/>
          <c:tx>
            <c:strRef>
              <c:f>'Sheet1 (2)'!$B$1</c:f>
              <c:strCache>
                <c:ptCount val="1"/>
                <c:pt idx="0">
                  <c:v>本年收入</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Pt>
            <c:idx val="4"/>
            <c:bubble3D val="0"/>
            <c:spPr>
              <a:solidFill>
                <a:srgbClr val="4BACC6"/>
              </a:solidFill>
              <a:ln w="6350">
                <a:solidFill>
                  <a:srgbClr val="FFFFFF"/>
                </a:solidFill>
                <a:prstDash val="solid"/>
              </a:ln>
            </c:spPr>
          </c:dPt>
          <c:dPt>
            <c:idx val="5"/>
            <c:bubble3D val="0"/>
            <c:spPr>
              <a:solidFill>
                <a:srgbClr val="F79646"/>
              </a:solidFill>
              <a:ln w="6350">
                <a:solidFill>
                  <a:srgbClr val="FFFFFF"/>
                </a:solidFill>
                <a:prstDash val="solid"/>
              </a:ln>
            </c:spPr>
          </c:dPt>
          <c:dPt>
            <c:idx val="6"/>
            <c:bubble3D val="0"/>
            <c:spPr>
              <a:solidFill>
                <a:srgbClr val="2C4D75"/>
              </a:solidFill>
              <a:ln w="6350">
                <a:solidFill>
                  <a:srgbClr val="FFFFFF"/>
                </a:solidFill>
                <a:prstDash val="solid"/>
              </a:ln>
            </c:spPr>
          </c:dPt>
          <c:dPt>
            <c:idx val="7"/>
            <c:bubble3D val="0"/>
            <c:spPr>
              <a:solidFill>
                <a:srgbClr val="772C2A"/>
              </a:solidFill>
              <a:ln w="6350">
                <a:solidFill>
                  <a:srgbClr val="FFFFFF"/>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(2)'!$A$2:$A$9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 (2)'!$B$2:$B$9</c:f>
              <c:numCache>
                <c:formatCode>General</c:formatCode>
                <c:ptCount val="8"/>
                <c:pt idx="0">
                  <c:v>335.89</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zero"/>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决算支出</a:t>
            </a:r>
            <a:endParaRPr lang="zh-CN"/>
          </a:p>
        </c:rich>
      </c:tx>
      <c:layout/>
      <c:overlay val="0"/>
      <c:spPr>
        <a:noFill/>
        <a:ln>
          <a:noFill/>
        </a:ln>
      </c:spPr>
    </c:title>
    <c:autoTitleDeleted val="0"/>
    <c:plotArea>
      <c:layout/>
      <c:pieChart>
        <c:varyColors val="1"/>
        <c:ser>
          <c:idx val="0"/>
          <c:order val="0"/>
          <c:tx>
            <c:strRef>
              <c:f>'Sheet1 (3)'!$B$1</c:f>
              <c:strCache>
                <c:ptCount val="1"/>
                <c:pt idx="0">
                  <c:v>决算支出</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General</c:formatCode>
                <c:ptCount val="2"/>
                <c:pt idx="0">
                  <c:v>335.89</c:v>
                </c:pt>
                <c:pt idx="1">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zero"/>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683256825320126"/>
          <c:y val="0.150233744156396"/>
          <c:w val="0.908359507127325"/>
          <c:h val="0.694645133871653"/>
        </c:manualLayout>
      </c:layout>
      <c:barChart>
        <c:barDir val="col"/>
        <c:grouping val="clustered"/>
        <c:varyColors val="0"/>
        <c:ser>
          <c:idx val="0"/>
          <c:order val="0"/>
          <c:tx>
            <c:strRef>
              <c:f>Sheet1!$B$1</c:f>
              <c:strCache>
                <c:ptCount val="1"/>
                <c:pt idx="0">
                  <c:v>收支决算数</c:v>
                </c:pt>
              </c:strCache>
            </c:strRef>
          </c:tx>
          <c:spPr>
            <a:solidFill>
              <a:schemeClr val="accent1"/>
            </a:solidFill>
            <a:ln>
              <a:noFill/>
            </a:ln>
            <a:effectLst/>
          </c:spPr>
          <c:invertIfNegative val="0"/>
          <c:dPt>
            <c:idx val="1"/>
            <c:invertIfNegative val="0"/>
            <c:bubble3D val="0"/>
            <c:spPr>
              <a:solidFill>
                <a:srgbClr val="FF0000"/>
              </a:solidFill>
              <a:ln>
                <a:noFill/>
              </a:ln>
              <a:effectLst/>
            </c:spPr>
          </c:dPt>
          <c:dLbls>
            <c:delete val="1"/>
          </c:dLbls>
          <c:cat>
            <c:strRef>
              <c:f>Sheet1!$A$2:$A$3</c:f>
              <c:strCache>
                <c:ptCount val="2"/>
                <c:pt idx="0">
                  <c:v>2024年收支出决算数</c:v>
                </c:pt>
                <c:pt idx="1">
                  <c:v>2025年收支出决算数</c:v>
                </c:pt>
              </c:strCache>
            </c:strRef>
          </c:cat>
          <c:val>
            <c:numRef>
              <c:f>Sheet1!$B$2:$B$3</c:f>
              <c:numCache>
                <c:formatCode>General</c:formatCode>
                <c:ptCount val="2"/>
                <c:pt idx="0">
                  <c:v>335.89</c:v>
                </c:pt>
                <c:pt idx="1">
                  <c:v>391.97</c:v>
                </c:pt>
              </c:numCache>
            </c:numRef>
          </c:val>
        </c:ser>
        <c:dLbls>
          <c:showLegendKey val="0"/>
          <c:showVal val="0"/>
          <c:showCatName val="0"/>
          <c:showSerName val="0"/>
          <c:showPercent val="0"/>
          <c:showBubbleSize val="0"/>
        </c:dLbls>
        <c:gapWidth val="246"/>
        <c:overlap val="-28"/>
        <c:axId val="119554048"/>
        <c:axId val="119555584"/>
      </c:barChart>
      <c:catAx>
        <c:axId val="119554048"/>
        <c:scaling>
          <c:orientation val="minMax"/>
        </c:scaling>
        <c:delete val="1"/>
        <c:axPos val="b"/>
        <c:majorTickMark val="none"/>
        <c:minorTickMark val="none"/>
        <c:tickLblPos val="none"/>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555584"/>
        <c:crosses val="autoZero"/>
        <c:auto val="1"/>
        <c:lblAlgn val="ctr"/>
        <c:lblOffset val="100"/>
        <c:noMultiLvlLbl val="0"/>
      </c:catAx>
      <c:valAx>
        <c:axId val="11955558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5540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一般公共预算财政拨款支出决算数
</c:v>
                </c:pt>
              </c:strCache>
            </c:strRef>
          </c:tx>
          <c:spPr>
            <a:solidFill>
              <a:schemeClr val="accent1"/>
            </a:solidFill>
            <a:ln>
              <a:noFill/>
            </a:ln>
            <a:effectLst/>
          </c:spPr>
          <c:invertIfNegative val="0"/>
          <c:dPt>
            <c:idx val="1"/>
            <c:invertIfNegative val="0"/>
            <c:bubble3D val="0"/>
            <c:spPr>
              <a:solidFill>
                <a:srgbClr val="FF0000"/>
              </a:solidFill>
              <a:ln>
                <a:noFill/>
              </a:ln>
              <a:effectLst/>
            </c:spPr>
          </c:dPt>
          <c:dLbls>
            <c:delete val="1"/>
          </c:dLbls>
          <c:cat>
            <c:strRef>
              <c:f>Sheet1!$A$2:$A$3</c:f>
              <c:strCache>
                <c:ptCount val="2"/>
                <c:pt idx="0">
                  <c:v>2024年一般公共预算财政拨款支出决算数
</c:v>
                </c:pt>
                <c:pt idx="1">
                  <c:v>2025年一般公共预算财政拨款支出决算数
</c:v>
                </c:pt>
              </c:strCache>
            </c:strRef>
          </c:cat>
          <c:val>
            <c:numRef>
              <c:f>Sheet1!$B$2:$B$3</c:f>
              <c:numCache>
                <c:formatCode>General</c:formatCode>
                <c:ptCount val="2"/>
                <c:pt idx="0">
                  <c:v>335.89</c:v>
                </c:pt>
                <c:pt idx="1">
                  <c:v>391.97</c:v>
                </c:pt>
              </c:numCache>
            </c:numRef>
          </c:val>
        </c:ser>
        <c:dLbls>
          <c:showLegendKey val="0"/>
          <c:showVal val="0"/>
          <c:showCatName val="0"/>
          <c:showSerName val="0"/>
          <c:showPercent val="0"/>
          <c:showBubbleSize val="0"/>
        </c:dLbls>
        <c:gapWidth val="246"/>
        <c:overlap val="-28"/>
        <c:axId val="134412928"/>
        <c:axId val="134783360"/>
      </c:barChart>
      <c:catAx>
        <c:axId val="134412928"/>
        <c:scaling>
          <c:orientation val="minMax"/>
        </c:scaling>
        <c:delete val="1"/>
        <c:axPos val="b"/>
        <c:majorTickMark val="none"/>
        <c:minorTickMark val="none"/>
        <c:tickLblPos val="none"/>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783360"/>
        <c:crosses val="autoZero"/>
        <c:auto val="1"/>
        <c:lblAlgn val="ctr"/>
        <c:lblOffset val="100"/>
        <c:noMultiLvlLbl val="0"/>
      </c:catAx>
      <c:valAx>
        <c:axId val="13478336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4129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决算支出</a:t>
            </a:r>
            <a:endParaRPr lang="zh-CN"/>
          </a:p>
        </c:rich>
      </c:tx>
      <c:layout/>
      <c:overlay val="0"/>
      <c:spPr>
        <a:noFill/>
        <a:ln>
          <a:noFill/>
        </a:ln>
      </c:spPr>
    </c:title>
    <c:autoTitleDeleted val="0"/>
    <c:plotArea>
      <c:layout/>
      <c:pieChart>
        <c:varyColors val="1"/>
        <c:ser>
          <c:idx val="0"/>
          <c:order val="0"/>
          <c:tx>
            <c:strRef>
              <c:f>'Sheet1 (3)'!$B$1</c:f>
              <c:strCache>
                <c:ptCount val="1"/>
                <c:pt idx="0">
                  <c:v>决算支出</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ln>
                <a:noFill/>
              </a:ln>
            </c:spPr>
          </c:dPt>
          <c:dPt>
            <c:idx val="3"/>
            <c:bubble3D val="0"/>
            <c:spPr>
              <a:ln>
                <a:noFill/>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(3)'!$A$2:$A$5</c:f>
              <c:strCache>
                <c:ptCount val="4"/>
                <c:pt idx="0">
                  <c:v>一般公共服务支出</c:v>
                </c:pt>
                <c:pt idx="1">
                  <c:v>社会保障就业支出</c:v>
                </c:pt>
                <c:pt idx="2">
                  <c:v>卫生健康支出</c:v>
                </c:pt>
                <c:pt idx="3">
                  <c:v>住房保障</c:v>
                </c:pt>
              </c:strCache>
            </c:strRef>
          </c:cat>
          <c:val>
            <c:numRef>
              <c:f>'Sheet1 (3)'!$B$2:$B$5</c:f>
              <c:numCache>
                <c:formatCode>General</c:formatCode>
                <c:ptCount val="4"/>
                <c:pt idx="0">
                  <c:v>292.22</c:v>
                </c:pt>
                <c:pt idx="1">
                  <c:v>51.7</c:v>
                </c:pt>
                <c:pt idx="2">
                  <c:v>18.83</c:v>
                </c:pt>
                <c:pt idx="3">
                  <c:v>29.22</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zero"/>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“三公”经费财政拨款支出决</a:t>
            </a:r>
            <a:endParaRPr lang="zh-CN"/>
          </a:p>
        </c:rich>
      </c:tx>
      <c:layout/>
      <c:overlay val="0"/>
      <c:spPr>
        <a:noFill/>
        <a:ln>
          <a:noFill/>
        </a:ln>
      </c:spPr>
    </c:title>
    <c:autoTitleDeleted val="0"/>
    <c:plotArea>
      <c:layout/>
      <c:pieChart>
        <c:varyColors val="1"/>
        <c:ser>
          <c:idx val="0"/>
          <c:order val="0"/>
          <c:tx>
            <c:strRef>
              <c:f>'Sheet1 (7)'!$B$1</c:f>
              <c:strCache>
                <c:ptCount val="1"/>
                <c:pt idx="0">
                  <c:v>“三公”经费财政拨款支出决</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(7)'!$A$2:$A$4</c:f>
              <c:strCache>
                <c:ptCount val="3"/>
                <c:pt idx="0">
                  <c:v>因公出国（境）费支出</c:v>
                </c:pt>
                <c:pt idx="1">
                  <c:v>公务用车购置及运行维护费支出</c:v>
                </c:pt>
                <c:pt idx="2">
                  <c:v>公务接待费支出</c:v>
                </c:pt>
              </c:strCache>
            </c:strRef>
          </c:cat>
          <c:val>
            <c:numRef>
              <c:f>'Sheet1 (7)'!$B$2:$B$4</c:f>
              <c:numCache>
                <c:formatCode>General</c:formatCode>
                <c:ptCount val="3"/>
                <c:pt idx="0">
                  <c:v>0</c:v>
                </c:pt>
                <c:pt idx="1">
                  <c:v>1.6</c:v>
                </c:pt>
                <c:pt idx="2">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zero"/>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3442</Words>
  <Characters>3831</Characters>
  <Lines>59</Lines>
  <Paragraphs>16</Paragraphs>
  <TotalTime>13</TotalTime>
  <ScaleCrop>false</ScaleCrop>
  <LinksUpToDate>false</LinksUpToDate>
  <CharactersWithSpaces>3970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2024-10-14T08:58:00Z</dcterms:created>
  <dc:creator>曹颖</dc:creator>
  <cp:lastModifiedBy>Administrator</cp:lastModifiedBy>
  <cp:lastPrinted>2023-08-03T02:35:00Z</cp:lastPrinted>
  <dcterms:modified xsi:type="dcterms:W3CDTF">2026-10-14T08:33:34Z</dcterms:modified>
  <dc:title>四川省***</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55BCE7442C784005B979BFF7CF750004_12</vt:lpwstr>
  </property>
  <property fmtid="{D5CDD505-2E9C-101B-9397-08002B2CF9AE}" pid="4" name="KSOTemplateDocerSaveRecord">
    <vt:lpwstr>eyJoZGlkIjoiNWVmNGEzODQ5N2RjNTBhZjY1ZDM5NjRiYmEzOTVmNDkiLCJ1c2VySWQiOiI3Mjc3Mjc0MjcifQ==</vt:lpwstr>
  </property>
</Properties>
</file>