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charts/colors2.xml" ContentType="application/vnd.ms-office.chartcolorstyle+xml"/>
  <Override PartName="/word/charts/colors1.xml" ContentType="application/vnd.ms-office.chartcolorsty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Default Extension="odttf" ContentType="application/vnd.openxmlformats-officedocument.obfuscatedFont"/>
  <Override PartName="/docProps/core.xml" ContentType="application/vnd.openxmlformats-package.core-properties+xml"/>
  <Override PartName="/word/charts/style2.xml" ContentType="application/vnd.ms-office.chartstyle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6E" w:rsidRDefault="00A8386E">
      <w:pPr>
        <w:spacing w:line="600" w:lineRule="exact"/>
        <w:jc w:val="left"/>
        <w:outlineLvl w:val="0"/>
        <w:rPr>
          <w:rFonts w:ascii="微软雅黑" w:eastAsia="微软雅黑" w:hAnsi="宋体"/>
          <w:szCs w:val="21"/>
        </w:rPr>
      </w:pPr>
      <w:bookmarkStart w:id="0" w:name="_Toc15306267"/>
    </w:p>
    <w:p w:rsidR="00A8386E" w:rsidRDefault="00A8386E">
      <w:pPr>
        <w:pStyle w:val="a0"/>
        <w:spacing w:before="93"/>
      </w:pPr>
    </w:p>
    <w:p w:rsidR="00A8386E" w:rsidRDefault="00A8386E">
      <w:pPr>
        <w:spacing w:line="600" w:lineRule="exact"/>
        <w:jc w:val="center"/>
        <w:outlineLvl w:val="0"/>
        <w:rPr>
          <w:rFonts w:ascii="微软雅黑" w:eastAsia="微软雅黑" w:hAnsi="宋体"/>
          <w:sz w:val="72"/>
          <w:szCs w:val="72"/>
        </w:rPr>
      </w:pPr>
    </w:p>
    <w:p w:rsidR="00A8386E" w:rsidRDefault="00A8386E">
      <w:pPr>
        <w:spacing w:line="600" w:lineRule="exact"/>
        <w:jc w:val="center"/>
        <w:outlineLvl w:val="0"/>
        <w:rPr>
          <w:rFonts w:ascii="微软雅黑" w:eastAsia="微软雅黑" w:hAnsi="宋体"/>
          <w:sz w:val="72"/>
          <w:szCs w:val="72"/>
        </w:rPr>
      </w:pPr>
    </w:p>
    <w:p w:rsidR="00A8386E" w:rsidRDefault="00B54260">
      <w:pPr>
        <w:adjustRightInd w:val="0"/>
        <w:snapToGrid w:val="0"/>
        <w:spacing w:line="360" w:lineRule="auto"/>
        <w:jc w:val="center"/>
        <w:outlineLvl w:val="0"/>
        <w:rPr>
          <w:rFonts w:ascii="微软雅黑" w:eastAsia="微软雅黑" w:hAnsi="微软雅黑" w:cs="微软雅黑"/>
          <w:sz w:val="72"/>
          <w:szCs w:val="72"/>
        </w:rPr>
      </w:pPr>
      <w:bookmarkStart w:id="1" w:name="_Toc15378441"/>
      <w:bookmarkStart w:id="2" w:name="_Toc15377425"/>
      <w:bookmarkStart w:id="3" w:name="_Toc15377193"/>
      <w:bookmarkStart w:id="4" w:name="_Toc15396475"/>
      <w:bookmarkStart w:id="5" w:name="_Toc15396597"/>
      <w:r>
        <w:rPr>
          <w:rFonts w:ascii="微软雅黑" w:eastAsia="微软雅黑" w:hAnsi="微软雅黑" w:cs="微软雅黑" w:hint="eastAsia"/>
          <w:sz w:val="72"/>
          <w:szCs w:val="72"/>
        </w:rPr>
        <w:t>202</w:t>
      </w:r>
      <w:r>
        <w:rPr>
          <w:rFonts w:ascii="微软雅黑" w:eastAsia="微软雅黑" w:hAnsi="微软雅黑" w:cs="微软雅黑" w:hint="eastAsia"/>
          <w:sz w:val="72"/>
          <w:szCs w:val="72"/>
        </w:rPr>
        <w:t>5</w:t>
      </w:r>
      <w:r>
        <w:rPr>
          <w:rFonts w:ascii="微软雅黑" w:eastAsia="微软雅黑" w:hAnsi="微软雅黑" w:cs="微软雅黑" w:hint="eastAsia"/>
          <w:sz w:val="72"/>
          <w:szCs w:val="72"/>
        </w:rPr>
        <w:t>年度</w:t>
      </w:r>
      <w:bookmarkEnd w:id="1"/>
      <w:bookmarkEnd w:id="2"/>
      <w:bookmarkEnd w:id="3"/>
      <w:bookmarkEnd w:id="4"/>
      <w:bookmarkEnd w:id="5"/>
    </w:p>
    <w:p w:rsidR="00A8386E" w:rsidRDefault="00B54260">
      <w:pPr>
        <w:adjustRightInd w:val="0"/>
        <w:snapToGrid w:val="0"/>
        <w:spacing w:line="360" w:lineRule="auto"/>
        <w:jc w:val="center"/>
        <w:outlineLvl w:val="0"/>
        <w:rPr>
          <w:rFonts w:ascii="微软雅黑" w:eastAsia="微软雅黑" w:cs="微软雅黑"/>
          <w:sz w:val="72"/>
          <w:szCs w:val="72"/>
        </w:rPr>
      </w:pPr>
      <w:bookmarkStart w:id="6" w:name="_Toc15378442"/>
      <w:bookmarkStart w:id="7" w:name="_Toc15377426"/>
      <w:bookmarkStart w:id="8" w:name="_Toc15396598"/>
      <w:bookmarkStart w:id="9" w:name="_Toc15377194"/>
      <w:bookmarkStart w:id="10" w:name="_Toc15396476"/>
      <w:r>
        <w:rPr>
          <w:rFonts w:ascii="微软雅黑" w:eastAsia="微软雅黑" w:hAnsi="微软雅黑" w:cs="微软雅黑" w:hint="eastAsia"/>
          <w:sz w:val="72"/>
          <w:szCs w:val="72"/>
        </w:rPr>
        <w:t>四川省</w:t>
      </w:r>
      <w:bookmarkStart w:id="11" w:name="_Toc346038630"/>
      <w:bookmarkStart w:id="12" w:name="_Toc15306268"/>
      <w:bookmarkEnd w:id="0"/>
      <w:r>
        <w:rPr>
          <w:rFonts w:ascii="微软雅黑" w:eastAsia="微软雅黑" w:cs="微软雅黑"/>
          <w:sz w:val="72"/>
          <w:szCs w:val="72"/>
        </w:rPr>
        <w:t>阿坝州</w:t>
      </w:r>
      <w:r>
        <w:rPr>
          <w:rFonts w:ascii="微软雅黑" w:eastAsia="微软雅黑" w:cs="微软雅黑" w:hint="eastAsia"/>
          <w:sz w:val="72"/>
          <w:szCs w:val="72"/>
        </w:rPr>
        <w:t>若尔盖县</w:t>
      </w:r>
      <w:bookmarkEnd w:id="11"/>
    </w:p>
    <w:p w:rsidR="00A8386E" w:rsidRDefault="00B54260">
      <w:pPr>
        <w:adjustRightInd w:val="0"/>
        <w:snapToGrid w:val="0"/>
        <w:spacing w:line="360" w:lineRule="auto"/>
        <w:jc w:val="center"/>
        <w:outlineLvl w:val="0"/>
        <w:rPr>
          <w:rFonts w:ascii="微软雅黑" w:eastAsia="微软雅黑" w:hAnsi="微软雅黑" w:cs="微软雅黑"/>
          <w:sz w:val="72"/>
          <w:szCs w:val="72"/>
        </w:rPr>
      </w:pPr>
      <w:r>
        <w:rPr>
          <w:rFonts w:ascii="微软雅黑" w:eastAsia="微软雅黑" w:cs="微软雅黑" w:hint="eastAsia"/>
          <w:sz w:val="72"/>
          <w:szCs w:val="72"/>
        </w:rPr>
        <w:t>编办本级</w:t>
      </w:r>
      <w:r>
        <w:rPr>
          <w:rFonts w:ascii="微软雅黑" w:eastAsia="微软雅黑" w:cs="微软雅黑" w:hint="eastAsia"/>
          <w:sz w:val="72"/>
          <w:szCs w:val="72"/>
        </w:rPr>
        <w:t>单位</w:t>
      </w:r>
      <w:r>
        <w:rPr>
          <w:rFonts w:ascii="微软雅黑" w:eastAsia="微软雅黑" w:hAnsi="微软雅黑" w:cs="微软雅黑" w:hint="eastAsia"/>
          <w:sz w:val="72"/>
          <w:szCs w:val="72"/>
        </w:rPr>
        <w:t>决算</w:t>
      </w:r>
      <w:bookmarkEnd w:id="6"/>
      <w:bookmarkEnd w:id="7"/>
      <w:bookmarkEnd w:id="8"/>
      <w:bookmarkEnd w:id="9"/>
      <w:bookmarkEnd w:id="10"/>
      <w:bookmarkEnd w:id="12"/>
    </w:p>
    <w:p w:rsidR="00A8386E" w:rsidRDefault="00A8386E">
      <w:pPr>
        <w:adjustRightInd w:val="0"/>
        <w:snapToGrid w:val="0"/>
        <w:spacing w:line="360" w:lineRule="auto"/>
        <w:outlineLvl w:val="0"/>
        <w:rPr>
          <w:rFonts w:ascii="微软雅黑" w:eastAsia="微软雅黑" w:hAnsi="宋体"/>
          <w:sz w:val="52"/>
          <w:szCs w:val="52"/>
        </w:rPr>
      </w:pPr>
    </w:p>
    <w:p w:rsidR="00A8386E" w:rsidRDefault="00A8386E">
      <w:pPr>
        <w:widowControl/>
        <w:jc w:val="center"/>
        <w:rPr>
          <w:rFonts w:ascii="微软雅黑" w:eastAsia="微软雅黑"/>
          <w:sz w:val="36"/>
          <w:szCs w:val="36"/>
        </w:rPr>
      </w:pPr>
    </w:p>
    <w:p w:rsidR="00A8386E" w:rsidRDefault="00A8386E">
      <w:pPr>
        <w:widowControl/>
        <w:jc w:val="center"/>
        <w:rPr>
          <w:rFonts w:ascii="微软雅黑" w:eastAsia="微软雅黑"/>
          <w:sz w:val="36"/>
          <w:szCs w:val="36"/>
        </w:rPr>
      </w:pPr>
    </w:p>
    <w:p w:rsidR="00A8386E" w:rsidRDefault="00A8386E">
      <w:pPr>
        <w:widowControl/>
        <w:jc w:val="center"/>
        <w:rPr>
          <w:rFonts w:ascii="微软雅黑" w:eastAsia="微软雅黑"/>
          <w:sz w:val="36"/>
          <w:szCs w:val="36"/>
        </w:rPr>
      </w:pPr>
    </w:p>
    <w:p w:rsidR="00A8386E" w:rsidRDefault="00A8386E">
      <w:pPr>
        <w:widowControl/>
        <w:jc w:val="center"/>
        <w:rPr>
          <w:rFonts w:ascii="微软雅黑" w:eastAsia="微软雅黑"/>
          <w:sz w:val="36"/>
          <w:szCs w:val="36"/>
        </w:rPr>
      </w:pPr>
    </w:p>
    <w:p w:rsidR="00A8386E" w:rsidRDefault="00A8386E">
      <w:pPr>
        <w:widowControl/>
        <w:jc w:val="center"/>
        <w:rPr>
          <w:rFonts w:ascii="微软雅黑" w:eastAsia="微软雅黑"/>
          <w:sz w:val="36"/>
          <w:szCs w:val="36"/>
        </w:rPr>
      </w:pPr>
    </w:p>
    <w:p w:rsidR="00A8386E" w:rsidRDefault="00B54260">
      <w:pPr>
        <w:widowControl/>
        <w:jc w:val="center"/>
        <w:rPr>
          <w:rFonts w:ascii="微软雅黑" w:eastAsia="微软雅黑"/>
          <w:sz w:val="36"/>
          <w:szCs w:val="36"/>
        </w:rPr>
        <w:sectPr w:rsidR="00A8386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pgNumType w:start="1"/>
          <w:cols w:space="720"/>
          <w:titlePg/>
          <w:docGrid w:type="lines" w:linePitch="312"/>
        </w:sectPr>
      </w:pPr>
      <w:r>
        <w:rPr>
          <w:rFonts w:ascii="微软雅黑" w:eastAsia="微软雅黑" w:hint="eastAsia"/>
          <w:sz w:val="36"/>
          <w:szCs w:val="36"/>
        </w:rPr>
        <w:t>已经保密审查、内容审定，同意对外公</w:t>
      </w:r>
    </w:p>
    <w:p w:rsidR="00A8386E" w:rsidRDefault="00B54260">
      <w:pPr>
        <w:widowControl/>
        <w:jc w:val="center"/>
        <w:rPr>
          <w:rFonts w:ascii="黑体" w:eastAsia="黑体"/>
          <w:sz w:val="48"/>
          <w:szCs w:val="48"/>
        </w:rPr>
      </w:pPr>
      <w:bookmarkStart w:id="13" w:name="_Toc15377196"/>
      <w:bookmarkStart w:id="14" w:name="_Toc15396599"/>
      <w:r>
        <w:rPr>
          <w:rFonts w:ascii="黑体" w:eastAsia="黑体" w:hint="eastAsia"/>
          <w:sz w:val="48"/>
          <w:szCs w:val="48"/>
        </w:rPr>
        <w:lastRenderedPageBreak/>
        <w:t>目录</w:t>
      </w:r>
    </w:p>
    <w:p w:rsidR="00A8386E" w:rsidRDefault="00A8386E">
      <w:pPr>
        <w:widowControl/>
        <w:jc w:val="center"/>
        <w:rPr>
          <w:rFonts w:ascii="黑体" w:eastAsia="黑体" w:cs="Arial"/>
          <w:sz w:val="28"/>
          <w:szCs w:val="28"/>
        </w:rPr>
      </w:pPr>
    </w:p>
    <w:p w:rsidR="00A8386E" w:rsidRDefault="00B54260">
      <w:pPr>
        <w:pStyle w:val="10"/>
      </w:pPr>
      <w:r>
        <w:rPr>
          <w:rFonts w:hint="eastAsia"/>
        </w:rPr>
        <w:t>公开时间：</w:t>
      </w:r>
      <w:r>
        <w:rPr>
          <w:rFonts w:hint="eastAsia"/>
        </w:rPr>
        <w:t>202</w:t>
      </w:r>
      <w:r>
        <w:rPr>
          <w:rFonts w:hint="eastAsia"/>
        </w:rPr>
        <w:t>6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0</w:t>
      </w:r>
      <w:r>
        <w:rPr>
          <w:rFonts w:hint="eastAsia"/>
        </w:rPr>
        <w:t>日</w:t>
      </w:r>
    </w:p>
    <w:p w:rsidR="00A8386E" w:rsidRDefault="00A8386E"/>
    <w:sdt>
      <w:sdtPr>
        <w:rPr>
          <w:rFonts w:ascii="Times New Roman" w:hAnsi="Times New Roman"/>
          <w:b w:val="0"/>
          <w:bCs w:val="0"/>
          <w:color w:val="auto"/>
          <w:kern w:val="2"/>
          <w:sz w:val="21"/>
          <w:szCs w:val="24"/>
          <w:lang w:val="zh-CN"/>
        </w:rPr>
        <w:id w:val="521548254"/>
        <w:docPartObj>
          <w:docPartGallery w:val="Table of Contents"/>
          <w:docPartUnique/>
        </w:docPartObj>
      </w:sdtPr>
      <w:sdtEndPr>
        <w:rPr>
          <w:rFonts w:ascii="仿宋" w:eastAsia="仿宋" w:hAnsi="仿宋"/>
          <w:sz w:val="24"/>
          <w:lang w:val="en-US"/>
        </w:rPr>
      </w:sdtEndPr>
      <w:sdtContent>
        <w:p w:rsidR="00A8386E" w:rsidRDefault="00A8386E">
          <w:pPr>
            <w:pStyle w:val="TOC3"/>
            <w:rPr>
              <w:rFonts w:ascii="仿宋" w:eastAsia="仿宋" w:hAnsi="仿宋"/>
              <w:b w:val="0"/>
              <w:sz w:val="24"/>
              <w:szCs w:val="24"/>
            </w:rPr>
          </w:pPr>
          <w:r w:rsidRPr="00A8386E">
            <w:rPr>
              <w:rFonts w:ascii="仿宋" w:eastAsia="仿宋" w:hAnsi="仿宋"/>
              <w:b w:val="0"/>
              <w:sz w:val="24"/>
              <w:szCs w:val="24"/>
            </w:rPr>
            <w:fldChar w:fldCharType="begin"/>
          </w:r>
          <w:r w:rsidR="00B54260">
            <w:rPr>
              <w:rFonts w:ascii="仿宋" w:eastAsia="仿宋" w:hAnsi="仿宋"/>
              <w:b w:val="0"/>
              <w:sz w:val="24"/>
              <w:szCs w:val="24"/>
            </w:rPr>
            <w:instrText xml:space="preserve"> TOC \o "1-3" \h \z \u </w:instrText>
          </w:r>
          <w:r w:rsidRPr="00A8386E">
            <w:rPr>
              <w:rFonts w:ascii="仿宋" w:eastAsia="仿宋" w:hAnsi="仿宋"/>
              <w:b w:val="0"/>
              <w:sz w:val="24"/>
              <w:szCs w:val="24"/>
            </w:rPr>
            <w:fldChar w:fldCharType="separate"/>
          </w:r>
        </w:p>
        <w:p w:rsidR="00A8386E" w:rsidRDefault="00A8386E">
          <w:pPr>
            <w:pStyle w:val="10"/>
            <w:jc w:val="both"/>
            <w:rPr>
              <w:rFonts w:cs="Arial"/>
              <w:sz w:val="24"/>
              <w:szCs w:val="24"/>
            </w:rPr>
          </w:pPr>
          <w:hyperlink w:anchor="_Toc346038632" w:history="1">
            <w:r w:rsidR="00B54260">
              <w:rPr>
                <w:rFonts w:hint="eastAsia"/>
                <w:sz w:val="24"/>
                <w:szCs w:val="24"/>
              </w:rPr>
              <w:t>第一部分单位概况</w:t>
            </w:r>
            <w:r w:rsidR="00B54260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 w:rsidR="00B54260">
              <w:rPr>
                <w:sz w:val="24"/>
                <w:szCs w:val="24"/>
              </w:rPr>
              <w:instrText xml:space="preserve"> PAGEREF _Toc346038632 \h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B5426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33" w:history="1">
            <w:r w:rsidR="00B54260">
              <w:rPr>
                <w:rFonts w:ascii="仿宋" w:eastAsia="仿宋" w:hAnsi="仿宋" w:hint="eastAsia"/>
                <w:sz w:val="24"/>
              </w:rPr>
              <w:t>一、</w:t>
            </w:r>
            <w:r w:rsidR="00B54260">
              <w:rPr>
                <w:rFonts w:ascii="仿宋" w:eastAsia="仿宋" w:hAnsi="仿宋" w:hint="eastAsia"/>
                <w:sz w:val="24"/>
              </w:rPr>
              <w:t xml:space="preserve"> </w:t>
            </w:r>
            <w:r w:rsidR="00B54260">
              <w:rPr>
                <w:rFonts w:ascii="仿宋" w:eastAsia="仿宋" w:hAnsi="仿宋" w:hint="eastAsia"/>
                <w:sz w:val="24"/>
              </w:rPr>
              <w:t>主要职责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_Toc346038633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34" w:history="1">
            <w:r w:rsidR="00B54260">
              <w:rPr>
                <w:rFonts w:ascii="仿宋" w:eastAsia="仿宋" w:hAnsi="仿宋" w:hint="eastAsia"/>
                <w:sz w:val="24"/>
              </w:rPr>
              <w:t>二、机构设置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_Toc346038634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4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10"/>
            <w:rPr>
              <w:rFonts w:cs="Arial"/>
              <w:sz w:val="24"/>
              <w:szCs w:val="24"/>
            </w:rPr>
          </w:pPr>
          <w:hyperlink w:anchor="_Toc346038635" w:history="1">
            <w:r w:rsidR="00B54260">
              <w:rPr>
                <w:rFonts w:hint="eastAsia"/>
                <w:sz w:val="24"/>
                <w:szCs w:val="24"/>
              </w:rPr>
              <w:t>第二部分</w:t>
            </w:r>
            <w:r w:rsidR="00B54260">
              <w:rPr>
                <w:sz w:val="24"/>
                <w:szCs w:val="24"/>
              </w:rPr>
              <w:t xml:space="preserve"> 202</w:t>
            </w:r>
            <w:r w:rsidR="00B54260">
              <w:rPr>
                <w:rFonts w:hint="eastAsia"/>
                <w:sz w:val="24"/>
                <w:szCs w:val="24"/>
              </w:rPr>
              <w:t>5</w:t>
            </w:r>
            <w:r w:rsidR="00B54260">
              <w:rPr>
                <w:rFonts w:hint="eastAsia"/>
                <w:sz w:val="24"/>
                <w:szCs w:val="24"/>
              </w:rPr>
              <w:t>年度单位决算情况说明</w:t>
            </w:r>
            <w:r w:rsidR="00B54260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 w:rsidR="00B54260">
              <w:rPr>
                <w:sz w:val="24"/>
                <w:szCs w:val="24"/>
              </w:rPr>
              <w:instrText xml:space="preserve"> PAGEREF _Toc346038635 \h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B5426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fldChar w:fldCharType="end"/>
            </w:r>
          </w:hyperlink>
        </w:p>
        <w:p w:rsidR="00A8386E" w:rsidRDefault="00A8386E">
          <w:pPr>
            <w:pStyle w:val="20"/>
            <w:tabs>
              <w:tab w:val="left" w:pos="1260"/>
            </w:tabs>
            <w:rPr>
              <w:rFonts w:ascii="仿宋" w:eastAsia="仿宋" w:hAnsi="仿宋" w:cs="Arial"/>
              <w:sz w:val="24"/>
            </w:rPr>
          </w:pPr>
          <w:hyperlink w:anchor="_Toc346038636" w:history="1">
            <w:r w:rsidR="00B54260">
              <w:rPr>
                <w:rFonts w:ascii="仿宋" w:eastAsia="仿宋" w:hAnsi="仿宋" w:hint="eastAsia"/>
                <w:bCs/>
                <w:sz w:val="24"/>
              </w:rPr>
              <w:t>一、</w:t>
            </w:r>
            <w:r w:rsidR="00B54260">
              <w:rPr>
                <w:rFonts w:ascii="仿宋" w:eastAsia="仿宋" w:hAnsi="仿宋" w:cs="Arial"/>
                <w:sz w:val="24"/>
              </w:rPr>
              <w:tab/>
            </w:r>
            <w:r w:rsidR="00B54260">
              <w:rPr>
                <w:rFonts w:ascii="仿宋" w:eastAsia="仿宋" w:hAnsi="仿宋" w:hint="eastAsia"/>
                <w:sz w:val="24"/>
              </w:rPr>
              <w:t>收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入支出决算总体情况说明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_Toc346038636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4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tabs>
              <w:tab w:val="left" w:pos="1260"/>
            </w:tabs>
            <w:rPr>
              <w:rFonts w:ascii="仿宋" w:eastAsia="仿宋" w:hAnsi="仿宋" w:cs="Arial"/>
              <w:sz w:val="24"/>
            </w:rPr>
          </w:pPr>
          <w:hyperlink w:anchor="_Toc346038637" w:history="1">
            <w:r w:rsidR="00B54260">
              <w:rPr>
                <w:rFonts w:ascii="仿宋" w:eastAsia="仿宋" w:hAnsi="仿宋" w:hint="eastAsia"/>
                <w:bCs/>
                <w:sz w:val="24"/>
              </w:rPr>
              <w:t>二、</w:t>
            </w:r>
            <w:r w:rsidR="00B54260">
              <w:rPr>
                <w:rFonts w:ascii="仿宋" w:eastAsia="仿宋" w:hAnsi="仿宋" w:cs="Arial"/>
                <w:sz w:val="24"/>
              </w:rPr>
              <w:tab/>
            </w:r>
            <w:r w:rsidR="00B54260">
              <w:rPr>
                <w:rFonts w:ascii="仿宋" w:eastAsia="仿宋" w:hAnsi="仿宋" w:hint="eastAsia"/>
                <w:sz w:val="24"/>
              </w:rPr>
              <w:t>收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入决算情况说明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_Toc346038637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tabs>
              <w:tab w:val="left" w:pos="1260"/>
            </w:tabs>
            <w:rPr>
              <w:rFonts w:ascii="仿宋" w:eastAsia="仿宋" w:hAnsi="仿宋" w:cs="Arial"/>
              <w:sz w:val="24"/>
            </w:rPr>
          </w:pPr>
          <w:hyperlink w:anchor="_Toc346038640" w:history="1">
            <w:r w:rsidR="00B54260">
              <w:rPr>
                <w:rFonts w:ascii="仿宋" w:eastAsia="仿宋" w:hAnsi="仿宋" w:hint="eastAsia"/>
                <w:bCs/>
                <w:sz w:val="24"/>
              </w:rPr>
              <w:t>三、</w:t>
            </w:r>
            <w:r w:rsidR="00B54260">
              <w:rPr>
                <w:rFonts w:ascii="仿宋" w:eastAsia="仿宋" w:hAnsi="仿宋" w:cs="Arial"/>
                <w:sz w:val="24"/>
              </w:rPr>
              <w:tab/>
            </w:r>
            <w:r w:rsidR="00B54260">
              <w:rPr>
                <w:rFonts w:ascii="仿宋" w:eastAsia="仿宋" w:hAnsi="仿宋" w:hint="eastAsia"/>
                <w:sz w:val="24"/>
              </w:rPr>
              <w:t>支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出决算情况说明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_Toc346038640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6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43" w:history="1">
            <w:r w:rsidR="00B54260">
              <w:rPr>
                <w:rFonts w:ascii="仿宋" w:eastAsia="仿宋" w:hAnsi="仿宋" w:hint="eastAsia"/>
                <w:sz w:val="24"/>
              </w:rPr>
              <w:t>四、财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政拨款收入支出决算总体情况说明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_Toc346038643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7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44" w:history="1">
            <w:r w:rsidR="00B54260">
              <w:rPr>
                <w:rFonts w:ascii="仿宋" w:eastAsia="仿宋" w:hAnsi="仿宋" w:hint="eastAsia"/>
                <w:sz w:val="24"/>
              </w:rPr>
              <w:t>五、一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般公共预算财政拨款支出决算情况说明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_Toc346038644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8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30"/>
            <w:rPr>
              <w:rFonts w:ascii="仿宋" w:eastAsia="仿宋" w:hAnsi="仿宋" w:cs="Arial"/>
              <w:sz w:val="24"/>
            </w:rPr>
          </w:pPr>
          <w:hyperlink w:anchor="_Toc346038645" w:history="1">
            <w:r w:rsidR="00B54260">
              <w:rPr>
                <w:rFonts w:ascii="仿宋" w:eastAsia="仿宋" w:hAnsi="仿宋" w:hint="eastAsia"/>
                <w:sz w:val="24"/>
              </w:rPr>
              <w:t>（一）一般公共预算财政拨款支出决算总体情况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_Toc346038645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8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30"/>
            <w:rPr>
              <w:rFonts w:ascii="仿宋" w:eastAsia="仿宋" w:hAnsi="仿宋" w:cs="Arial"/>
              <w:sz w:val="24"/>
            </w:rPr>
          </w:pPr>
          <w:hyperlink w:anchor="_Toc346038646" w:history="1">
            <w:r w:rsidR="00B54260">
              <w:rPr>
                <w:rFonts w:ascii="仿宋" w:eastAsia="仿宋" w:hAnsi="仿宋" w:hint="eastAsia"/>
                <w:sz w:val="24"/>
              </w:rPr>
              <w:t>（二）一般公共预算财政拨款支出决算结构情况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_Toc346038646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9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30"/>
            <w:rPr>
              <w:rFonts w:ascii="仿宋" w:eastAsia="仿宋" w:hAnsi="仿宋" w:cs="Arial"/>
              <w:sz w:val="24"/>
            </w:rPr>
          </w:pPr>
          <w:hyperlink w:anchor="_Toc346038647" w:history="1">
            <w:r w:rsidR="00B54260">
              <w:rPr>
                <w:rFonts w:ascii="仿宋" w:eastAsia="仿宋" w:hAnsi="仿宋" w:hint="eastAsia"/>
                <w:sz w:val="24"/>
              </w:rPr>
              <w:t>（三）一般公共预算财政拨款支出决算具体情况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_Toc346038647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9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49" w:history="1">
            <w:r w:rsidR="00B54260">
              <w:rPr>
                <w:rFonts w:ascii="仿宋" w:eastAsia="仿宋" w:hAnsi="仿宋" w:hint="eastAsia"/>
                <w:sz w:val="24"/>
              </w:rPr>
              <w:t>六、一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般公共预算财政拨款基本支出决算情况说明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</w:instrText>
            </w:r>
            <w:r w:rsidR="00B54260">
              <w:rPr>
                <w:rFonts w:ascii="仿宋" w:eastAsia="仿宋" w:hAnsi="仿宋"/>
                <w:sz w:val="24"/>
              </w:rPr>
              <w:instrText xml:space="preserve">_Toc346038649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10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50" w:history="1">
            <w:r w:rsidR="00B54260">
              <w:rPr>
                <w:rFonts w:ascii="仿宋" w:eastAsia="仿宋" w:hAnsi="仿宋" w:hint="eastAsia"/>
                <w:sz w:val="24"/>
              </w:rPr>
              <w:t>七、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财政拨款</w:t>
            </w:r>
            <w:r w:rsidR="00B54260">
              <w:rPr>
                <w:rFonts w:ascii="仿宋" w:eastAsia="仿宋" w:hAnsi="仿宋"/>
                <w:bCs/>
                <w:sz w:val="24"/>
              </w:rPr>
              <w:t>“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三公”经费支出决算情况说明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_Toc346038650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30"/>
            <w:rPr>
              <w:rFonts w:ascii="仿宋" w:eastAsia="仿宋" w:hAnsi="仿宋" w:cs="Arial"/>
              <w:sz w:val="24"/>
            </w:rPr>
          </w:pPr>
          <w:hyperlink w:anchor="_Toc346038651" w:history="1">
            <w:r w:rsidR="00B54260">
              <w:rPr>
                <w:rFonts w:ascii="仿宋" w:eastAsia="仿宋" w:hAnsi="仿宋" w:hint="eastAsia"/>
                <w:sz w:val="24"/>
              </w:rPr>
              <w:t>（一）“三公”经费财政拨款支出决算总体情况说明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_Toc346038651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30"/>
            <w:rPr>
              <w:rFonts w:ascii="仿宋" w:eastAsia="仿宋" w:hAnsi="仿宋" w:cs="Arial"/>
              <w:sz w:val="24"/>
            </w:rPr>
          </w:pPr>
          <w:hyperlink w:anchor="_Toc346038652" w:history="1">
            <w:r w:rsidR="00B54260">
              <w:rPr>
                <w:rFonts w:ascii="仿宋" w:eastAsia="仿宋" w:hAnsi="仿宋" w:hint="eastAsia"/>
                <w:sz w:val="24"/>
              </w:rPr>
              <w:t>（二）“</w:t>
            </w:r>
            <w:r w:rsidR="00B54260">
              <w:rPr>
                <w:rFonts w:ascii="仿宋" w:eastAsia="仿宋" w:hAnsi="仿宋" w:hint="eastAsia"/>
                <w:sz w:val="24"/>
              </w:rPr>
              <w:t>三公”经费财政拨款支出决算具体情况说明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_Toc346038652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53" w:history="1">
            <w:r w:rsidR="00B54260">
              <w:rPr>
                <w:rFonts w:ascii="仿宋" w:eastAsia="仿宋" w:hAnsi="仿宋" w:hint="eastAsia"/>
                <w:sz w:val="24"/>
              </w:rPr>
              <w:t>八、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政府性基金预算支出决算情况说明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_Toc346038653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13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54" w:history="1">
            <w:r w:rsidR="00B54260">
              <w:rPr>
                <w:rFonts w:ascii="仿宋" w:eastAsia="仿宋" w:hAnsi="仿宋" w:hint="eastAsia"/>
                <w:bCs/>
                <w:sz w:val="24"/>
              </w:rPr>
              <w:t>九、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 xml:space="preserve"> 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国有资本经营预算支出决算情况说明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_Toc346038654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13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55" w:history="1">
            <w:r w:rsidR="00B54260">
              <w:rPr>
                <w:rFonts w:ascii="仿宋" w:eastAsia="仿宋" w:hAnsi="仿宋" w:hint="eastAsia"/>
                <w:bCs/>
                <w:sz w:val="24"/>
              </w:rPr>
              <w:t>十、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 xml:space="preserve"> </w:t>
            </w:r>
            <w:r w:rsidR="00B54260">
              <w:rPr>
                <w:rFonts w:ascii="仿宋" w:eastAsia="仿宋" w:hAnsi="仿宋" w:hint="eastAsia"/>
                <w:bCs/>
                <w:sz w:val="24"/>
              </w:rPr>
              <w:t>其他重要事项的情况说明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_Toc346038655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13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30"/>
            <w:rPr>
              <w:rFonts w:ascii="仿宋" w:eastAsia="仿宋" w:hAnsi="仿宋" w:cs="Arial"/>
              <w:sz w:val="24"/>
            </w:rPr>
          </w:pPr>
          <w:hyperlink w:anchor="_Toc346038656" w:history="1">
            <w:r w:rsidR="00B54260">
              <w:rPr>
                <w:rFonts w:ascii="仿宋" w:eastAsia="仿宋" w:hAnsi="仿宋" w:hint="eastAsia"/>
                <w:sz w:val="24"/>
              </w:rPr>
              <w:t>（一）机关运行经费支出情况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_Toc346038656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13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30"/>
            <w:rPr>
              <w:rFonts w:ascii="仿宋" w:eastAsia="仿宋" w:hAnsi="仿宋" w:cs="Arial"/>
              <w:sz w:val="24"/>
            </w:rPr>
          </w:pPr>
          <w:hyperlink w:anchor="_Toc346038657" w:history="1">
            <w:r w:rsidR="00B54260">
              <w:rPr>
                <w:rFonts w:ascii="仿宋" w:eastAsia="仿宋" w:hAnsi="仿宋" w:hint="eastAsia"/>
                <w:sz w:val="24"/>
              </w:rPr>
              <w:t>（二）政府采购支出情况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</w:instrText>
            </w:r>
            <w:r w:rsidR="00B54260">
              <w:rPr>
                <w:rFonts w:ascii="仿宋" w:eastAsia="仿宋" w:hAnsi="仿宋"/>
                <w:sz w:val="24"/>
              </w:rPr>
              <w:instrText xml:space="preserve">AGEREF _Toc346038657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14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30"/>
            <w:rPr>
              <w:rFonts w:ascii="仿宋" w:eastAsia="仿宋" w:hAnsi="仿宋" w:cs="Arial"/>
              <w:sz w:val="24"/>
            </w:rPr>
          </w:pPr>
          <w:hyperlink w:anchor="_Toc346038658" w:history="1">
            <w:r w:rsidR="00B54260">
              <w:rPr>
                <w:rFonts w:ascii="仿宋" w:eastAsia="仿宋" w:hAnsi="仿宋" w:hint="eastAsia"/>
                <w:sz w:val="24"/>
              </w:rPr>
              <w:t>（三）国有资产占有使用情况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_Toc346038658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14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30"/>
            <w:rPr>
              <w:rFonts w:ascii="仿宋" w:eastAsia="仿宋" w:hAnsi="仿宋" w:cs="Arial"/>
              <w:sz w:val="24"/>
            </w:rPr>
          </w:pPr>
          <w:hyperlink w:anchor="_Toc346038659" w:history="1">
            <w:r w:rsidR="00B54260">
              <w:rPr>
                <w:rFonts w:ascii="仿宋" w:eastAsia="仿宋" w:hAnsi="仿宋" w:hint="eastAsia"/>
                <w:sz w:val="24"/>
              </w:rPr>
              <w:t>（四）预算绩效管理情况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_Toc346038659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14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10"/>
            <w:rPr>
              <w:rFonts w:cs="Arial"/>
              <w:sz w:val="24"/>
              <w:szCs w:val="24"/>
            </w:rPr>
          </w:pPr>
          <w:hyperlink w:anchor="_Toc346038660" w:history="1">
            <w:r w:rsidR="00B54260">
              <w:rPr>
                <w:rFonts w:cs="黑体" w:hint="eastAsia"/>
                <w:bCs/>
                <w:kern w:val="44"/>
                <w:sz w:val="24"/>
                <w:szCs w:val="24"/>
              </w:rPr>
              <w:t>第三部分</w:t>
            </w:r>
            <w:r w:rsidR="00B54260">
              <w:rPr>
                <w:rFonts w:hint="eastAsia"/>
                <w:sz w:val="24"/>
                <w:szCs w:val="24"/>
              </w:rPr>
              <w:t xml:space="preserve"> </w:t>
            </w:r>
            <w:r w:rsidR="00B54260">
              <w:rPr>
                <w:rFonts w:hint="eastAsia"/>
                <w:sz w:val="24"/>
                <w:szCs w:val="24"/>
              </w:rPr>
              <w:t>名</w:t>
            </w:r>
            <w:r w:rsidR="00B54260">
              <w:rPr>
                <w:rFonts w:hint="eastAsia"/>
                <w:bCs/>
                <w:kern w:val="44"/>
                <w:sz w:val="24"/>
                <w:szCs w:val="24"/>
              </w:rPr>
              <w:t>词解释</w:t>
            </w:r>
            <w:r w:rsidR="00B54260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 w:rsidR="00B54260">
              <w:rPr>
                <w:sz w:val="24"/>
                <w:szCs w:val="24"/>
              </w:rPr>
              <w:instrText xml:space="preserve"> PAGEREF _Toc346038660 \h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B54260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fldChar w:fldCharType="end"/>
            </w:r>
          </w:hyperlink>
        </w:p>
        <w:p w:rsidR="00A8386E" w:rsidRDefault="00A8386E">
          <w:pPr>
            <w:pStyle w:val="10"/>
            <w:rPr>
              <w:rFonts w:cs="Arial"/>
              <w:sz w:val="24"/>
              <w:szCs w:val="24"/>
            </w:rPr>
          </w:pPr>
          <w:hyperlink w:anchor="_Toc346038661" w:history="1">
            <w:r w:rsidR="00B54260">
              <w:rPr>
                <w:rFonts w:hint="eastAsia"/>
                <w:sz w:val="24"/>
                <w:szCs w:val="24"/>
              </w:rPr>
              <w:t>第</w:t>
            </w:r>
            <w:r w:rsidR="00B54260">
              <w:rPr>
                <w:rFonts w:hint="eastAsia"/>
                <w:bCs/>
                <w:kern w:val="44"/>
                <w:sz w:val="24"/>
                <w:szCs w:val="24"/>
              </w:rPr>
              <w:t>四部分</w:t>
            </w:r>
            <w:r w:rsidR="00B54260">
              <w:rPr>
                <w:rFonts w:hint="eastAsia"/>
                <w:bCs/>
                <w:kern w:val="44"/>
                <w:sz w:val="24"/>
                <w:szCs w:val="24"/>
              </w:rPr>
              <w:t>“</w:t>
            </w:r>
            <w:r w:rsidR="00B54260">
              <w:rPr>
                <w:rFonts w:hint="eastAsia"/>
                <w:bCs/>
                <w:kern w:val="44"/>
                <w:sz w:val="24"/>
                <w:szCs w:val="24"/>
              </w:rPr>
              <w:t>附件</w:t>
            </w:r>
            <w:r w:rsidR="00B54260">
              <w:rPr>
                <w:rFonts w:hint="eastAsia"/>
                <w:bCs/>
                <w:kern w:val="44"/>
                <w:sz w:val="24"/>
                <w:szCs w:val="24"/>
              </w:rPr>
              <w:t>”</w:t>
            </w:r>
            <w:r w:rsidR="00B54260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 w:rsidR="00B54260">
              <w:rPr>
                <w:sz w:val="24"/>
                <w:szCs w:val="24"/>
              </w:rPr>
              <w:instrText xml:space="preserve"> PAGEREF _Toc346038661 \h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B54260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fldChar w:fldCharType="end"/>
            </w:r>
          </w:hyperlink>
        </w:p>
        <w:p w:rsidR="00A8386E" w:rsidRDefault="00A8386E">
          <w:pPr>
            <w:pStyle w:val="10"/>
            <w:rPr>
              <w:rFonts w:cs="Arial"/>
              <w:sz w:val="24"/>
              <w:szCs w:val="24"/>
            </w:rPr>
          </w:pPr>
          <w:hyperlink w:anchor="_Toc346038662" w:history="1">
            <w:r w:rsidR="00B54260">
              <w:rPr>
                <w:rFonts w:hint="eastAsia"/>
                <w:sz w:val="24"/>
                <w:szCs w:val="24"/>
              </w:rPr>
              <w:t>第</w:t>
            </w:r>
            <w:r w:rsidR="00B54260">
              <w:rPr>
                <w:rFonts w:hint="eastAsia"/>
                <w:bCs/>
                <w:kern w:val="44"/>
                <w:sz w:val="24"/>
                <w:szCs w:val="24"/>
              </w:rPr>
              <w:t>五部分附表</w:t>
            </w:r>
            <w:r w:rsidR="00B54260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 w:rsidR="00B54260">
              <w:rPr>
                <w:sz w:val="24"/>
                <w:szCs w:val="24"/>
              </w:rPr>
              <w:instrText xml:space="preserve"> PAGEREF _Toc</w:instrText>
            </w:r>
            <w:r w:rsidR="00B54260">
              <w:rPr>
                <w:sz w:val="24"/>
                <w:szCs w:val="24"/>
              </w:rPr>
              <w:instrText xml:space="preserve">346038662 \h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B5426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63" w:history="1">
            <w:r w:rsidR="00B54260">
              <w:rPr>
                <w:rFonts w:ascii="仿宋" w:eastAsia="仿宋" w:hAnsi="仿宋" w:hint="eastAsia"/>
                <w:sz w:val="24"/>
              </w:rPr>
              <w:t>一、收入支出决算总表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_Toc346038663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20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64" w:history="1">
            <w:r w:rsidR="00B54260">
              <w:rPr>
                <w:rFonts w:ascii="仿宋" w:eastAsia="仿宋" w:hAnsi="仿宋" w:hint="eastAsia"/>
                <w:sz w:val="24"/>
              </w:rPr>
              <w:t>二、收入决算表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_Toc346038664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20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65" w:history="1">
            <w:r w:rsidR="00B54260">
              <w:rPr>
                <w:rFonts w:ascii="仿宋" w:eastAsia="仿宋" w:hAnsi="仿宋" w:hint="eastAsia"/>
                <w:sz w:val="24"/>
              </w:rPr>
              <w:t>三、支出决算表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_Toc346038665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66" w:history="1">
            <w:r w:rsidR="00B54260">
              <w:rPr>
                <w:rFonts w:ascii="仿宋" w:eastAsia="仿宋" w:hAnsi="仿宋" w:hint="eastAsia"/>
                <w:sz w:val="24"/>
              </w:rPr>
              <w:t>四、财政拨款收入支出决算总表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_Toc346038666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67" w:history="1">
            <w:r w:rsidR="00B54260">
              <w:rPr>
                <w:rFonts w:ascii="仿宋" w:eastAsia="仿宋" w:hAnsi="仿宋" w:hint="eastAsia"/>
                <w:sz w:val="24"/>
              </w:rPr>
              <w:t>五、财政拨款支出决算明细表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_Toc346038667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68" w:history="1">
            <w:r w:rsidR="00B54260">
              <w:rPr>
                <w:rFonts w:ascii="仿宋" w:eastAsia="仿宋" w:hAnsi="仿宋" w:hint="eastAsia"/>
                <w:sz w:val="24"/>
              </w:rPr>
              <w:t>六、一般公共预算财政拨款支出决算表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_Toc346038668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69" w:history="1">
            <w:r w:rsidR="00B54260">
              <w:rPr>
                <w:rFonts w:ascii="仿宋" w:eastAsia="仿宋" w:hAnsi="仿宋" w:hint="eastAsia"/>
                <w:sz w:val="24"/>
              </w:rPr>
              <w:t>七、一般公共预算财政拨款支出决算明细表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_Toc346038669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70" w:history="1">
            <w:r w:rsidR="00B54260">
              <w:rPr>
                <w:rFonts w:ascii="仿宋" w:eastAsia="仿宋" w:hAnsi="仿宋" w:hint="eastAsia"/>
                <w:sz w:val="24"/>
              </w:rPr>
              <w:t>八、一般公共预算财政拨款基本支出决算表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_Toc346038670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71" w:history="1">
            <w:r w:rsidR="00B54260">
              <w:rPr>
                <w:rFonts w:ascii="仿宋" w:eastAsia="仿宋" w:hAnsi="仿宋" w:hint="eastAsia"/>
                <w:sz w:val="24"/>
              </w:rPr>
              <w:t>九、一般公共预算</w:t>
            </w:r>
            <w:r w:rsidR="00B54260">
              <w:rPr>
                <w:rFonts w:ascii="仿宋" w:eastAsia="仿宋" w:hAnsi="仿宋" w:hint="eastAsia"/>
                <w:sz w:val="24"/>
              </w:rPr>
              <w:t>财政拨款项目支出决算表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_Toc346038671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72" w:history="1">
            <w:r w:rsidR="00B54260">
              <w:rPr>
                <w:rFonts w:ascii="仿宋" w:eastAsia="仿宋" w:hAnsi="仿宋" w:hint="eastAsia"/>
                <w:sz w:val="24"/>
              </w:rPr>
              <w:t>十、政府性基金预算财政拨款收入支出决算表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_Toc346038672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73" w:history="1">
            <w:r w:rsidR="00B54260">
              <w:rPr>
                <w:rFonts w:ascii="仿宋" w:eastAsia="仿宋" w:hAnsi="仿宋" w:hint="eastAsia"/>
                <w:sz w:val="24"/>
              </w:rPr>
              <w:t>十一、国有资本经营预算财政拨款收入支出决算表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_Toc346038673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74" w:history="1">
            <w:r w:rsidR="00B54260">
              <w:rPr>
                <w:rFonts w:ascii="仿宋" w:eastAsia="仿宋" w:hAnsi="仿宋" w:hint="eastAsia"/>
                <w:sz w:val="24"/>
              </w:rPr>
              <w:t>十二、国有资本经营预算财政拨款支出决算表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_Toc346038674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pStyle w:val="20"/>
            <w:rPr>
              <w:rFonts w:ascii="仿宋" w:eastAsia="仿宋" w:hAnsi="仿宋" w:cs="Arial"/>
              <w:sz w:val="24"/>
            </w:rPr>
          </w:pPr>
          <w:hyperlink w:anchor="_Toc346038675" w:history="1">
            <w:r w:rsidR="00B54260">
              <w:rPr>
                <w:rFonts w:ascii="仿宋" w:eastAsia="仿宋" w:hAnsi="仿宋" w:hint="eastAsia"/>
                <w:sz w:val="24"/>
              </w:rPr>
              <w:t>十三、财政拨款“三公”经费支出决算表</w:t>
            </w:r>
            <w:r w:rsidR="00B54260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fldChar w:fldCharType="begin"/>
            </w:r>
            <w:r w:rsidR="00B54260">
              <w:rPr>
                <w:rFonts w:ascii="仿宋" w:eastAsia="仿宋" w:hAnsi="仿宋"/>
                <w:sz w:val="24"/>
              </w:rPr>
              <w:instrText xml:space="preserve"> PAGEREF _Toc346038675 \h </w:instrText>
            </w:r>
            <w:r>
              <w:rPr>
                <w:rFonts w:ascii="仿宋" w:eastAsia="仿宋" w:hAnsi="仿宋"/>
                <w:sz w:val="24"/>
              </w:rPr>
            </w:r>
            <w:r>
              <w:rPr>
                <w:rFonts w:ascii="仿宋" w:eastAsia="仿宋" w:hAnsi="仿宋"/>
                <w:sz w:val="24"/>
              </w:rPr>
              <w:fldChar w:fldCharType="separate"/>
            </w:r>
            <w:r w:rsidR="00B54260"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/>
                <w:sz w:val="24"/>
              </w:rPr>
              <w:fldChar w:fldCharType="end"/>
            </w:r>
          </w:hyperlink>
        </w:p>
        <w:p w:rsidR="00A8386E" w:rsidRDefault="00A8386E">
          <w:pPr>
            <w:widowControl/>
            <w:spacing w:line="440" w:lineRule="exact"/>
            <w:jc w:val="left"/>
            <w:rPr>
              <w:rFonts w:ascii="仿宋" w:eastAsia="仿宋" w:hAnsi="仿宋"/>
              <w:sz w:val="24"/>
            </w:rPr>
          </w:pPr>
          <w:r>
            <w:rPr>
              <w:rFonts w:ascii="仿宋" w:eastAsia="仿宋" w:hAnsi="仿宋"/>
              <w:sz w:val="24"/>
            </w:rPr>
            <w:fldChar w:fldCharType="end"/>
          </w:r>
        </w:p>
      </w:sdtContent>
    </w:sdt>
    <w:p w:rsidR="00A8386E" w:rsidRDefault="00B54260">
      <w:pPr>
        <w:widowControl/>
        <w:spacing w:line="440" w:lineRule="exact"/>
        <w:jc w:val="left"/>
        <w:rPr>
          <w:rFonts w:ascii="仿宋" w:eastAsia="仿宋" w:hAnsi="仿宋"/>
          <w:bCs/>
          <w:kern w:val="44"/>
          <w:sz w:val="24"/>
        </w:rPr>
      </w:pPr>
      <w:r>
        <w:rPr>
          <w:rFonts w:ascii="仿宋" w:eastAsia="仿宋" w:hAnsi="仿宋"/>
          <w:sz w:val="24"/>
        </w:rPr>
        <w:br w:type="page"/>
      </w:r>
    </w:p>
    <w:p w:rsidR="00A8386E" w:rsidRDefault="00B54260">
      <w:pPr>
        <w:pStyle w:val="1"/>
        <w:jc w:val="center"/>
        <w:rPr>
          <w:rFonts w:ascii="黑体" w:eastAsia="黑体" w:hAnsi="黑体"/>
          <w:bCs w:val="0"/>
        </w:rPr>
      </w:pPr>
      <w:r>
        <w:rPr>
          <w:rFonts w:ascii="黑体" w:eastAsia="黑体" w:hAnsi="黑体" w:hint="eastAsia"/>
          <w:b w:val="0"/>
        </w:rPr>
        <w:lastRenderedPageBreak/>
        <w:t>第一部分</w:t>
      </w:r>
      <w:r>
        <w:rPr>
          <w:rFonts w:ascii="黑体" w:eastAsia="黑体" w:hAnsi="黑体" w:hint="eastAsia"/>
          <w:b w:val="0"/>
        </w:rPr>
        <w:t xml:space="preserve"> </w:t>
      </w:r>
      <w:r>
        <w:rPr>
          <w:rFonts w:ascii="黑体" w:eastAsia="黑体" w:hAnsi="黑体" w:hint="eastAsia"/>
          <w:b w:val="0"/>
        </w:rPr>
        <w:t>单位</w:t>
      </w:r>
      <w:r>
        <w:rPr>
          <w:rStyle w:val="1Char"/>
          <w:rFonts w:ascii="黑体" w:eastAsia="黑体" w:hAnsi="黑体" w:hint="eastAsia"/>
        </w:rPr>
        <w:t>概况</w:t>
      </w:r>
      <w:bookmarkEnd w:id="13"/>
      <w:bookmarkEnd w:id="14"/>
    </w:p>
    <w:p w:rsidR="00A8386E" w:rsidRDefault="00B54260">
      <w:pPr>
        <w:pStyle w:val="2"/>
        <w:numPr>
          <w:ilvl w:val="0"/>
          <w:numId w:val="1"/>
        </w:numPr>
        <w:rPr>
          <w:rStyle w:val="2Char"/>
          <w:rFonts w:ascii="黑体" w:eastAsia="黑体" w:hAnsi="黑体"/>
        </w:rPr>
      </w:pPr>
      <w:bookmarkStart w:id="15" w:name="_Toc15396600"/>
      <w:bookmarkStart w:id="16" w:name="_Toc15377197"/>
      <w:r>
        <w:rPr>
          <w:rStyle w:val="2Char"/>
          <w:rFonts w:ascii="黑体" w:eastAsia="黑体" w:hAnsi="黑体" w:hint="eastAsia"/>
        </w:rPr>
        <w:t>主要职责</w:t>
      </w:r>
    </w:p>
    <w:p w:rsidR="00A8386E" w:rsidRDefault="00B54260">
      <w:pPr>
        <w:numPr>
          <w:ilvl w:val="0"/>
          <w:numId w:val="2"/>
        </w:numPr>
        <w:ind w:firstLineChars="200"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贯彻执行中央、省、州关于行政管理体制和机构改革、机构编制管理的方针政策、法律法规以及县委的有关工作部署和要求，统一管理全县党政群机关（含党委、政府各部门，人大、政协、法院机关，民主党派和人民团体机关以及其他行政机构和事业单位的机构编制。</w:t>
      </w:r>
    </w:p>
    <w:p w:rsidR="00A8386E" w:rsidRDefault="00B54260">
      <w:pPr>
        <w:numPr>
          <w:ilvl w:val="0"/>
          <w:numId w:val="2"/>
        </w:numPr>
        <w:ind w:firstLineChars="200"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负责拟订本县行政管理体制和机构改革总体方案并组织实施，审核县直机关和各乡、镇机构改革方案；负责各乡、镇的行政管理体制、机构改革和机构编制管理工作。</w:t>
      </w:r>
    </w:p>
    <w:p w:rsidR="00A8386E" w:rsidRDefault="00B54260">
      <w:pPr>
        <w:ind w:leftChars="200" w:left="420" w:firstLineChars="100" w:firstLine="32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‹ÎSå" w:hint="eastAsia"/>
          <w:kern w:val="0"/>
          <w:sz w:val="32"/>
          <w:szCs w:val="32"/>
        </w:rPr>
        <w:t>3</w:t>
      </w:r>
      <w:r>
        <w:rPr>
          <w:rFonts w:ascii="仿宋_GB2312" w:eastAsia="仿宋_GB2312" w:cs="‹ÎSå" w:hint="eastAsia"/>
          <w:kern w:val="0"/>
          <w:sz w:val="32"/>
          <w:szCs w:val="32"/>
        </w:rPr>
        <w:t>、</w:t>
      </w:r>
      <w:r>
        <w:rPr>
          <w:rFonts w:ascii="仿宋_GB2312" w:eastAsia="仿宋_GB2312" w:cs="宋体" w:hint="eastAsia"/>
          <w:kern w:val="0"/>
          <w:sz w:val="32"/>
          <w:szCs w:val="32"/>
        </w:rPr>
        <w:t>管理县直机关的职责配置、人员编制和领导职数，审核各乡、镇机关的机构设置与调整，审核各乡、镇行政编制总额的分配和调整。</w:t>
      </w:r>
    </w:p>
    <w:p w:rsidR="00A8386E" w:rsidRDefault="00B54260">
      <w:pPr>
        <w:pStyle w:val="2"/>
        <w:rPr>
          <w:rFonts w:ascii="黑体" w:eastAsia="黑体" w:hAnsi="黑体"/>
          <w:b w:val="0"/>
        </w:rPr>
      </w:pPr>
      <w:r>
        <w:rPr>
          <w:rFonts w:ascii="黑体" w:eastAsia="黑体" w:hAnsi="黑体" w:hint="eastAsia"/>
          <w:b w:val="0"/>
        </w:rPr>
        <w:t>二、机构设置</w:t>
      </w:r>
    </w:p>
    <w:p w:rsidR="00A8386E" w:rsidRDefault="00B5426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机构情况。中共若尔盖县委机构编制委员会办公室</w:t>
      </w:r>
    </w:p>
    <w:p w:rsidR="00A8386E" w:rsidRDefault="00B54260">
      <w:pPr>
        <w:snapToGrid w:val="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为县委机关单位。</w:t>
      </w:r>
    </w:p>
    <w:p w:rsidR="00A8386E" w:rsidRDefault="00B54260">
      <w:pPr>
        <w:snapToGrid w:val="0"/>
        <w:spacing w:line="520" w:lineRule="exact"/>
        <w:ind w:firstLineChars="200" w:firstLine="640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人员情况。</w:t>
      </w:r>
      <w:r>
        <w:rPr>
          <w:rFonts w:ascii="仿宋_GB2312" w:eastAsia="仿宋_GB2312" w:cs="仿宋_GB2312" w:hint="eastAsia"/>
          <w:bCs/>
          <w:sz w:val="32"/>
          <w:szCs w:val="32"/>
        </w:rPr>
        <w:t>核定有行政编制</w:t>
      </w:r>
      <w:r>
        <w:rPr>
          <w:rFonts w:ascii="仿宋_GB2312" w:eastAsia="仿宋_GB2312" w:cs="仿宋_GB2312" w:hint="eastAsia"/>
          <w:bCs/>
          <w:sz w:val="32"/>
          <w:szCs w:val="32"/>
        </w:rPr>
        <w:t>8</w:t>
      </w:r>
      <w:r>
        <w:rPr>
          <w:rFonts w:ascii="仿宋_GB2312" w:eastAsia="仿宋_GB2312" w:cs="仿宋_GB2312" w:hint="eastAsia"/>
          <w:bCs/>
          <w:sz w:val="32"/>
          <w:szCs w:val="32"/>
        </w:rPr>
        <w:t>人</w:t>
      </w:r>
      <w:r>
        <w:rPr>
          <w:rFonts w:ascii="仿宋_GB2312" w:eastAsia="仿宋_GB2312" w:cs="仿宋_GB2312" w:hint="eastAsia"/>
          <w:bCs/>
          <w:sz w:val="32"/>
          <w:szCs w:val="32"/>
        </w:rPr>
        <w:t>(</w:t>
      </w:r>
      <w:r>
        <w:rPr>
          <w:rFonts w:ascii="仿宋_GB2312" w:eastAsia="仿宋_GB2312" w:cs="仿宋_GB2312" w:hint="eastAsia"/>
          <w:bCs/>
          <w:sz w:val="32"/>
          <w:szCs w:val="32"/>
        </w:rPr>
        <w:t>含行政工勤岗位</w:t>
      </w:r>
      <w:r>
        <w:rPr>
          <w:rFonts w:ascii="仿宋_GB2312" w:eastAsia="仿宋_GB2312" w:cs="仿宋_GB2312" w:hint="eastAsia"/>
          <w:bCs/>
          <w:sz w:val="32"/>
          <w:szCs w:val="32"/>
        </w:rPr>
        <w:t>2</w:t>
      </w:r>
      <w:r>
        <w:rPr>
          <w:rFonts w:ascii="仿宋_GB2312" w:eastAsia="仿宋_GB2312" w:cs="仿宋_GB2312" w:hint="eastAsia"/>
          <w:bCs/>
          <w:sz w:val="32"/>
          <w:szCs w:val="32"/>
        </w:rPr>
        <w:t>名</w:t>
      </w:r>
      <w:r>
        <w:rPr>
          <w:rFonts w:ascii="仿宋_GB2312" w:eastAsia="仿宋_GB2312" w:cs="仿宋_GB2312" w:hint="eastAsia"/>
          <w:bCs/>
          <w:sz w:val="32"/>
          <w:szCs w:val="32"/>
        </w:rPr>
        <w:t>),</w:t>
      </w:r>
      <w:r>
        <w:rPr>
          <w:rFonts w:ascii="仿宋_GB2312" w:eastAsia="仿宋_GB2312" w:cs="仿宋_GB2312" w:hint="eastAsia"/>
          <w:bCs/>
          <w:sz w:val="32"/>
          <w:szCs w:val="32"/>
        </w:rPr>
        <w:t>事业编制</w:t>
      </w:r>
      <w:r>
        <w:rPr>
          <w:rFonts w:ascii="仿宋_GB2312" w:eastAsia="仿宋_GB2312" w:cs="仿宋_GB2312" w:hint="eastAsia"/>
          <w:bCs/>
          <w:sz w:val="32"/>
          <w:szCs w:val="32"/>
        </w:rPr>
        <w:t>7</w:t>
      </w:r>
      <w:r>
        <w:rPr>
          <w:rFonts w:ascii="仿宋_GB2312" w:eastAsia="仿宋_GB2312" w:cs="仿宋_GB2312" w:hint="eastAsia"/>
          <w:bCs/>
          <w:sz w:val="32"/>
          <w:szCs w:val="32"/>
        </w:rPr>
        <w:t>人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。</w:t>
      </w:r>
    </w:p>
    <w:p w:rsidR="00A8386E" w:rsidRDefault="00B54260">
      <w:pPr>
        <w:snapToGrid w:val="0"/>
        <w:spacing w:line="520" w:lineRule="exact"/>
        <w:ind w:firstLineChars="200" w:firstLine="640"/>
        <w:rPr>
          <w:rFonts w:ascii="黑体" w:eastAsia="黑体"/>
        </w:rPr>
      </w:pPr>
      <w:r>
        <w:rPr>
          <w:rFonts w:ascii="仿宋_GB2312" w:eastAsia="仿宋_GB2312" w:hint="eastAsia"/>
          <w:sz w:val="32"/>
        </w:rPr>
        <w:t>本单位本年度纳入本套决算编制范围的独立编制机构数共</w:t>
      </w:r>
      <w:r>
        <w:rPr>
          <w:rFonts w:ascii="仿宋_GB2312" w:eastAsia="仿宋_GB2312" w:hint="eastAsia"/>
          <w:sz w:val="32"/>
        </w:rPr>
        <w:t>1</w:t>
      </w:r>
      <w:r>
        <w:rPr>
          <w:rFonts w:ascii="仿宋_GB2312" w:eastAsia="仿宋_GB2312" w:hint="eastAsia"/>
          <w:sz w:val="32"/>
        </w:rPr>
        <w:t>个，比上年增加</w:t>
      </w:r>
      <w:r>
        <w:rPr>
          <w:rFonts w:ascii="仿宋_GB2312" w:eastAsia="仿宋_GB2312" w:hint="eastAsia"/>
          <w:sz w:val="32"/>
        </w:rPr>
        <w:t>0</w:t>
      </w:r>
      <w:r>
        <w:rPr>
          <w:rFonts w:ascii="仿宋_GB2312" w:eastAsia="仿宋_GB2312" w:hint="eastAsia"/>
          <w:sz w:val="32"/>
        </w:rPr>
        <w:t>个，独立核算机构数共</w:t>
      </w:r>
      <w:r>
        <w:rPr>
          <w:rFonts w:ascii="仿宋_GB2312" w:eastAsia="仿宋_GB2312" w:hint="eastAsia"/>
          <w:sz w:val="32"/>
        </w:rPr>
        <w:t>1</w:t>
      </w:r>
      <w:r>
        <w:rPr>
          <w:rFonts w:ascii="仿宋_GB2312" w:eastAsia="仿宋_GB2312" w:hint="eastAsia"/>
          <w:sz w:val="32"/>
        </w:rPr>
        <w:t>个，比</w:t>
      </w:r>
      <w:r>
        <w:rPr>
          <w:rFonts w:ascii="仿宋_GB2312" w:eastAsia="仿宋_GB2312" w:hint="eastAsia"/>
          <w:sz w:val="32"/>
        </w:rPr>
        <w:t>上年增加</w:t>
      </w:r>
      <w:r>
        <w:rPr>
          <w:rFonts w:ascii="仿宋_GB2312" w:eastAsia="仿宋_GB2312" w:hint="eastAsia"/>
          <w:sz w:val="32"/>
        </w:rPr>
        <w:t>0</w:t>
      </w:r>
      <w:r>
        <w:rPr>
          <w:rFonts w:ascii="仿宋_GB2312" w:eastAsia="仿宋_GB2312" w:hint="eastAsia"/>
          <w:sz w:val="32"/>
        </w:rPr>
        <w:t>个。</w:t>
      </w:r>
    </w:p>
    <w:p w:rsidR="00A8386E" w:rsidRDefault="00B54260">
      <w:pPr>
        <w:pStyle w:val="a9"/>
        <w:widowControl/>
        <w:spacing w:before="0" w:beforeAutospacing="0" w:after="0" w:afterAutospacing="0"/>
        <w:ind w:firstLineChars="200" w:firstLine="640"/>
        <w:rPr>
          <w:rFonts w:ascii="仿宋_GB2312" w:eastAsia="仿宋_GB2312"/>
          <w:kern w:val="2"/>
          <w:sz w:val="32"/>
        </w:rPr>
      </w:pPr>
      <w:r>
        <w:rPr>
          <w:rFonts w:ascii="仿宋_GB2312" w:eastAsia="仿宋_GB2312" w:hint="eastAsia"/>
          <w:kern w:val="2"/>
          <w:sz w:val="32"/>
        </w:rPr>
        <w:lastRenderedPageBreak/>
        <w:t> </w:t>
      </w:r>
      <w:r>
        <w:rPr>
          <w:rFonts w:ascii="仿宋_GB2312" w:eastAsia="仿宋_GB2312" w:hint="eastAsia"/>
          <w:kern w:val="2"/>
          <w:sz w:val="32"/>
        </w:rPr>
        <w:t>本单位本年度年末实有人数为</w:t>
      </w:r>
      <w:r>
        <w:rPr>
          <w:rFonts w:ascii="仿宋_GB2312" w:eastAsia="仿宋_GB2312" w:hint="eastAsia"/>
          <w:kern w:val="2"/>
          <w:sz w:val="32"/>
        </w:rPr>
        <w:t>8</w:t>
      </w:r>
      <w:r>
        <w:rPr>
          <w:rFonts w:ascii="仿宋_GB2312" w:eastAsia="仿宋_GB2312" w:hint="eastAsia"/>
          <w:kern w:val="2"/>
          <w:sz w:val="32"/>
        </w:rPr>
        <w:t>人，比上年增加</w:t>
      </w:r>
      <w:r>
        <w:rPr>
          <w:rFonts w:ascii="仿宋_GB2312" w:eastAsia="仿宋_GB2312" w:hint="eastAsia"/>
          <w:kern w:val="2"/>
          <w:sz w:val="32"/>
        </w:rPr>
        <w:t>2</w:t>
      </w:r>
      <w:r>
        <w:rPr>
          <w:rFonts w:ascii="仿宋_GB2312" w:eastAsia="仿宋_GB2312" w:hint="eastAsia"/>
          <w:kern w:val="2"/>
          <w:sz w:val="32"/>
        </w:rPr>
        <w:t>人；年末实有离退休人数为</w:t>
      </w:r>
      <w:r>
        <w:rPr>
          <w:rFonts w:ascii="仿宋_GB2312" w:eastAsia="仿宋_GB2312" w:hint="eastAsia"/>
          <w:kern w:val="2"/>
          <w:sz w:val="32"/>
        </w:rPr>
        <w:t>0</w:t>
      </w:r>
      <w:r>
        <w:rPr>
          <w:rFonts w:ascii="仿宋_GB2312" w:eastAsia="仿宋_GB2312" w:hint="eastAsia"/>
          <w:kern w:val="2"/>
          <w:sz w:val="32"/>
        </w:rPr>
        <w:t>人，比上年增加</w:t>
      </w:r>
      <w:r>
        <w:rPr>
          <w:rFonts w:ascii="仿宋_GB2312" w:eastAsia="仿宋_GB2312" w:hint="eastAsia"/>
          <w:kern w:val="2"/>
          <w:sz w:val="32"/>
        </w:rPr>
        <w:t>0</w:t>
      </w:r>
      <w:r>
        <w:rPr>
          <w:rFonts w:ascii="仿宋_GB2312" w:eastAsia="仿宋_GB2312" w:hint="eastAsia"/>
          <w:kern w:val="2"/>
          <w:sz w:val="32"/>
        </w:rPr>
        <w:t>人；变动情况及年末实有其他人数为</w:t>
      </w:r>
      <w:r>
        <w:rPr>
          <w:rFonts w:ascii="仿宋_GB2312" w:eastAsia="仿宋_GB2312" w:hint="eastAsia"/>
          <w:kern w:val="2"/>
          <w:sz w:val="32"/>
        </w:rPr>
        <w:t>0</w:t>
      </w:r>
      <w:r>
        <w:rPr>
          <w:rFonts w:ascii="仿宋_GB2312" w:eastAsia="仿宋_GB2312" w:hint="eastAsia"/>
          <w:kern w:val="2"/>
          <w:sz w:val="32"/>
        </w:rPr>
        <w:t>人，比上年增加</w:t>
      </w:r>
      <w:r>
        <w:rPr>
          <w:rFonts w:ascii="仿宋_GB2312" w:eastAsia="仿宋_GB2312" w:hint="eastAsia"/>
          <w:kern w:val="2"/>
          <w:sz w:val="32"/>
        </w:rPr>
        <w:t>0</w:t>
      </w:r>
      <w:r>
        <w:rPr>
          <w:rFonts w:ascii="仿宋_GB2312" w:eastAsia="仿宋_GB2312" w:hint="eastAsia"/>
          <w:kern w:val="2"/>
          <w:sz w:val="32"/>
        </w:rPr>
        <w:t>人。</w:t>
      </w:r>
    </w:p>
    <w:p w:rsidR="00A8386E" w:rsidRDefault="00A8386E"/>
    <w:p w:rsidR="00A8386E" w:rsidRDefault="00B54260">
      <w:pPr>
        <w:widowControl/>
        <w:ind w:firstLineChars="100" w:firstLine="440"/>
        <w:jc w:val="left"/>
        <w:rPr>
          <w:rStyle w:val="1Char"/>
          <w:rFonts w:ascii="黑体" w:eastAsia="黑体" w:hAnsi="黑体"/>
          <w:b w:val="0"/>
        </w:rPr>
      </w:pPr>
      <w:bookmarkStart w:id="17" w:name="_Toc15377204"/>
      <w:bookmarkStart w:id="18" w:name="_Toc15396602"/>
      <w:bookmarkEnd w:id="15"/>
      <w:bookmarkEnd w:id="16"/>
      <w:r>
        <w:rPr>
          <w:rFonts w:ascii="黑体" w:eastAsia="黑体" w:hAnsi="黑体" w:hint="eastAsia"/>
          <w:sz w:val="44"/>
          <w:szCs w:val="44"/>
        </w:rPr>
        <w:t>第二部分</w:t>
      </w:r>
      <w:r>
        <w:rPr>
          <w:rFonts w:ascii="黑体" w:eastAsia="黑体" w:hAnsi="黑体" w:hint="eastAsia"/>
          <w:sz w:val="44"/>
          <w:szCs w:val="44"/>
        </w:rPr>
        <w:t xml:space="preserve"> 202</w:t>
      </w:r>
      <w:r>
        <w:rPr>
          <w:rFonts w:ascii="黑体" w:eastAsia="黑体" w:hAnsi="黑体" w:hint="eastAsia"/>
          <w:sz w:val="44"/>
          <w:szCs w:val="44"/>
        </w:rPr>
        <w:t>5</w:t>
      </w:r>
      <w:r>
        <w:rPr>
          <w:rFonts w:ascii="黑体" w:eastAsia="黑体" w:hAnsi="黑体" w:hint="eastAsia"/>
          <w:sz w:val="44"/>
          <w:szCs w:val="44"/>
        </w:rPr>
        <w:t>年度</w:t>
      </w:r>
      <w:r>
        <w:rPr>
          <w:rStyle w:val="1Char"/>
          <w:rFonts w:ascii="黑体" w:eastAsia="黑体" w:hAnsi="黑体" w:hint="eastAsia"/>
          <w:b w:val="0"/>
        </w:rPr>
        <w:t>单位决算情况说明</w:t>
      </w:r>
      <w:bookmarkEnd w:id="17"/>
      <w:bookmarkEnd w:id="18"/>
    </w:p>
    <w:p w:rsidR="00A8386E" w:rsidRDefault="00A8386E"/>
    <w:p w:rsidR="00A8386E" w:rsidRDefault="00B54260">
      <w:pPr>
        <w:pStyle w:val="ac"/>
        <w:numPr>
          <w:ilvl w:val="0"/>
          <w:numId w:val="3"/>
        </w:numPr>
        <w:spacing w:line="600" w:lineRule="exact"/>
        <w:ind w:firstLineChars="0"/>
        <w:outlineLvl w:val="1"/>
        <w:rPr>
          <w:rStyle w:val="2Char"/>
          <w:rFonts w:ascii="黑体" w:eastAsia="黑体" w:hAnsi="黑体"/>
          <w:b w:val="0"/>
        </w:rPr>
      </w:pPr>
      <w:bookmarkStart w:id="19" w:name="_Toc15377205"/>
      <w:bookmarkStart w:id="20" w:name="_Toc15396603"/>
      <w:r>
        <w:rPr>
          <w:rFonts w:ascii="黑体" w:eastAsia="黑体" w:hAnsi="黑体" w:hint="eastAsia"/>
          <w:sz w:val="32"/>
          <w:szCs w:val="32"/>
        </w:rPr>
        <w:t>收</w:t>
      </w:r>
      <w:r>
        <w:rPr>
          <w:rStyle w:val="2Char"/>
          <w:rFonts w:ascii="黑体" w:eastAsia="黑体" w:hAnsi="黑体" w:hint="eastAsia"/>
          <w:b w:val="0"/>
        </w:rPr>
        <w:t>入支出决算总体情况说明</w:t>
      </w:r>
      <w:bookmarkEnd w:id="19"/>
      <w:bookmarkEnd w:id="20"/>
    </w:p>
    <w:p w:rsidR="00A8386E" w:rsidRDefault="00B5426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年度收、支总计均为</w:t>
      </w:r>
      <w:r>
        <w:rPr>
          <w:rFonts w:ascii="仿宋" w:eastAsia="仿宋" w:hAnsi="仿宋" w:hint="eastAsia"/>
          <w:sz w:val="32"/>
          <w:szCs w:val="32"/>
        </w:rPr>
        <w:t>188.70</w:t>
      </w:r>
      <w:r>
        <w:rPr>
          <w:rFonts w:ascii="仿宋" w:eastAsia="仿宋" w:hAnsi="仿宋" w:hint="eastAsia"/>
          <w:sz w:val="32"/>
          <w:szCs w:val="32"/>
        </w:rPr>
        <w:t>万元。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年度相比，收、支总计各</w:t>
      </w:r>
      <w:r>
        <w:rPr>
          <w:rFonts w:ascii="仿宋" w:eastAsia="仿宋" w:hAnsi="仿宋" w:hint="eastAsia"/>
          <w:sz w:val="32"/>
          <w:szCs w:val="32"/>
        </w:rPr>
        <w:t>减少</w:t>
      </w:r>
      <w:r>
        <w:rPr>
          <w:rFonts w:ascii="仿宋" w:eastAsia="仿宋" w:hAnsi="仿宋" w:hint="eastAsia"/>
          <w:sz w:val="32"/>
          <w:szCs w:val="32"/>
        </w:rPr>
        <w:t>6.9</w:t>
      </w:r>
      <w:r>
        <w:rPr>
          <w:rFonts w:ascii="仿宋" w:eastAsia="仿宋" w:hAnsi="仿宋" w:hint="eastAsia"/>
          <w:sz w:val="32"/>
          <w:szCs w:val="32"/>
        </w:rPr>
        <w:t>万元，</w:t>
      </w:r>
      <w:r>
        <w:rPr>
          <w:rFonts w:ascii="仿宋" w:eastAsia="仿宋" w:hAnsi="仿宋" w:hint="eastAsia"/>
          <w:sz w:val="32"/>
          <w:szCs w:val="32"/>
        </w:rPr>
        <w:t>减少</w:t>
      </w:r>
      <w:r>
        <w:rPr>
          <w:rFonts w:ascii="仿宋" w:eastAsia="仿宋" w:hAnsi="仿宋" w:hint="eastAsia"/>
          <w:sz w:val="32"/>
          <w:szCs w:val="32"/>
        </w:rPr>
        <w:t>9.65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。主要变动原因是</w:t>
      </w:r>
      <w:r>
        <w:rPr>
          <w:rFonts w:ascii="仿宋" w:eastAsia="仿宋" w:hAnsi="仿宋" w:hint="eastAsia"/>
          <w:sz w:val="32"/>
          <w:szCs w:val="32"/>
        </w:rPr>
        <w:t>从严从减，厉行节俭降低办公费支出较上年有所减少。</w:t>
      </w:r>
    </w:p>
    <w:p w:rsidR="00A8386E" w:rsidRDefault="00B54260">
      <w:pPr>
        <w:spacing w:line="600" w:lineRule="exact"/>
        <w:ind w:firstLineChars="200" w:firstLine="422"/>
        <w:rPr>
          <w:rFonts w:ascii="仿宋_GB2312" w:eastAsia="仿宋_GB2312"/>
          <w:sz w:val="32"/>
          <w:szCs w:val="32"/>
        </w:rPr>
      </w:pPr>
      <w:r>
        <w:rPr>
          <w:rStyle w:val="aa"/>
          <w:rFonts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677545</wp:posOffset>
            </wp:positionV>
            <wp:extent cx="5080000" cy="2840990"/>
            <wp:effectExtent l="4445" t="4445" r="20955" b="12065"/>
            <wp:wrapTopAndBottom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>
        <w:rPr>
          <w:rFonts w:ascii="仿宋" w:eastAsia="仿宋" w:hAnsi="仿宋" w:hint="eastAsia"/>
          <w:sz w:val="32"/>
          <w:szCs w:val="32"/>
        </w:rPr>
        <w:t>（图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：收、支决算总计变动情况图）（柱状图）</w:t>
      </w:r>
    </w:p>
    <w:p w:rsidR="00A8386E" w:rsidRDefault="00B54260">
      <w:pPr>
        <w:pStyle w:val="ac"/>
        <w:numPr>
          <w:ilvl w:val="0"/>
          <w:numId w:val="3"/>
        </w:numPr>
        <w:spacing w:line="600" w:lineRule="exact"/>
        <w:ind w:firstLineChars="0"/>
        <w:outlineLvl w:val="1"/>
        <w:rPr>
          <w:rStyle w:val="2Char"/>
          <w:rFonts w:ascii="黑体" w:eastAsia="黑体" w:hAnsi="黑体"/>
          <w:b w:val="0"/>
        </w:rPr>
      </w:pPr>
      <w:bookmarkStart w:id="21" w:name="_Toc15396604"/>
      <w:bookmarkStart w:id="22" w:name="_Toc15377206"/>
      <w:r>
        <w:rPr>
          <w:rFonts w:ascii="黑体" w:eastAsia="黑体" w:hAnsi="黑体" w:hint="eastAsia"/>
          <w:sz w:val="32"/>
          <w:szCs w:val="32"/>
        </w:rPr>
        <w:t>收</w:t>
      </w:r>
      <w:r>
        <w:rPr>
          <w:rStyle w:val="2Char"/>
          <w:rFonts w:ascii="黑体" w:eastAsia="黑体" w:hAnsi="黑体" w:hint="eastAsia"/>
          <w:b w:val="0"/>
        </w:rPr>
        <w:t>入决算情况说明</w:t>
      </w:r>
      <w:bookmarkEnd w:id="21"/>
      <w:bookmarkEnd w:id="22"/>
    </w:p>
    <w:p w:rsidR="00A8386E" w:rsidRDefault="00B54260">
      <w:pPr>
        <w:spacing w:line="600" w:lineRule="exact"/>
        <w:ind w:firstLineChars="200" w:firstLine="640"/>
        <w:outlineLvl w:val="1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年度本年收入合计</w:t>
      </w:r>
      <w:r>
        <w:rPr>
          <w:rFonts w:ascii="仿宋" w:eastAsia="仿宋" w:hAnsi="仿宋" w:hint="eastAsia"/>
          <w:sz w:val="32"/>
          <w:szCs w:val="32"/>
        </w:rPr>
        <w:t>188.70</w:t>
      </w:r>
      <w:r>
        <w:rPr>
          <w:rFonts w:ascii="仿宋" w:eastAsia="仿宋" w:hAnsi="仿宋" w:hint="eastAsia"/>
          <w:sz w:val="32"/>
          <w:szCs w:val="32"/>
        </w:rPr>
        <w:t>万元，其中：一般公共预算财政拨款收入</w:t>
      </w:r>
      <w:r>
        <w:rPr>
          <w:rFonts w:ascii="仿宋" w:eastAsia="仿宋" w:hAnsi="仿宋" w:hint="eastAsia"/>
          <w:b/>
          <w:sz w:val="32"/>
          <w:szCs w:val="32"/>
        </w:rPr>
        <w:t>1</w:t>
      </w:r>
      <w:r>
        <w:rPr>
          <w:rFonts w:ascii="仿宋" w:eastAsia="仿宋" w:hAnsi="仿宋" w:hint="eastAsia"/>
          <w:b/>
          <w:sz w:val="32"/>
          <w:szCs w:val="32"/>
        </w:rPr>
        <w:t>88.70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100%</w:t>
      </w:r>
      <w:r>
        <w:rPr>
          <w:rFonts w:ascii="仿宋" w:eastAsia="仿宋" w:hAnsi="仿宋" w:hint="eastAsia"/>
          <w:sz w:val="32"/>
          <w:szCs w:val="32"/>
        </w:rPr>
        <w:t>；政府性基金预算财政拨款收入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；国有资本经营预算财政拨款收</w:t>
      </w:r>
      <w:r>
        <w:rPr>
          <w:rFonts w:ascii="仿宋" w:eastAsia="仿宋" w:hAnsi="仿宋" w:hint="eastAsia"/>
          <w:sz w:val="32"/>
          <w:szCs w:val="32"/>
        </w:rPr>
        <w:lastRenderedPageBreak/>
        <w:t>入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；上级补助收入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sz w:val="32"/>
          <w:szCs w:val="32"/>
        </w:rPr>
        <w:t>0%</w:t>
      </w:r>
      <w:r>
        <w:rPr>
          <w:rFonts w:ascii="仿宋" w:eastAsia="仿宋" w:hAnsi="仿宋" w:hint="eastAsia"/>
          <w:sz w:val="32"/>
          <w:szCs w:val="32"/>
        </w:rPr>
        <w:t>；事业收入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；经营收入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；附属单位上缴收入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；其他收入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</w:p>
    <w:p w:rsidR="00A8386E" w:rsidRDefault="00A8386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A8386E" w:rsidRDefault="00B54260">
      <w:pPr>
        <w:spacing w:line="600" w:lineRule="exact"/>
        <w:ind w:firstLineChars="200" w:firstLine="640"/>
        <w:rPr>
          <w:rFonts w:ascii="仿宋" w:eastAsia="仿宋"/>
          <w:sz w:val="32"/>
          <w:szCs w:val="32"/>
        </w:rPr>
      </w:pPr>
      <w:bookmarkStart w:id="23" w:name="_Toc15377207"/>
      <w:bookmarkStart w:id="24" w:name="_Toc15396605"/>
      <w:r>
        <w:rPr>
          <w:rFonts w:ascii="仿宋" w:eastAsia="仿宋" w:hint="eastAsia"/>
          <w:sz w:val="32"/>
          <w:szCs w:val="32"/>
        </w:rPr>
        <w:t>（图</w:t>
      </w:r>
      <w:r>
        <w:rPr>
          <w:rFonts w:ascii="仿宋" w:eastAsia="仿宋" w:hint="eastAsia"/>
          <w:sz w:val="32"/>
          <w:szCs w:val="32"/>
        </w:rPr>
        <w:t>2</w:t>
      </w:r>
      <w:r>
        <w:rPr>
          <w:rFonts w:ascii="仿宋" w:eastAsia="仿宋" w:hint="eastAsia"/>
          <w:sz w:val="32"/>
          <w:szCs w:val="32"/>
        </w:rPr>
        <w:t>：收入决算结构图）（饼状图）</w:t>
      </w:r>
    </w:p>
    <w:p w:rsidR="00A8386E" w:rsidRDefault="00B54260">
      <w:pPr>
        <w:pStyle w:val="ac"/>
        <w:spacing w:line="600" w:lineRule="exact"/>
        <w:ind w:firstLineChars="0" w:firstLine="0"/>
        <w:outlineLvl w:val="1"/>
        <w:rPr>
          <w:rFonts w:ascii="黑体" w:eastAsia="黑体" w:hAnsi="黑体"/>
          <w:sz w:val="32"/>
          <w:szCs w:val="32"/>
        </w:rPr>
      </w:pPr>
      <w:r>
        <w:rPr>
          <w:rFonts w:ascii="仿宋" w:eastAsia="仿宋" w:hint="eastAsia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-281940</wp:posOffset>
            </wp:positionH>
            <wp:positionV relativeFrom="paragraph">
              <wp:posOffset>131445</wp:posOffset>
            </wp:positionV>
            <wp:extent cx="5256530" cy="4120515"/>
            <wp:effectExtent l="4445" t="4445" r="15875" b="8890"/>
            <wp:wrapTopAndBottom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A8386E" w:rsidRDefault="00A8386E">
      <w:pPr>
        <w:pStyle w:val="ac"/>
        <w:spacing w:line="600" w:lineRule="exact"/>
        <w:ind w:firstLineChars="0" w:firstLine="0"/>
        <w:outlineLvl w:val="1"/>
        <w:rPr>
          <w:rFonts w:ascii="黑体" w:eastAsia="黑体" w:hAnsi="黑体"/>
          <w:sz w:val="32"/>
          <w:szCs w:val="32"/>
        </w:rPr>
      </w:pPr>
    </w:p>
    <w:p w:rsidR="00A8386E" w:rsidRDefault="00A8386E">
      <w:pPr>
        <w:pStyle w:val="ac"/>
        <w:spacing w:line="600" w:lineRule="exact"/>
        <w:ind w:firstLineChars="0" w:firstLine="0"/>
        <w:outlineLvl w:val="1"/>
        <w:rPr>
          <w:rFonts w:ascii="黑体" w:eastAsia="黑体" w:hAnsi="黑体"/>
          <w:sz w:val="32"/>
          <w:szCs w:val="32"/>
        </w:rPr>
      </w:pPr>
    </w:p>
    <w:p w:rsidR="00A8386E" w:rsidRDefault="00B54260">
      <w:pPr>
        <w:pStyle w:val="ac"/>
        <w:spacing w:line="600" w:lineRule="exact"/>
        <w:ind w:firstLine="640"/>
        <w:outlineLvl w:val="1"/>
        <w:rPr>
          <w:rStyle w:val="2Char"/>
          <w:rFonts w:ascii="黑体" w:eastAsia="黑体" w:hAnsi="黑体"/>
          <w:b w:val="0"/>
        </w:rPr>
      </w:pPr>
      <w:r>
        <w:rPr>
          <w:rFonts w:ascii="黑体" w:eastAsia="黑体" w:hAnsi="黑体" w:hint="eastAsia"/>
          <w:sz w:val="32"/>
          <w:szCs w:val="32"/>
        </w:rPr>
        <w:t>三、支</w:t>
      </w:r>
      <w:r>
        <w:rPr>
          <w:rStyle w:val="2Char"/>
          <w:rFonts w:ascii="黑体" w:eastAsia="黑体" w:hAnsi="黑体" w:hint="eastAsia"/>
          <w:b w:val="0"/>
        </w:rPr>
        <w:t>出决算情况说明</w:t>
      </w:r>
      <w:bookmarkEnd w:id="23"/>
      <w:bookmarkEnd w:id="24"/>
    </w:p>
    <w:p w:rsidR="00A8386E" w:rsidRDefault="00B54260">
      <w:pPr>
        <w:spacing w:line="600" w:lineRule="exact"/>
        <w:ind w:firstLineChars="200" w:firstLine="640"/>
        <w:outlineLvl w:val="1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年度本年支出合计</w:t>
      </w:r>
      <w:r>
        <w:rPr>
          <w:rFonts w:ascii="仿宋" w:eastAsia="仿宋" w:hAnsi="仿宋" w:hint="eastAsia"/>
          <w:sz w:val="32"/>
          <w:szCs w:val="32"/>
        </w:rPr>
        <w:t>188.70</w:t>
      </w:r>
      <w:r>
        <w:rPr>
          <w:rFonts w:ascii="仿宋" w:eastAsia="仿宋" w:hAnsi="仿宋" w:hint="eastAsia"/>
          <w:sz w:val="32"/>
          <w:szCs w:val="32"/>
        </w:rPr>
        <w:t>万元，其中：基本支出</w:t>
      </w:r>
      <w:r>
        <w:rPr>
          <w:rFonts w:ascii="仿宋" w:eastAsia="仿宋" w:hAnsi="仿宋" w:hint="eastAsia"/>
          <w:b/>
          <w:sz w:val="32"/>
          <w:szCs w:val="32"/>
        </w:rPr>
        <w:t>1</w:t>
      </w:r>
      <w:r>
        <w:rPr>
          <w:rFonts w:ascii="仿宋" w:eastAsia="仿宋" w:hAnsi="仿宋" w:hint="eastAsia"/>
          <w:b/>
          <w:sz w:val="32"/>
          <w:szCs w:val="32"/>
        </w:rPr>
        <w:t>88.70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100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；项目支出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 w:hint="eastAsia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；经营支出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；对附属单位补助支出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lastRenderedPageBreak/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A8386E" w:rsidRDefault="00B54260">
      <w:pPr>
        <w:spacing w:line="60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int="eastAsia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206375</wp:posOffset>
            </wp:positionV>
            <wp:extent cx="5256530" cy="2988310"/>
            <wp:effectExtent l="5080" t="4445" r="15240" b="17145"/>
            <wp:wrapTopAndBottom/>
            <wp:docPr id="4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  <w:r>
        <w:rPr>
          <w:rFonts w:ascii="仿宋" w:eastAsia="仿宋" w:hAnsi="仿宋" w:hint="eastAsia"/>
          <w:sz w:val="32"/>
          <w:szCs w:val="32"/>
        </w:rPr>
        <w:t>（图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：支出决算结构图）（饼状图）</w:t>
      </w:r>
    </w:p>
    <w:p w:rsidR="00A8386E" w:rsidRDefault="00A8386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A8386E" w:rsidRDefault="00B54260">
      <w:pPr>
        <w:spacing w:line="600" w:lineRule="exact"/>
        <w:ind w:firstLineChars="200" w:firstLine="640"/>
        <w:outlineLvl w:val="1"/>
        <w:rPr>
          <w:rStyle w:val="2Char"/>
          <w:rFonts w:ascii="黑体" w:eastAsia="黑体" w:hAnsi="黑体"/>
          <w:b w:val="0"/>
        </w:rPr>
      </w:pPr>
      <w:bookmarkStart w:id="25" w:name="_Toc15396606"/>
      <w:bookmarkStart w:id="26" w:name="_Toc15377208"/>
      <w:r>
        <w:rPr>
          <w:rFonts w:ascii="黑体" w:eastAsia="黑体" w:hAnsi="黑体" w:hint="eastAsia"/>
          <w:sz w:val="32"/>
          <w:szCs w:val="32"/>
        </w:rPr>
        <w:t>四、财</w:t>
      </w:r>
      <w:r>
        <w:rPr>
          <w:rStyle w:val="2Char"/>
          <w:rFonts w:ascii="黑体" w:eastAsia="黑体" w:hAnsi="黑体" w:hint="eastAsia"/>
          <w:b w:val="0"/>
        </w:rPr>
        <w:t>政拨款收入支出决算总体情况说明</w:t>
      </w:r>
      <w:bookmarkEnd w:id="25"/>
      <w:bookmarkEnd w:id="26"/>
    </w:p>
    <w:p w:rsidR="00A8386E" w:rsidRDefault="00B5426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年度财政拨款收、支总计均为</w:t>
      </w:r>
      <w:r>
        <w:rPr>
          <w:rFonts w:ascii="仿宋" w:eastAsia="仿宋" w:hAnsi="仿宋" w:hint="eastAsia"/>
          <w:sz w:val="32"/>
          <w:szCs w:val="32"/>
        </w:rPr>
        <w:t>188.70</w:t>
      </w:r>
      <w:r>
        <w:rPr>
          <w:rFonts w:ascii="仿宋" w:eastAsia="仿宋" w:hAnsi="仿宋" w:hint="eastAsia"/>
          <w:sz w:val="32"/>
          <w:szCs w:val="32"/>
        </w:rPr>
        <w:t>万元。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年度相比，收、支总计各支总计各</w:t>
      </w:r>
      <w:r>
        <w:rPr>
          <w:rFonts w:ascii="仿宋" w:eastAsia="仿宋" w:hAnsi="仿宋" w:hint="eastAsia"/>
          <w:sz w:val="32"/>
          <w:szCs w:val="32"/>
        </w:rPr>
        <w:t>减少</w:t>
      </w:r>
      <w:r>
        <w:rPr>
          <w:rFonts w:ascii="仿宋" w:eastAsia="仿宋" w:hAnsi="仿宋" w:hint="eastAsia"/>
          <w:sz w:val="32"/>
          <w:szCs w:val="32"/>
        </w:rPr>
        <w:t>6.9</w:t>
      </w:r>
      <w:r>
        <w:rPr>
          <w:rFonts w:ascii="仿宋" w:eastAsia="仿宋" w:hAnsi="仿宋" w:hint="eastAsia"/>
          <w:sz w:val="32"/>
          <w:szCs w:val="32"/>
        </w:rPr>
        <w:t>万元，</w:t>
      </w:r>
      <w:r>
        <w:rPr>
          <w:rFonts w:ascii="仿宋" w:eastAsia="仿宋" w:hAnsi="仿宋" w:hint="eastAsia"/>
          <w:sz w:val="32"/>
          <w:szCs w:val="32"/>
        </w:rPr>
        <w:t>减少</w:t>
      </w:r>
      <w:r>
        <w:rPr>
          <w:rFonts w:ascii="仿宋" w:eastAsia="仿宋" w:hAnsi="仿宋" w:hint="eastAsia"/>
          <w:sz w:val="32"/>
          <w:szCs w:val="32"/>
        </w:rPr>
        <w:t>9.65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。主要变动原因是</w:t>
      </w:r>
      <w:r>
        <w:rPr>
          <w:rFonts w:ascii="仿宋" w:eastAsia="仿宋" w:hAnsi="仿宋" w:hint="eastAsia"/>
          <w:sz w:val="32"/>
          <w:szCs w:val="32"/>
        </w:rPr>
        <w:t>从严从减，厉行节俭降低办公费支出较上年有所减少。</w:t>
      </w:r>
    </w:p>
    <w:p w:rsidR="00A8386E" w:rsidRDefault="00B54260">
      <w:pPr>
        <w:pStyle w:val="a0"/>
        <w:spacing w:before="9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noProof/>
          <w:sz w:val="32"/>
          <w:szCs w:val="32"/>
        </w:rPr>
        <w:lastRenderedPageBreak/>
        <w:drawing>
          <wp:inline distT="0" distB="0" distL="114300" distR="114300">
            <wp:extent cx="5256530" cy="2988310"/>
            <wp:effectExtent l="5080" t="4445" r="15240" b="17145"/>
            <wp:docPr id="8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8386E" w:rsidRDefault="00A8386E">
      <w:pPr>
        <w:pStyle w:val="a4"/>
      </w:pPr>
    </w:p>
    <w:p w:rsidR="00A8386E" w:rsidRDefault="00B54260">
      <w:pPr>
        <w:pStyle w:val="a0"/>
        <w:spacing w:before="93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（图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：财政拨款收、支决算总计变动情况）（柱状图）</w:t>
      </w:r>
    </w:p>
    <w:p w:rsidR="00A8386E" w:rsidRDefault="00B54260">
      <w:pPr>
        <w:spacing w:line="600" w:lineRule="exact"/>
        <w:ind w:firstLineChars="200" w:firstLine="640"/>
        <w:outlineLvl w:val="1"/>
        <w:rPr>
          <w:rStyle w:val="2Char"/>
          <w:rFonts w:ascii="黑体" w:eastAsia="黑体" w:hAnsi="黑体"/>
          <w:b w:val="0"/>
        </w:rPr>
      </w:pPr>
      <w:bookmarkStart w:id="27" w:name="_Toc15377209"/>
      <w:bookmarkStart w:id="28" w:name="_Toc15396607"/>
      <w:r>
        <w:rPr>
          <w:rFonts w:ascii="黑体" w:eastAsia="黑体" w:hAnsi="黑体" w:hint="eastAsia"/>
          <w:sz w:val="32"/>
          <w:szCs w:val="32"/>
        </w:rPr>
        <w:t>五、</w:t>
      </w:r>
      <w:r>
        <w:rPr>
          <w:rFonts w:ascii="黑体" w:eastAsia="黑体" w:hAnsi="黑体" w:hint="eastAsia"/>
          <w:b/>
          <w:sz w:val="32"/>
          <w:szCs w:val="32"/>
        </w:rPr>
        <w:t>一</w:t>
      </w:r>
      <w:r>
        <w:rPr>
          <w:rStyle w:val="2Char"/>
          <w:rFonts w:ascii="黑体" w:eastAsia="黑体" w:hAnsi="黑体" w:hint="eastAsia"/>
          <w:b w:val="0"/>
        </w:rPr>
        <w:t>般公共预算财政拨款支出决算情况说明</w:t>
      </w:r>
      <w:bookmarkEnd w:id="27"/>
      <w:bookmarkEnd w:id="28"/>
    </w:p>
    <w:p w:rsidR="00A8386E" w:rsidRDefault="00B54260">
      <w:pPr>
        <w:spacing w:line="600" w:lineRule="exact"/>
        <w:ind w:firstLineChars="200" w:firstLine="643"/>
        <w:outlineLvl w:val="2"/>
        <w:rPr>
          <w:rFonts w:ascii="仿宋" w:eastAsia="仿宋" w:hAnsi="仿宋"/>
          <w:b/>
          <w:sz w:val="32"/>
          <w:szCs w:val="32"/>
        </w:rPr>
      </w:pPr>
      <w:bookmarkStart w:id="29" w:name="_Toc15377210"/>
      <w:r>
        <w:rPr>
          <w:rFonts w:ascii="仿宋" w:eastAsia="仿宋" w:hAnsi="仿宋" w:hint="eastAsia"/>
          <w:b/>
          <w:sz w:val="32"/>
          <w:szCs w:val="32"/>
        </w:rPr>
        <w:t>（一）一般公共预算财政拨款支出决算总体情况</w:t>
      </w:r>
      <w:bookmarkEnd w:id="29"/>
    </w:p>
    <w:p w:rsidR="00A8386E" w:rsidRDefault="00B5426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年度一般公共预算财政拨款支出</w:t>
      </w:r>
      <w:r>
        <w:rPr>
          <w:rFonts w:ascii="仿宋" w:eastAsia="仿宋" w:hAnsi="仿宋" w:hint="eastAsia"/>
          <w:sz w:val="32"/>
          <w:szCs w:val="32"/>
        </w:rPr>
        <w:t>188.70</w:t>
      </w:r>
      <w:r>
        <w:rPr>
          <w:rFonts w:ascii="仿宋" w:eastAsia="仿宋" w:hAnsi="仿宋" w:hint="eastAsia"/>
          <w:sz w:val="32"/>
          <w:szCs w:val="32"/>
        </w:rPr>
        <w:t>万元，占本年支出合计的</w:t>
      </w:r>
      <w:r>
        <w:rPr>
          <w:rFonts w:ascii="仿宋" w:eastAsia="仿宋" w:hAnsi="仿宋"/>
          <w:b/>
          <w:sz w:val="32"/>
          <w:szCs w:val="32"/>
        </w:rPr>
        <w:t>100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年度相比，一般公共预算财政拨款支出支总计各</w:t>
      </w:r>
      <w:r>
        <w:rPr>
          <w:rFonts w:ascii="仿宋" w:eastAsia="仿宋" w:hAnsi="仿宋" w:hint="eastAsia"/>
          <w:sz w:val="32"/>
          <w:szCs w:val="32"/>
        </w:rPr>
        <w:t>减少</w:t>
      </w:r>
      <w:r>
        <w:rPr>
          <w:rFonts w:ascii="仿宋" w:eastAsia="仿宋" w:hAnsi="仿宋" w:hint="eastAsia"/>
          <w:sz w:val="32"/>
          <w:szCs w:val="32"/>
        </w:rPr>
        <w:t>6.9</w:t>
      </w:r>
      <w:r>
        <w:rPr>
          <w:rFonts w:ascii="仿宋" w:eastAsia="仿宋" w:hAnsi="仿宋" w:hint="eastAsia"/>
          <w:sz w:val="32"/>
          <w:szCs w:val="32"/>
        </w:rPr>
        <w:t>万元，</w:t>
      </w:r>
      <w:r>
        <w:rPr>
          <w:rFonts w:ascii="仿宋" w:eastAsia="仿宋" w:hAnsi="仿宋" w:hint="eastAsia"/>
          <w:sz w:val="32"/>
          <w:szCs w:val="32"/>
        </w:rPr>
        <w:t>减少</w:t>
      </w:r>
      <w:r>
        <w:rPr>
          <w:rFonts w:ascii="仿宋" w:eastAsia="仿宋" w:hAnsi="仿宋" w:hint="eastAsia"/>
          <w:sz w:val="32"/>
          <w:szCs w:val="32"/>
        </w:rPr>
        <w:t>9.65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。主要变动原因是</w:t>
      </w:r>
      <w:r>
        <w:rPr>
          <w:rFonts w:ascii="仿宋" w:eastAsia="仿宋" w:hAnsi="仿宋" w:hint="eastAsia"/>
          <w:sz w:val="32"/>
          <w:szCs w:val="32"/>
        </w:rPr>
        <w:t>从严从减，厉行节俭降低办公费支出较上年有所减少。</w:t>
      </w:r>
    </w:p>
    <w:p w:rsidR="00A8386E" w:rsidRDefault="00A8386E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A8386E" w:rsidRDefault="00B54260">
      <w:pPr>
        <w:pStyle w:val="a0"/>
        <w:spacing w:before="93"/>
      </w:pPr>
      <w:r>
        <w:rPr>
          <w:rFonts w:ascii="仿宋" w:eastAsia="仿宋" w:hAnsi="仿宋" w:hint="eastAsia"/>
          <w:b/>
          <w:noProof/>
          <w:sz w:val="32"/>
          <w:szCs w:val="32"/>
        </w:rPr>
        <w:lastRenderedPageBreak/>
        <w:drawing>
          <wp:inline distT="0" distB="0" distL="114300" distR="114300">
            <wp:extent cx="5256530" cy="2988310"/>
            <wp:effectExtent l="5080" t="4445" r="15240" b="17145"/>
            <wp:docPr id="10" name="图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8386E" w:rsidRDefault="00B5426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（图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：一般公共预算财政拨款支出决算变动情况）（柱状图）</w:t>
      </w:r>
    </w:p>
    <w:p w:rsidR="00A8386E" w:rsidRDefault="00B54260">
      <w:pPr>
        <w:spacing w:line="600" w:lineRule="exact"/>
        <w:ind w:firstLineChars="200" w:firstLine="643"/>
        <w:outlineLvl w:val="2"/>
        <w:rPr>
          <w:rFonts w:ascii="仿宋" w:eastAsia="仿宋" w:hAnsi="仿宋"/>
          <w:b/>
          <w:sz w:val="32"/>
          <w:szCs w:val="32"/>
        </w:rPr>
      </w:pPr>
      <w:bookmarkStart w:id="30" w:name="_Toc15377211"/>
      <w:r>
        <w:rPr>
          <w:rFonts w:ascii="仿宋" w:eastAsia="仿宋" w:hAnsi="仿宋" w:hint="eastAsia"/>
          <w:b/>
          <w:sz w:val="32"/>
          <w:szCs w:val="32"/>
        </w:rPr>
        <w:t>（二）一般公共预算财政拨款支出决算结构情况</w:t>
      </w:r>
      <w:bookmarkEnd w:id="30"/>
    </w:p>
    <w:p w:rsidR="00A8386E" w:rsidRDefault="00B54260">
      <w:pPr>
        <w:spacing w:line="60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年度一般公共预算财政拨款支出</w:t>
      </w:r>
      <w:r>
        <w:rPr>
          <w:rFonts w:ascii="仿宋" w:eastAsia="仿宋" w:hAnsi="仿宋" w:hint="eastAsia"/>
          <w:sz w:val="32"/>
          <w:szCs w:val="32"/>
        </w:rPr>
        <w:t>188.70</w:t>
      </w:r>
      <w:r>
        <w:rPr>
          <w:rFonts w:ascii="仿宋" w:eastAsia="仿宋" w:hAnsi="仿宋" w:hint="eastAsia"/>
          <w:sz w:val="32"/>
          <w:szCs w:val="32"/>
        </w:rPr>
        <w:t>万元，主要用于以下方面</w:t>
      </w:r>
      <w:r>
        <w:rPr>
          <w:rFonts w:ascii="仿宋" w:eastAsia="仿宋" w:hAnsi="仿宋"/>
          <w:sz w:val="32"/>
          <w:szCs w:val="32"/>
        </w:rPr>
        <w:t>:</w:t>
      </w:r>
      <w:r>
        <w:rPr>
          <w:rFonts w:ascii="仿宋" w:eastAsia="仿宋" w:hAnsi="仿宋" w:hint="eastAsia"/>
          <w:b/>
          <w:sz w:val="32"/>
          <w:szCs w:val="32"/>
        </w:rPr>
        <w:t>一般公共服务</w:t>
      </w:r>
      <w:r>
        <w:rPr>
          <w:rFonts w:ascii="仿宋" w:eastAsia="仿宋" w:hAnsi="仿宋" w:hint="eastAsia"/>
          <w:b/>
          <w:bCs/>
          <w:sz w:val="32"/>
          <w:szCs w:val="32"/>
        </w:rPr>
        <w:t>支出</w:t>
      </w:r>
      <w:r>
        <w:rPr>
          <w:rFonts w:ascii="仿宋" w:eastAsia="仿宋" w:hAnsi="仿宋" w:hint="eastAsia"/>
          <w:b/>
          <w:bCs/>
          <w:sz w:val="32"/>
          <w:szCs w:val="32"/>
        </w:rPr>
        <w:t>128.88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 w:hint="eastAsia"/>
          <w:sz w:val="32"/>
          <w:szCs w:val="32"/>
        </w:rPr>
        <w:t>68.2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</w:t>
      </w:r>
      <w:r>
        <w:rPr>
          <w:rFonts w:ascii="仿宋" w:eastAsia="仿宋" w:hAnsi="仿宋" w:hint="eastAsia"/>
          <w:b/>
          <w:sz w:val="32"/>
          <w:szCs w:val="32"/>
        </w:rPr>
        <w:t>社会保障和就业</w:t>
      </w:r>
      <w:r>
        <w:rPr>
          <w:rFonts w:ascii="仿宋" w:eastAsia="仿宋" w:hAnsi="仿宋" w:hint="eastAsia"/>
          <w:b/>
          <w:bCs/>
          <w:sz w:val="32"/>
          <w:szCs w:val="32"/>
        </w:rPr>
        <w:t>支出</w:t>
      </w:r>
      <w:r>
        <w:rPr>
          <w:rFonts w:ascii="仿宋" w:eastAsia="仿宋" w:hAnsi="仿宋" w:hint="eastAsia"/>
          <w:b/>
          <w:bCs/>
          <w:sz w:val="32"/>
          <w:szCs w:val="32"/>
        </w:rPr>
        <w:t>31.19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 w:hint="eastAsia"/>
          <w:sz w:val="32"/>
          <w:szCs w:val="32"/>
        </w:rPr>
        <w:t>16.52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</w:t>
      </w:r>
      <w:r>
        <w:rPr>
          <w:rFonts w:ascii="仿宋" w:eastAsia="仿宋" w:hAnsi="仿宋" w:hint="eastAsia"/>
          <w:b/>
          <w:bCs/>
          <w:sz w:val="32"/>
          <w:szCs w:val="32"/>
        </w:rPr>
        <w:t>卫生健康支出</w:t>
      </w:r>
      <w:r>
        <w:rPr>
          <w:rFonts w:ascii="仿宋" w:eastAsia="仿宋" w:hAnsi="仿宋" w:hint="eastAsia"/>
          <w:b/>
          <w:bCs/>
          <w:sz w:val="32"/>
          <w:szCs w:val="32"/>
        </w:rPr>
        <w:t>11.24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 w:hint="eastAsia"/>
          <w:sz w:val="32"/>
          <w:szCs w:val="32"/>
        </w:rPr>
        <w:t>5.</w:t>
      </w:r>
      <w:r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</w:t>
      </w:r>
      <w:r>
        <w:rPr>
          <w:rFonts w:ascii="仿宋" w:eastAsia="仿宋" w:hAnsi="仿宋" w:hint="eastAsia"/>
          <w:b/>
          <w:bCs/>
          <w:sz w:val="32"/>
          <w:szCs w:val="32"/>
        </w:rPr>
        <w:t>住房保障支出</w:t>
      </w:r>
      <w:r>
        <w:rPr>
          <w:rFonts w:ascii="仿宋" w:eastAsia="仿宋" w:hAnsi="仿宋" w:hint="eastAsia"/>
          <w:b/>
          <w:bCs/>
          <w:sz w:val="32"/>
          <w:szCs w:val="32"/>
        </w:rPr>
        <w:t>17.37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 w:hint="eastAsia"/>
          <w:sz w:val="32"/>
          <w:szCs w:val="32"/>
        </w:rPr>
        <w:t>9.2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A8386E" w:rsidRDefault="00A8386E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A8386E" w:rsidRDefault="00B5426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int="eastAsia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-254000</wp:posOffset>
            </wp:positionH>
            <wp:positionV relativeFrom="paragraph">
              <wp:posOffset>-6327775</wp:posOffset>
            </wp:positionV>
            <wp:extent cx="5256530" cy="2988310"/>
            <wp:effectExtent l="5080" t="4445" r="15240" b="17145"/>
            <wp:wrapTopAndBottom/>
            <wp:docPr id="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  <w:r>
        <w:rPr>
          <w:rFonts w:ascii="仿宋" w:eastAsia="仿宋" w:hAnsi="仿宋" w:hint="eastAsia"/>
          <w:sz w:val="32"/>
          <w:szCs w:val="32"/>
        </w:rPr>
        <w:t>（图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：一般公共预算财政拨款支出决算结构）（饼状图）</w:t>
      </w:r>
    </w:p>
    <w:p w:rsidR="00A8386E" w:rsidRDefault="00B54260">
      <w:pPr>
        <w:spacing w:line="600" w:lineRule="exact"/>
        <w:ind w:firstLineChars="200" w:firstLine="643"/>
        <w:outlineLvl w:val="2"/>
        <w:rPr>
          <w:rFonts w:ascii="仿宋" w:eastAsia="仿宋" w:hAnsi="仿宋"/>
          <w:b/>
          <w:sz w:val="32"/>
          <w:szCs w:val="32"/>
        </w:rPr>
      </w:pPr>
      <w:bookmarkStart w:id="31" w:name="_Toc15377212"/>
      <w:r>
        <w:rPr>
          <w:rFonts w:ascii="仿宋" w:eastAsia="仿宋" w:hAnsi="仿宋" w:hint="eastAsia"/>
          <w:b/>
          <w:sz w:val="32"/>
          <w:szCs w:val="32"/>
        </w:rPr>
        <w:t>（三）一般公共预算财政拨款支出决算具体情况</w:t>
      </w:r>
      <w:bookmarkEnd w:id="31"/>
    </w:p>
    <w:p w:rsidR="00A8386E" w:rsidRDefault="00B54260">
      <w:pPr>
        <w:spacing w:line="600" w:lineRule="exact"/>
        <w:ind w:firstLineChars="200" w:firstLine="643"/>
        <w:outlineLvl w:val="2"/>
        <w:rPr>
          <w:rFonts w:ascii="仿宋" w:eastAsia="仿宋" w:hAnsi="仿宋"/>
          <w:sz w:val="32"/>
          <w:szCs w:val="32"/>
        </w:rPr>
      </w:pPr>
      <w:bookmarkStart w:id="32" w:name="_Toc15377444"/>
      <w:bookmarkStart w:id="33" w:name="_Toc15378460"/>
      <w:bookmarkStart w:id="34" w:name="_Toc15377213"/>
      <w:r>
        <w:rPr>
          <w:rFonts w:ascii="仿宋" w:eastAsia="仿宋" w:hAnsi="仿宋" w:hint="eastAsia"/>
          <w:b/>
          <w:sz w:val="32"/>
          <w:szCs w:val="32"/>
        </w:rPr>
        <w:t>202</w:t>
      </w:r>
      <w:r>
        <w:rPr>
          <w:rFonts w:ascii="仿宋" w:eastAsia="仿宋" w:hAnsi="仿宋" w:hint="eastAsia"/>
          <w:b/>
          <w:sz w:val="32"/>
          <w:szCs w:val="32"/>
        </w:rPr>
        <w:t>5</w:t>
      </w:r>
      <w:r>
        <w:rPr>
          <w:rFonts w:ascii="仿宋" w:eastAsia="仿宋" w:hAnsi="仿宋" w:hint="eastAsia"/>
          <w:b/>
          <w:sz w:val="32"/>
          <w:szCs w:val="32"/>
        </w:rPr>
        <w:t>年度一般公共预算支出决算数为</w:t>
      </w:r>
      <w:r>
        <w:rPr>
          <w:rFonts w:ascii="仿宋" w:eastAsia="仿宋" w:hAnsi="仿宋" w:hint="eastAsia"/>
          <w:b/>
          <w:sz w:val="32"/>
          <w:szCs w:val="32"/>
        </w:rPr>
        <w:t>188.70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Style w:val="aa"/>
          <w:rFonts w:ascii="仿宋" w:eastAsia="仿宋" w:hAnsi="仿宋" w:hint="eastAsia"/>
          <w:bCs/>
          <w:sz w:val="32"/>
          <w:szCs w:val="32"/>
        </w:rPr>
        <w:t>完成预算</w:t>
      </w:r>
      <w:r>
        <w:rPr>
          <w:rStyle w:val="aa"/>
          <w:rFonts w:ascii="仿宋" w:eastAsia="仿宋" w:hAnsi="仿宋" w:hint="eastAsia"/>
          <w:bCs/>
          <w:sz w:val="32"/>
          <w:szCs w:val="32"/>
        </w:rPr>
        <w:t>100</w:t>
      </w:r>
      <w:r>
        <w:rPr>
          <w:rStyle w:val="aa"/>
          <w:rFonts w:ascii="仿宋" w:eastAsia="仿宋" w:hAnsi="仿宋"/>
          <w:bCs/>
          <w:sz w:val="32"/>
          <w:szCs w:val="32"/>
        </w:rPr>
        <w:t>%</w:t>
      </w:r>
      <w:r>
        <w:rPr>
          <w:rStyle w:val="aa"/>
          <w:rFonts w:ascii="仿宋" w:eastAsia="仿宋" w:hAnsi="仿宋" w:hint="eastAsia"/>
          <w:bCs/>
          <w:sz w:val="32"/>
          <w:szCs w:val="32"/>
        </w:rPr>
        <w:t>。其中：</w:t>
      </w:r>
      <w:bookmarkEnd w:id="32"/>
      <w:bookmarkEnd w:id="33"/>
      <w:bookmarkEnd w:id="34"/>
    </w:p>
    <w:p w:rsidR="00A8386E" w:rsidRDefault="00B54260">
      <w:pPr>
        <w:spacing w:line="60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Style w:val="aa"/>
          <w:rFonts w:ascii="仿宋" w:eastAsia="仿宋" w:hAnsi="仿宋"/>
          <w:bCs/>
          <w:sz w:val="32"/>
          <w:szCs w:val="32"/>
        </w:rPr>
        <w:t>1.</w:t>
      </w:r>
      <w:r>
        <w:rPr>
          <w:rStyle w:val="aa"/>
          <w:rFonts w:ascii="仿宋" w:eastAsia="仿宋" w:hAnsi="仿宋" w:hint="eastAsia"/>
          <w:bCs/>
          <w:sz w:val="32"/>
          <w:szCs w:val="32"/>
        </w:rPr>
        <w:t>一般公共服务</w:t>
      </w:r>
      <w:r>
        <w:rPr>
          <w:rStyle w:val="aa"/>
          <w:rFonts w:ascii="仿宋" w:eastAsia="仿宋" w:hAnsi="仿宋" w:hint="eastAsia"/>
          <w:bCs/>
          <w:sz w:val="32"/>
          <w:szCs w:val="32"/>
        </w:rPr>
        <w:t>2013101</w:t>
      </w:r>
      <w:r>
        <w:rPr>
          <w:rStyle w:val="aa"/>
          <w:rFonts w:ascii="仿宋" w:eastAsia="仿宋" w:hAnsi="仿宋"/>
          <w:bCs/>
          <w:sz w:val="32"/>
          <w:szCs w:val="32"/>
        </w:rPr>
        <w:t>: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支出决算为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128.88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万元，完成预算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100</w:t>
      </w:r>
      <w:r>
        <w:rPr>
          <w:rStyle w:val="aa"/>
          <w:rFonts w:ascii="仿宋" w:eastAsia="仿宋" w:hAnsi="仿宋"/>
          <w:b w:val="0"/>
          <w:bCs/>
          <w:sz w:val="32"/>
          <w:szCs w:val="32"/>
        </w:rPr>
        <w:t>%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，决算数等于预算数。</w:t>
      </w:r>
    </w:p>
    <w:p w:rsidR="00A8386E" w:rsidRDefault="00B54260">
      <w:pPr>
        <w:spacing w:line="60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Style w:val="aa"/>
          <w:rFonts w:ascii="仿宋" w:eastAsia="仿宋" w:hAnsi="仿宋" w:hint="eastAsia"/>
          <w:bCs/>
          <w:sz w:val="32"/>
          <w:szCs w:val="32"/>
        </w:rPr>
        <w:t>2</w:t>
      </w:r>
      <w:r>
        <w:rPr>
          <w:rStyle w:val="aa"/>
          <w:rFonts w:ascii="仿宋" w:eastAsia="仿宋" w:hAnsi="仿宋"/>
          <w:bCs/>
          <w:sz w:val="32"/>
          <w:szCs w:val="32"/>
        </w:rPr>
        <w:t>.</w:t>
      </w:r>
      <w:r>
        <w:rPr>
          <w:rStyle w:val="aa"/>
          <w:rFonts w:ascii="仿宋" w:eastAsia="仿宋" w:hAnsi="仿宋" w:hint="eastAsia"/>
          <w:bCs/>
          <w:sz w:val="32"/>
          <w:szCs w:val="32"/>
        </w:rPr>
        <w:t>社会保障和就业</w:t>
      </w:r>
      <w:r>
        <w:rPr>
          <w:rStyle w:val="aa"/>
          <w:rFonts w:ascii="仿宋" w:eastAsia="仿宋" w:hAnsi="仿宋" w:hint="eastAsia"/>
          <w:bCs/>
          <w:sz w:val="32"/>
          <w:szCs w:val="32"/>
        </w:rPr>
        <w:t>20805</w:t>
      </w:r>
      <w:r>
        <w:rPr>
          <w:rStyle w:val="aa"/>
          <w:rFonts w:ascii="仿宋" w:eastAsia="仿宋" w:hAnsi="仿宋"/>
          <w:bCs/>
          <w:sz w:val="32"/>
          <w:szCs w:val="32"/>
        </w:rPr>
        <w:t>: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支出决算为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31.19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万元，完成预算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100</w:t>
      </w:r>
      <w:r>
        <w:rPr>
          <w:rStyle w:val="aa"/>
          <w:rFonts w:ascii="仿宋" w:eastAsia="仿宋" w:hAnsi="仿宋"/>
          <w:b w:val="0"/>
          <w:bCs/>
          <w:sz w:val="32"/>
          <w:szCs w:val="32"/>
        </w:rPr>
        <w:t>%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，决算数等于预算数。</w:t>
      </w:r>
    </w:p>
    <w:p w:rsidR="00A8386E" w:rsidRDefault="00B54260">
      <w:pPr>
        <w:spacing w:line="600" w:lineRule="exact"/>
        <w:ind w:firstLineChars="200" w:firstLine="643"/>
        <w:rPr>
          <w:rStyle w:val="aa"/>
          <w:rFonts w:ascii="仿宋" w:eastAsia="仿宋" w:hAnsi="仿宋"/>
          <w:b w:val="0"/>
          <w:bCs/>
          <w:sz w:val="32"/>
          <w:szCs w:val="32"/>
        </w:rPr>
      </w:pPr>
      <w:r>
        <w:rPr>
          <w:rStyle w:val="aa"/>
          <w:rFonts w:ascii="仿宋" w:eastAsia="仿宋" w:hAnsi="仿宋" w:hint="eastAsia"/>
          <w:bCs/>
          <w:sz w:val="32"/>
          <w:szCs w:val="32"/>
        </w:rPr>
        <w:t>3</w:t>
      </w:r>
      <w:r>
        <w:rPr>
          <w:rStyle w:val="aa"/>
          <w:rFonts w:ascii="仿宋" w:eastAsia="仿宋" w:hAnsi="仿宋"/>
          <w:bCs/>
          <w:sz w:val="32"/>
          <w:szCs w:val="32"/>
        </w:rPr>
        <w:t>.</w:t>
      </w:r>
      <w:r>
        <w:rPr>
          <w:rFonts w:ascii="仿宋" w:eastAsia="仿宋" w:hAnsi="仿宋" w:hint="eastAsia"/>
          <w:b/>
          <w:bCs/>
          <w:sz w:val="32"/>
          <w:szCs w:val="32"/>
        </w:rPr>
        <w:t>卫生健康</w:t>
      </w:r>
      <w:r>
        <w:rPr>
          <w:rStyle w:val="aa"/>
          <w:rFonts w:ascii="仿宋" w:eastAsia="仿宋" w:hAnsi="仿宋" w:hint="eastAsia"/>
          <w:bCs/>
          <w:sz w:val="32"/>
          <w:szCs w:val="32"/>
        </w:rPr>
        <w:t>21011</w:t>
      </w:r>
      <w:r>
        <w:rPr>
          <w:rStyle w:val="aa"/>
          <w:rFonts w:ascii="仿宋" w:eastAsia="仿宋" w:hAnsi="仿宋"/>
          <w:bCs/>
          <w:sz w:val="32"/>
          <w:szCs w:val="32"/>
        </w:rPr>
        <w:t>: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支出决算为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11.24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万元，完成预算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100</w:t>
      </w:r>
      <w:r>
        <w:rPr>
          <w:rStyle w:val="aa"/>
          <w:rFonts w:ascii="仿宋" w:eastAsia="仿宋" w:hAnsi="仿宋"/>
          <w:b w:val="0"/>
          <w:bCs/>
          <w:sz w:val="32"/>
          <w:szCs w:val="32"/>
        </w:rPr>
        <w:t>%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，决算数等于预算数。</w:t>
      </w:r>
    </w:p>
    <w:p w:rsidR="00A8386E" w:rsidRDefault="00B54260">
      <w:pPr>
        <w:pStyle w:val="a0"/>
        <w:spacing w:before="93"/>
        <w:ind w:firstLineChars="200" w:firstLine="643"/>
        <w:rPr>
          <w:rFonts w:eastAsia="仿宋"/>
        </w:rPr>
      </w:pPr>
      <w:r>
        <w:rPr>
          <w:rStyle w:val="aa"/>
          <w:rFonts w:ascii="仿宋" w:eastAsia="仿宋" w:hAnsi="仿宋" w:hint="eastAsia"/>
          <w:bCs/>
          <w:sz w:val="32"/>
          <w:szCs w:val="32"/>
        </w:rPr>
        <w:t>4</w:t>
      </w:r>
      <w:r>
        <w:rPr>
          <w:rStyle w:val="aa"/>
          <w:rFonts w:ascii="仿宋" w:eastAsia="仿宋" w:hAnsi="仿宋"/>
          <w:bCs/>
          <w:sz w:val="32"/>
          <w:szCs w:val="32"/>
        </w:rPr>
        <w:t>.</w:t>
      </w:r>
      <w:r>
        <w:rPr>
          <w:rStyle w:val="aa"/>
          <w:rFonts w:ascii="仿宋" w:eastAsia="仿宋" w:hAnsi="仿宋" w:hint="eastAsia"/>
          <w:bCs/>
          <w:sz w:val="32"/>
          <w:szCs w:val="32"/>
        </w:rPr>
        <w:t>住房保障</w:t>
      </w:r>
      <w:r>
        <w:rPr>
          <w:rStyle w:val="aa"/>
          <w:rFonts w:ascii="仿宋" w:eastAsia="仿宋" w:hAnsi="仿宋" w:hint="eastAsia"/>
          <w:bCs/>
          <w:sz w:val="32"/>
          <w:szCs w:val="32"/>
        </w:rPr>
        <w:t>2210201</w:t>
      </w:r>
      <w:r>
        <w:rPr>
          <w:rStyle w:val="aa"/>
          <w:rFonts w:ascii="仿宋" w:eastAsia="仿宋" w:hAnsi="仿宋"/>
          <w:bCs/>
          <w:sz w:val="32"/>
          <w:szCs w:val="32"/>
        </w:rPr>
        <w:t>: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支出决算为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1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7.39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万元，完成预算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100</w:t>
      </w:r>
      <w:r>
        <w:rPr>
          <w:rStyle w:val="aa"/>
          <w:rFonts w:ascii="仿宋" w:eastAsia="仿宋" w:hAnsi="仿宋"/>
          <w:b w:val="0"/>
          <w:bCs/>
          <w:sz w:val="32"/>
          <w:szCs w:val="32"/>
        </w:rPr>
        <w:t>%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，决算数等于预算数。</w:t>
      </w:r>
    </w:p>
    <w:p w:rsidR="00A8386E" w:rsidRDefault="00B54260">
      <w:pPr>
        <w:tabs>
          <w:tab w:val="right" w:pos="8306"/>
        </w:tabs>
        <w:spacing w:line="600" w:lineRule="exact"/>
        <w:ind w:firstLine="640"/>
        <w:outlineLvl w:val="1"/>
        <w:rPr>
          <w:rStyle w:val="2Char"/>
        </w:rPr>
      </w:pPr>
      <w:bookmarkStart w:id="35" w:name="_Toc15396608"/>
      <w:bookmarkStart w:id="36" w:name="_Toc15377214"/>
      <w:r>
        <w:rPr>
          <w:rFonts w:ascii="黑体" w:eastAsia="黑体" w:hint="eastAsia"/>
          <w:sz w:val="32"/>
          <w:szCs w:val="32"/>
        </w:rPr>
        <w:t>六</w:t>
      </w:r>
      <w:r>
        <w:rPr>
          <w:rFonts w:ascii="黑体" w:eastAsia="黑体" w:hint="eastAsia"/>
          <w:b/>
          <w:sz w:val="32"/>
          <w:szCs w:val="32"/>
        </w:rPr>
        <w:t>、</w:t>
      </w:r>
      <w:r>
        <w:rPr>
          <w:rFonts w:ascii="黑体" w:eastAsia="黑体" w:hAnsi="黑体" w:hint="eastAsia"/>
          <w:b/>
          <w:sz w:val="32"/>
          <w:szCs w:val="32"/>
        </w:rPr>
        <w:t>一</w:t>
      </w:r>
      <w:r>
        <w:rPr>
          <w:rStyle w:val="2Char"/>
          <w:rFonts w:ascii="黑体" w:eastAsia="黑体" w:hAnsi="黑体" w:hint="eastAsia"/>
          <w:b w:val="0"/>
        </w:rPr>
        <w:t>般公共预算财政拨款基本支出决算情况说明</w:t>
      </w:r>
      <w:bookmarkEnd w:id="35"/>
      <w:bookmarkEnd w:id="36"/>
      <w:r>
        <w:rPr>
          <w:rStyle w:val="2Char"/>
          <w:rFonts w:ascii="黑体" w:eastAsia="黑体" w:hAnsi="黑体"/>
          <w:b w:val="0"/>
        </w:rPr>
        <w:tab/>
      </w:r>
    </w:p>
    <w:p w:rsidR="00A8386E" w:rsidRDefault="00B54260">
      <w:pPr>
        <w:spacing w:line="60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年度一般公共预算财政拨款基本支出</w:t>
      </w:r>
      <w:r>
        <w:rPr>
          <w:rFonts w:ascii="仿宋" w:eastAsia="仿宋" w:hAnsi="仿宋" w:hint="eastAsia"/>
          <w:sz w:val="32"/>
          <w:szCs w:val="32"/>
        </w:rPr>
        <w:t>188.70</w:t>
      </w:r>
      <w:r>
        <w:rPr>
          <w:rFonts w:ascii="仿宋" w:eastAsia="仿宋" w:hAnsi="仿宋" w:hint="eastAsia"/>
          <w:sz w:val="32"/>
          <w:szCs w:val="32"/>
        </w:rPr>
        <w:t>万元，其中：</w:t>
      </w:r>
    </w:p>
    <w:p w:rsidR="00A8386E" w:rsidRDefault="00B54260">
      <w:pPr>
        <w:spacing w:line="60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人员经费</w:t>
      </w:r>
      <w:r>
        <w:rPr>
          <w:rFonts w:ascii="仿宋" w:eastAsia="仿宋" w:hAnsi="仿宋" w:hint="eastAsia"/>
          <w:b/>
          <w:sz w:val="32"/>
          <w:szCs w:val="32"/>
        </w:rPr>
        <w:t>1</w:t>
      </w:r>
      <w:r>
        <w:rPr>
          <w:rFonts w:ascii="仿宋" w:eastAsia="仿宋" w:hAnsi="仿宋" w:hint="eastAsia"/>
          <w:b/>
          <w:sz w:val="32"/>
          <w:szCs w:val="32"/>
        </w:rPr>
        <w:t>67.89</w:t>
      </w:r>
      <w:r>
        <w:rPr>
          <w:rFonts w:ascii="仿宋" w:eastAsia="仿宋" w:hAnsi="仿宋" w:hint="eastAsia"/>
          <w:sz w:val="32"/>
          <w:szCs w:val="32"/>
        </w:rPr>
        <w:t>万元，主要包括：基本工资、津贴补</w:t>
      </w:r>
      <w:r>
        <w:rPr>
          <w:rFonts w:ascii="仿宋" w:eastAsia="仿宋" w:hAnsi="仿宋" w:hint="eastAsia"/>
          <w:sz w:val="32"/>
          <w:szCs w:val="32"/>
        </w:rPr>
        <w:lastRenderedPageBreak/>
        <w:t>贴、奖金、伙食补助费、绩效工资、机关事业单位基本养老保险缴费、职业年金缴费、其他社会保障缴费、其他工资福利支出、离休费、退休费、抚恤金、生活补助、医疗费补助、奖励金、住房公积金、其他对个人和家庭的补助支出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 w:hint="eastAsia"/>
          <w:sz w:val="32"/>
          <w:szCs w:val="32"/>
        </w:rPr>
        <w:t xml:space="preserve">　　公用经费</w:t>
      </w:r>
      <w:r>
        <w:rPr>
          <w:rFonts w:ascii="仿宋" w:eastAsia="仿宋" w:hAnsi="仿宋" w:hint="eastAsia"/>
          <w:sz w:val="32"/>
          <w:szCs w:val="32"/>
        </w:rPr>
        <w:t>20.80</w:t>
      </w:r>
      <w:r>
        <w:rPr>
          <w:rFonts w:ascii="仿宋" w:eastAsia="仿宋" w:hAnsi="仿宋" w:hint="eastAsia"/>
          <w:sz w:val="32"/>
          <w:szCs w:val="32"/>
        </w:rPr>
        <w:t>万元，主要包括：办公费、印刷费、咨询费、手续费、水费、电费、邮电费、取暖费、物业管理费、差旅费、因公出国（境）费用、维修（护）费、租赁费、会议费、培训费、公务接待费、劳务费、委托业务费、工会经费、福利费、公务用车运行维护费、其他交通费、税金及附加费用、其他商品和服务支出、办公设备购置、专用设备购置、信息网络及软件购置更新、其他资本性支出等。</w:t>
      </w:r>
    </w:p>
    <w:p w:rsidR="00A8386E" w:rsidRDefault="00B54260">
      <w:pPr>
        <w:spacing w:line="600" w:lineRule="exact"/>
        <w:ind w:firstLine="640"/>
        <w:outlineLvl w:val="1"/>
        <w:rPr>
          <w:rStyle w:val="2Char"/>
          <w:rFonts w:ascii="黑体" w:eastAsia="黑体" w:hAnsi="黑体"/>
          <w:b w:val="0"/>
        </w:rPr>
      </w:pPr>
      <w:bookmarkStart w:id="37" w:name="_Toc15377215"/>
      <w:bookmarkStart w:id="38" w:name="_Toc15396609"/>
      <w:r>
        <w:rPr>
          <w:rFonts w:ascii="黑体" w:eastAsia="黑体" w:hint="eastAsia"/>
          <w:sz w:val="32"/>
          <w:szCs w:val="32"/>
        </w:rPr>
        <w:t>七、</w:t>
      </w:r>
      <w:r>
        <w:rPr>
          <w:rStyle w:val="2Char"/>
          <w:rFonts w:ascii="黑体" w:eastAsia="黑体" w:hAnsi="黑体" w:hint="eastAsia"/>
          <w:b w:val="0"/>
        </w:rPr>
        <w:t>财政拨款</w:t>
      </w:r>
      <w:r>
        <w:rPr>
          <w:rStyle w:val="2Char"/>
          <w:rFonts w:ascii="黑体" w:eastAsia="黑体" w:hAnsi="黑体" w:hint="eastAsia"/>
        </w:rPr>
        <w:t>“</w:t>
      </w:r>
      <w:r>
        <w:rPr>
          <w:rStyle w:val="2Char"/>
          <w:rFonts w:ascii="黑体" w:eastAsia="黑体" w:hAnsi="黑体" w:hint="eastAsia"/>
          <w:b w:val="0"/>
        </w:rPr>
        <w:t>三公”经费支出决算情况说明</w:t>
      </w:r>
      <w:bookmarkEnd w:id="37"/>
      <w:bookmarkEnd w:id="38"/>
    </w:p>
    <w:p w:rsidR="00A8386E" w:rsidRDefault="00B54260">
      <w:pPr>
        <w:spacing w:line="600" w:lineRule="exact"/>
        <w:ind w:firstLine="640"/>
        <w:outlineLvl w:val="2"/>
        <w:rPr>
          <w:rFonts w:ascii="仿宋" w:eastAsia="仿宋" w:hAnsi="仿宋"/>
          <w:b/>
          <w:sz w:val="32"/>
          <w:szCs w:val="32"/>
        </w:rPr>
      </w:pPr>
      <w:bookmarkStart w:id="39" w:name="_Toc15377216"/>
      <w:r>
        <w:rPr>
          <w:rFonts w:ascii="仿宋" w:eastAsia="仿宋" w:hAnsi="仿宋" w:hint="eastAsia"/>
          <w:b/>
          <w:sz w:val="32"/>
          <w:szCs w:val="32"/>
        </w:rPr>
        <w:t>（一）“三公”经费财政拨款支出决算总体情况说明</w:t>
      </w:r>
      <w:bookmarkEnd w:id="39"/>
    </w:p>
    <w:p w:rsidR="00A8386E" w:rsidRDefault="00B54260">
      <w:pPr>
        <w:spacing w:line="60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年度“三公”经费财政拨款支出决算为</w:t>
      </w:r>
      <w:r>
        <w:rPr>
          <w:rFonts w:ascii="仿宋" w:eastAsia="仿宋" w:hAnsi="仿宋" w:hint="eastAsia"/>
          <w:sz w:val="32"/>
          <w:szCs w:val="32"/>
        </w:rPr>
        <w:t>0.97</w:t>
      </w:r>
      <w:r>
        <w:rPr>
          <w:rFonts w:ascii="仿宋" w:eastAsia="仿宋" w:hAnsi="仿宋" w:hint="eastAsia"/>
          <w:sz w:val="32"/>
          <w:szCs w:val="32"/>
        </w:rPr>
        <w:t>万元，完成预算</w:t>
      </w:r>
      <w:r>
        <w:rPr>
          <w:rFonts w:ascii="仿宋" w:eastAsia="仿宋" w:hAnsi="仿宋"/>
          <w:b/>
          <w:sz w:val="32"/>
          <w:szCs w:val="32"/>
        </w:rPr>
        <w:t>100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，较上年度减少</w:t>
      </w:r>
      <w:r>
        <w:rPr>
          <w:rFonts w:ascii="仿宋" w:eastAsia="仿宋" w:hAnsi="仿宋" w:hint="eastAsia"/>
          <w:sz w:val="32"/>
          <w:szCs w:val="32"/>
        </w:rPr>
        <w:t>0.63</w:t>
      </w:r>
      <w:r>
        <w:rPr>
          <w:rFonts w:ascii="仿宋" w:eastAsia="仿宋" w:hAnsi="仿宋" w:hint="eastAsia"/>
          <w:sz w:val="32"/>
          <w:szCs w:val="32"/>
        </w:rPr>
        <w:t>元，下降</w:t>
      </w:r>
      <w:r>
        <w:rPr>
          <w:rFonts w:ascii="仿宋" w:eastAsia="仿宋" w:hAnsi="仿宋" w:hint="eastAsia"/>
          <w:sz w:val="32"/>
          <w:szCs w:val="32"/>
        </w:rPr>
        <w:t>60.52</w:t>
      </w:r>
      <w:r>
        <w:rPr>
          <w:rFonts w:ascii="仿宋" w:eastAsia="仿宋" w:hAnsi="仿宋" w:hint="eastAsia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。决算数小于预算数的主要原因是坚持从严从简，厉行节俭，降低公务用车运行维护费用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A8386E" w:rsidRDefault="00B54260">
      <w:pPr>
        <w:spacing w:line="600" w:lineRule="exact"/>
        <w:ind w:firstLine="640"/>
        <w:outlineLvl w:val="2"/>
        <w:rPr>
          <w:rFonts w:ascii="仿宋" w:eastAsia="仿宋" w:hAnsi="仿宋"/>
          <w:b/>
          <w:sz w:val="32"/>
          <w:szCs w:val="32"/>
        </w:rPr>
      </w:pPr>
      <w:bookmarkStart w:id="40" w:name="_Toc15377217"/>
      <w:r>
        <w:rPr>
          <w:rFonts w:ascii="仿宋" w:eastAsia="仿宋" w:hAnsi="仿宋" w:hint="eastAsia"/>
          <w:b/>
          <w:sz w:val="32"/>
          <w:szCs w:val="32"/>
        </w:rPr>
        <w:t>（二）“三公”经费财政拨款支出决算具体情况说明</w:t>
      </w:r>
      <w:bookmarkEnd w:id="40"/>
    </w:p>
    <w:p w:rsidR="00A8386E" w:rsidRDefault="00B54260">
      <w:pPr>
        <w:spacing w:line="60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年度“三公”经费财政拨款支出决算中，因公出国（境）费支出决算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；公务用车购置及运行维护费支出决算</w:t>
      </w:r>
      <w:r>
        <w:rPr>
          <w:rFonts w:ascii="仿宋" w:eastAsia="仿宋" w:hAnsi="仿宋" w:hint="eastAsia"/>
          <w:sz w:val="32"/>
          <w:szCs w:val="32"/>
        </w:rPr>
        <w:t>0.97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100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；公务接待费支出决算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万元，占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%</w:t>
      </w:r>
      <w:r>
        <w:rPr>
          <w:rFonts w:ascii="仿宋" w:eastAsia="仿宋" w:hAnsi="仿宋" w:hint="eastAsia"/>
          <w:sz w:val="32"/>
          <w:szCs w:val="32"/>
        </w:rPr>
        <w:t>。具体情况如下：</w:t>
      </w:r>
    </w:p>
    <w:p w:rsidR="00A8386E" w:rsidRDefault="00B54260">
      <w:pPr>
        <w:pStyle w:val="a4"/>
        <w:rPr>
          <w:rFonts w:ascii="仿宋" w:eastAsia="仿宋" w:hAnsi="仿宋"/>
          <w:sz w:val="32"/>
        </w:rPr>
      </w:pPr>
      <w:r>
        <w:rPr>
          <w:rFonts w:ascii="仿宋" w:eastAsia="仿宋" w:hint="eastAsia"/>
          <w:noProof/>
          <w:sz w:val="32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241935</wp:posOffset>
            </wp:positionV>
            <wp:extent cx="5256530" cy="2988310"/>
            <wp:effectExtent l="5080" t="4445" r="15240" b="17145"/>
            <wp:wrapTopAndBottom/>
            <wp:docPr id="6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anchor>
        </w:drawing>
      </w:r>
      <w:r>
        <w:rPr>
          <w:rFonts w:ascii="仿宋" w:eastAsia="仿宋" w:hAnsi="仿宋" w:hint="eastAsia"/>
          <w:sz w:val="32"/>
        </w:rPr>
        <w:t>（图</w:t>
      </w:r>
      <w:r>
        <w:rPr>
          <w:rFonts w:ascii="仿宋" w:eastAsia="仿宋" w:hAnsi="仿宋" w:hint="eastAsia"/>
          <w:sz w:val="32"/>
        </w:rPr>
        <w:t>7</w:t>
      </w:r>
      <w:r>
        <w:rPr>
          <w:rFonts w:ascii="仿宋" w:eastAsia="仿宋" w:hAnsi="仿宋" w:hint="eastAsia"/>
          <w:sz w:val="32"/>
        </w:rPr>
        <w:t>：“三公”经费财政拨款支出结构）（饼状图）</w:t>
      </w:r>
    </w:p>
    <w:p w:rsidR="00A8386E" w:rsidRDefault="00B54260">
      <w:pPr>
        <w:spacing w:line="600" w:lineRule="exact"/>
        <w:ind w:firstLine="640"/>
        <w:rPr>
          <w:rFonts w:ascii="仿宋_GB2312" w:eastAsia="仿宋_GB2312"/>
          <w:b/>
          <w:sz w:val="32"/>
          <w:szCs w:val="32"/>
        </w:rPr>
      </w:pPr>
      <w:bookmarkStart w:id="41" w:name="_Toc15377218"/>
      <w:bookmarkStart w:id="42" w:name="_Toc15396610"/>
      <w:r>
        <w:rPr>
          <w:rFonts w:ascii="仿宋_GB2312" w:eastAsia="仿宋_GB2312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因公出国（境）经费支出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万元，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完成预算</w:t>
      </w:r>
      <w:r>
        <w:rPr>
          <w:rStyle w:val="aa"/>
          <w:rFonts w:ascii="仿宋" w:eastAsia="仿宋" w:hAnsi="仿宋"/>
          <w:bCs/>
          <w:sz w:val="32"/>
          <w:szCs w:val="32"/>
        </w:rPr>
        <w:t>0</w:t>
      </w:r>
      <w:r>
        <w:rPr>
          <w:rStyle w:val="aa"/>
          <w:rFonts w:ascii="仿宋" w:eastAsia="仿宋" w:hAnsi="仿宋"/>
          <w:b w:val="0"/>
          <w:bCs/>
          <w:sz w:val="32"/>
          <w:szCs w:val="32"/>
        </w:rPr>
        <w:t>%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全年安排因公出国（境）团组</w:t>
      </w:r>
      <w:r>
        <w:rPr>
          <w:rFonts w:ascii="仿宋_GB2312" w:eastAsia="仿宋_GB2312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次，出国（境）</w:t>
      </w:r>
      <w:r>
        <w:rPr>
          <w:rFonts w:ascii="仿宋_GB2312" w:eastAsia="仿宋_GB2312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人。因公出国（境）支出决算比</w:t>
      </w: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宋体" w:hAnsi="宋体" w:cs="宋体" w:hint="eastAsia"/>
          <w:sz w:val="32"/>
          <w:szCs w:val="32"/>
        </w:rPr>
        <w:t>无变化。</w:t>
      </w:r>
    </w:p>
    <w:p w:rsidR="00A8386E" w:rsidRDefault="00B54260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开支内容包括：无</w:t>
      </w:r>
    </w:p>
    <w:p w:rsidR="00A8386E" w:rsidRDefault="00B54260">
      <w:pPr>
        <w:spacing w:line="600" w:lineRule="exact"/>
        <w:ind w:firstLine="640"/>
        <w:rPr>
          <w:rFonts w:ascii="仿宋_GB2312" w:eastAsia="仿宋_GB2312"/>
          <w:b/>
          <w:color w:val="000000" w:themeColor="text1"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公务用车购置及运行维护费支出</w:t>
      </w:r>
      <w:r>
        <w:rPr>
          <w:rFonts w:ascii="仿宋_GB2312" w:eastAsia="仿宋_GB2312" w:hint="eastAsia"/>
          <w:b/>
          <w:sz w:val="32"/>
          <w:szCs w:val="32"/>
        </w:rPr>
        <w:t>0.97</w:t>
      </w:r>
      <w:r>
        <w:rPr>
          <w:rFonts w:ascii="仿宋_GB2312" w:eastAsia="仿宋_GB2312" w:hint="eastAsia"/>
          <w:sz w:val="32"/>
          <w:szCs w:val="32"/>
        </w:rPr>
        <w:t>万元</w:t>
      </w:r>
      <w:r>
        <w:rPr>
          <w:rFonts w:ascii="仿宋_GB2312" w:eastAsia="仿宋_GB2312" w:hint="eastAsia"/>
          <w:sz w:val="32"/>
          <w:szCs w:val="32"/>
        </w:rPr>
        <w:t>,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完成预算</w:t>
      </w:r>
      <w:r>
        <w:rPr>
          <w:rStyle w:val="aa"/>
          <w:rFonts w:ascii="仿宋" w:eastAsia="仿宋" w:hAnsi="仿宋"/>
          <w:bCs/>
          <w:sz w:val="32"/>
          <w:szCs w:val="32"/>
        </w:rPr>
        <w:t>100</w:t>
      </w:r>
      <w:r>
        <w:rPr>
          <w:rStyle w:val="aa"/>
          <w:rFonts w:ascii="仿宋" w:eastAsia="仿宋" w:hAnsi="仿宋"/>
          <w:b w:val="0"/>
          <w:bCs/>
          <w:sz w:val="32"/>
          <w:szCs w:val="32"/>
        </w:rPr>
        <w:t>%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公务用车购置及运行维护费支出决算比</w:t>
      </w: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年度减少</w:t>
      </w:r>
      <w:r>
        <w:rPr>
          <w:rFonts w:ascii="仿宋_GB2312" w:eastAsia="仿宋_GB2312" w:hint="eastAsia"/>
          <w:sz w:val="32"/>
          <w:szCs w:val="32"/>
        </w:rPr>
        <w:t>0.63</w:t>
      </w:r>
      <w:r>
        <w:rPr>
          <w:rFonts w:ascii="仿宋_GB2312" w:eastAsia="仿宋_GB2312" w:hint="eastAsia"/>
          <w:sz w:val="32"/>
          <w:szCs w:val="32"/>
        </w:rPr>
        <w:t>万元，下降</w:t>
      </w:r>
      <w:r>
        <w:rPr>
          <w:rFonts w:ascii="仿宋_GB2312" w:eastAsia="仿宋_GB2312" w:hint="eastAsia"/>
          <w:sz w:val="32"/>
          <w:szCs w:val="32"/>
        </w:rPr>
        <w:t>60.52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。主要原因</w:t>
      </w:r>
      <w:r>
        <w:rPr>
          <w:rFonts w:ascii="仿宋" w:eastAsia="仿宋" w:hAnsi="仿宋" w:hint="eastAsia"/>
          <w:sz w:val="32"/>
          <w:szCs w:val="32"/>
        </w:rPr>
        <w:t>是坚持从严从简，厉行节俭，降低公务用车运行维护费用，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较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202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5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年决算相比有所下降。</w:t>
      </w:r>
    </w:p>
    <w:p w:rsidR="00A8386E" w:rsidRDefault="00B54260">
      <w:pPr>
        <w:spacing w:line="600" w:lineRule="exact"/>
        <w:ind w:firstLineChars="200"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其中：</w:t>
      </w:r>
      <w:r>
        <w:rPr>
          <w:rFonts w:ascii="仿宋_GB2312" w:eastAsia="仿宋_GB2312" w:hint="eastAsia"/>
          <w:b/>
          <w:sz w:val="32"/>
          <w:szCs w:val="32"/>
        </w:rPr>
        <w:t>公务用车购置支出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万元。全年按规定更新购置公务用车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辆，其中：轿车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辆、金额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万元，越野车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辆、金额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万元，载客汽车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辆、金额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万元。截至</w:t>
      </w: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日，单位共有公务用车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辆，其中：轿车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辆。</w:t>
      </w:r>
    </w:p>
    <w:p w:rsidR="00A8386E" w:rsidRDefault="00B54260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lastRenderedPageBreak/>
        <w:t>公务用车运行维护费支出</w:t>
      </w:r>
      <w:r>
        <w:rPr>
          <w:rFonts w:ascii="仿宋_GB2312" w:eastAsia="仿宋_GB2312" w:hint="eastAsia"/>
          <w:b/>
          <w:sz w:val="32"/>
          <w:szCs w:val="32"/>
        </w:rPr>
        <w:t>0.97</w:t>
      </w:r>
      <w:r>
        <w:rPr>
          <w:rFonts w:ascii="仿宋_GB2312" w:eastAsia="仿宋_GB2312" w:hint="eastAsia"/>
          <w:sz w:val="32"/>
          <w:szCs w:val="32"/>
        </w:rPr>
        <w:t>万元。主要用于：机构编制调研下乡、出差等工作所需的公务用车燃料费、维修费、过路过桥费、保险费等支出。</w:t>
      </w:r>
    </w:p>
    <w:p w:rsidR="00A8386E" w:rsidRDefault="00B54260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公务接待费支出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万元，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完成预算</w:t>
      </w:r>
      <w:r>
        <w:rPr>
          <w:rStyle w:val="aa"/>
          <w:rFonts w:ascii="仿宋" w:eastAsia="仿宋" w:hAnsi="仿宋"/>
          <w:b w:val="0"/>
          <w:bCs/>
          <w:sz w:val="32"/>
          <w:szCs w:val="32"/>
        </w:rPr>
        <w:t>0%</w:t>
      </w:r>
      <w:r>
        <w:rPr>
          <w:rStyle w:val="aa"/>
          <w:rFonts w:ascii="仿宋" w:eastAsia="仿宋" w:hAnsi="仿宋" w:hint="eastAsia"/>
          <w:b w:val="0"/>
          <w:bCs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公务接待费支出决算比</w:t>
      </w: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年度减少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万元，下降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。公务接待费较</w:t>
      </w: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年无变化。</w:t>
      </w:r>
    </w:p>
    <w:p w:rsidR="00A8386E" w:rsidRDefault="00B54260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国内公务接待支出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万元，较</w:t>
      </w: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年决算相比无变化。</w:t>
      </w:r>
    </w:p>
    <w:p w:rsidR="00A8386E" w:rsidRDefault="00B54260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外事接待支出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万元，较</w:t>
      </w: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年决算相比无变化。</w:t>
      </w:r>
    </w:p>
    <w:p w:rsidR="00A8386E" w:rsidRDefault="00B54260">
      <w:pPr>
        <w:spacing w:line="600" w:lineRule="exact"/>
        <w:ind w:firstLineChars="200" w:firstLine="640"/>
        <w:outlineLvl w:val="1"/>
        <w:rPr>
          <w:rStyle w:val="2Char"/>
          <w:rFonts w:ascii="黑体" w:eastAsia="黑体" w:hAnsi="黑体"/>
        </w:rPr>
      </w:pPr>
      <w:r>
        <w:rPr>
          <w:rFonts w:ascii="黑体" w:eastAsia="黑体" w:hint="eastAsia"/>
          <w:sz w:val="32"/>
          <w:szCs w:val="32"/>
        </w:rPr>
        <w:t>八、</w:t>
      </w:r>
      <w:r>
        <w:rPr>
          <w:rStyle w:val="2Char"/>
          <w:rFonts w:ascii="黑体" w:eastAsia="黑体" w:hAnsi="黑体" w:hint="eastAsia"/>
          <w:b w:val="0"/>
        </w:rPr>
        <w:t>政府性基金预算支出决算情况说明</w:t>
      </w:r>
      <w:bookmarkEnd w:id="41"/>
      <w:bookmarkEnd w:id="42"/>
    </w:p>
    <w:p w:rsidR="00A8386E" w:rsidRDefault="00B54260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年度政府性基金预算财政拨款支出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万元，</w:t>
      </w:r>
      <w:r>
        <w:rPr>
          <w:rFonts w:ascii="仿宋_GB2312" w:eastAsia="仿宋_GB2312" w:hAnsi="仿宋_GB2312" w:cs="仿宋_GB2312" w:hint="eastAsia"/>
          <w:sz w:val="32"/>
          <w:szCs w:val="32"/>
        </w:rPr>
        <w:t>与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年相比无变化。</w:t>
      </w:r>
    </w:p>
    <w:p w:rsidR="00A8386E" w:rsidRDefault="00B54260">
      <w:pPr>
        <w:numPr>
          <w:ilvl w:val="0"/>
          <w:numId w:val="4"/>
        </w:numPr>
        <w:spacing w:line="600" w:lineRule="exact"/>
        <w:ind w:firstLine="640"/>
        <w:outlineLvl w:val="1"/>
        <w:rPr>
          <w:rStyle w:val="2Char"/>
          <w:rFonts w:ascii="黑体" w:eastAsia="黑体" w:hAnsi="黑体"/>
          <w:b w:val="0"/>
        </w:rPr>
      </w:pPr>
      <w:bookmarkStart w:id="43" w:name="_Toc15396611"/>
      <w:bookmarkStart w:id="44" w:name="_Toc15377219"/>
      <w:r>
        <w:rPr>
          <w:rStyle w:val="2Char"/>
          <w:rFonts w:ascii="黑体" w:eastAsia="黑体" w:hAnsi="黑体" w:hint="eastAsia"/>
          <w:b w:val="0"/>
        </w:rPr>
        <w:t>国有资本经营预算支出决算情况说明</w:t>
      </w:r>
      <w:bookmarkEnd w:id="43"/>
      <w:bookmarkEnd w:id="44"/>
    </w:p>
    <w:p w:rsidR="00A8386E" w:rsidRDefault="00B54260">
      <w:pPr>
        <w:spacing w:line="600" w:lineRule="exact"/>
        <w:ind w:firstLine="640"/>
        <w:rPr>
          <w:rFonts w:ascii="微软雅黑" w:eastAsia="微软雅黑" w:hAnsi="微软雅黑" w:cs="微软雅黑"/>
          <w:sz w:val="44"/>
          <w:szCs w:val="44"/>
        </w:rPr>
      </w:pP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年度国有资本经营预算财政拨款支出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万元。</w:t>
      </w:r>
      <w:r>
        <w:rPr>
          <w:rFonts w:ascii="仿宋_GB2312" w:eastAsia="仿宋_GB2312" w:hAnsi="仿宋_GB2312" w:cs="仿宋_GB2312" w:hint="eastAsia"/>
          <w:sz w:val="32"/>
          <w:szCs w:val="32"/>
        </w:rPr>
        <w:t>与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年相比无变化。</w:t>
      </w:r>
    </w:p>
    <w:p w:rsidR="00A8386E" w:rsidRDefault="00B54260">
      <w:pPr>
        <w:numPr>
          <w:ilvl w:val="0"/>
          <w:numId w:val="4"/>
        </w:numPr>
        <w:spacing w:line="600" w:lineRule="exact"/>
        <w:ind w:firstLine="640"/>
        <w:outlineLvl w:val="1"/>
        <w:rPr>
          <w:rStyle w:val="2Char"/>
          <w:rFonts w:ascii="黑体" w:eastAsia="黑体" w:hAnsi="黑体"/>
          <w:b w:val="0"/>
        </w:rPr>
      </w:pPr>
      <w:bookmarkStart w:id="45" w:name="_Toc15396612"/>
      <w:bookmarkStart w:id="46" w:name="_Toc15377221"/>
      <w:r>
        <w:rPr>
          <w:rStyle w:val="2Char"/>
          <w:rFonts w:ascii="黑体" w:eastAsia="黑体" w:hAnsi="黑体" w:hint="eastAsia"/>
          <w:b w:val="0"/>
        </w:rPr>
        <w:t>其他重要事项的情况说明</w:t>
      </w:r>
      <w:bookmarkEnd w:id="45"/>
      <w:bookmarkEnd w:id="46"/>
    </w:p>
    <w:p w:rsidR="00A8386E" w:rsidRDefault="00B54260">
      <w:pPr>
        <w:spacing w:line="600" w:lineRule="exact"/>
        <w:ind w:firstLineChars="200" w:firstLine="643"/>
        <w:outlineLvl w:val="2"/>
        <w:rPr>
          <w:rFonts w:ascii="仿宋" w:eastAsia="仿宋" w:hAnsi="仿宋"/>
          <w:sz w:val="32"/>
          <w:szCs w:val="32"/>
        </w:rPr>
      </w:pPr>
      <w:bookmarkStart w:id="47" w:name="_Toc15377222"/>
      <w:r>
        <w:rPr>
          <w:rFonts w:ascii="仿宋" w:eastAsia="仿宋" w:hAnsi="仿宋" w:hint="eastAsia"/>
          <w:b/>
          <w:sz w:val="32"/>
          <w:szCs w:val="32"/>
        </w:rPr>
        <w:t>（一）机关运行经费支出情况</w:t>
      </w:r>
      <w:bookmarkEnd w:id="47"/>
    </w:p>
    <w:p w:rsidR="00A8386E" w:rsidRDefault="00B54260">
      <w:pPr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年度，</w:t>
      </w:r>
      <w:r>
        <w:rPr>
          <w:rFonts w:ascii="仿宋_GB2312" w:eastAsia="仿宋_GB2312"/>
          <w:b/>
          <w:sz w:val="32"/>
          <w:szCs w:val="32"/>
        </w:rPr>
        <w:t>中共阿坝州若尔盖县机构编制委员会办公室（本级）</w:t>
      </w:r>
      <w:r>
        <w:rPr>
          <w:rFonts w:ascii="仿宋_GB2312" w:eastAsia="仿宋_GB2312" w:hint="eastAsia"/>
          <w:sz w:val="32"/>
          <w:szCs w:val="32"/>
        </w:rPr>
        <w:t>机关运行经费支出</w:t>
      </w:r>
      <w:r>
        <w:rPr>
          <w:rFonts w:ascii="仿宋_GB2312" w:eastAsia="仿宋_GB2312" w:hint="eastAsia"/>
          <w:sz w:val="32"/>
          <w:szCs w:val="32"/>
        </w:rPr>
        <w:t>20.80</w:t>
      </w:r>
      <w:r>
        <w:rPr>
          <w:rFonts w:ascii="仿宋_GB2312" w:eastAsia="仿宋_GB2312" w:hint="eastAsia"/>
          <w:sz w:val="32"/>
          <w:szCs w:val="32"/>
        </w:rPr>
        <w:t>万元，比</w:t>
      </w: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年度增加</w:t>
      </w:r>
      <w:r>
        <w:rPr>
          <w:rFonts w:ascii="仿宋_GB2312" w:eastAsia="仿宋_GB2312" w:hint="eastAsia"/>
          <w:sz w:val="32"/>
          <w:szCs w:val="32"/>
        </w:rPr>
        <w:t>8.36</w:t>
      </w:r>
      <w:r>
        <w:rPr>
          <w:rFonts w:ascii="仿宋_GB2312" w:eastAsia="仿宋_GB2312" w:hint="eastAsia"/>
          <w:sz w:val="32"/>
          <w:szCs w:val="32"/>
        </w:rPr>
        <w:t>万元，</w:t>
      </w:r>
      <w:r>
        <w:rPr>
          <w:rFonts w:ascii="仿宋_GB2312" w:eastAsia="仿宋_GB2312" w:hint="eastAsia"/>
          <w:sz w:val="32"/>
          <w:szCs w:val="32"/>
        </w:rPr>
        <w:t>终</w:t>
      </w:r>
      <w:r>
        <w:rPr>
          <w:rFonts w:ascii="仿宋_GB2312" w:eastAsia="仿宋_GB2312" w:hint="eastAsia"/>
          <w:sz w:val="32"/>
          <w:szCs w:val="32"/>
        </w:rPr>
        <w:t>上升</w:t>
      </w:r>
      <w:r>
        <w:rPr>
          <w:rFonts w:ascii="仿宋_GB2312" w:eastAsia="仿宋_GB2312" w:hint="eastAsia"/>
          <w:sz w:val="32"/>
          <w:szCs w:val="32"/>
        </w:rPr>
        <w:t>5.9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。主要原因是新增导致机关运行费增加，所以较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年相比有所增加。</w:t>
      </w:r>
    </w:p>
    <w:p w:rsidR="00A8386E" w:rsidRDefault="00B54260">
      <w:pPr>
        <w:autoSpaceDE w:val="0"/>
        <w:autoSpaceDN w:val="0"/>
        <w:adjustRightInd w:val="0"/>
        <w:spacing w:line="600" w:lineRule="exact"/>
        <w:ind w:firstLineChars="200" w:firstLine="643"/>
        <w:jc w:val="left"/>
        <w:outlineLvl w:val="2"/>
        <w:rPr>
          <w:rFonts w:ascii="仿宋" w:eastAsia="仿宋" w:hAnsi="仿宋"/>
          <w:b/>
          <w:sz w:val="32"/>
          <w:szCs w:val="32"/>
        </w:rPr>
      </w:pPr>
      <w:bookmarkStart w:id="48" w:name="_Toc15377223"/>
      <w:r>
        <w:rPr>
          <w:rFonts w:ascii="仿宋" w:eastAsia="仿宋" w:hAnsi="仿宋" w:hint="eastAsia"/>
          <w:b/>
          <w:sz w:val="32"/>
          <w:szCs w:val="32"/>
        </w:rPr>
        <w:t>（二）政府采购支出情况</w:t>
      </w:r>
      <w:bookmarkEnd w:id="48"/>
    </w:p>
    <w:p w:rsidR="00A8386E" w:rsidRDefault="00B54260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年度，</w:t>
      </w:r>
      <w:r>
        <w:rPr>
          <w:rFonts w:ascii="仿宋_GB2312" w:eastAsia="仿宋_GB2312"/>
          <w:b/>
          <w:sz w:val="32"/>
          <w:szCs w:val="32"/>
        </w:rPr>
        <w:t>中共阿坝州若尔盖县机构编制委员会办公室（本级）</w:t>
      </w:r>
      <w:r>
        <w:rPr>
          <w:rFonts w:ascii="仿宋_GB2312" w:eastAsia="仿宋_GB2312" w:hint="eastAsia"/>
          <w:sz w:val="32"/>
          <w:szCs w:val="32"/>
        </w:rPr>
        <w:t>政府采购支出总额</w:t>
      </w: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45</w:t>
      </w:r>
      <w:r>
        <w:rPr>
          <w:rFonts w:ascii="仿宋_GB2312" w:eastAsia="仿宋_GB2312" w:hint="eastAsia"/>
          <w:sz w:val="32"/>
          <w:szCs w:val="32"/>
        </w:rPr>
        <w:t>万元，其中：政府采购货</w:t>
      </w:r>
      <w:r>
        <w:rPr>
          <w:rFonts w:ascii="仿宋_GB2312" w:eastAsia="仿宋_GB2312" w:hint="eastAsia"/>
          <w:sz w:val="32"/>
          <w:szCs w:val="32"/>
        </w:rPr>
        <w:lastRenderedPageBreak/>
        <w:t>物支出</w:t>
      </w: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45</w:t>
      </w:r>
      <w:r>
        <w:rPr>
          <w:rFonts w:ascii="仿宋_GB2312" w:eastAsia="仿宋_GB2312" w:hint="eastAsia"/>
          <w:sz w:val="32"/>
          <w:szCs w:val="32"/>
        </w:rPr>
        <w:t>万元、政府采购工程支出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万元、政府采购服务支出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万元。授予中小企业合同金额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万元，占政府采购支出总额的</w:t>
      </w:r>
      <w:r>
        <w:rPr>
          <w:rFonts w:ascii="仿宋_GB2312" w:eastAsia="仿宋_GB2312"/>
          <w:sz w:val="32"/>
          <w:szCs w:val="32"/>
        </w:rPr>
        <w:t>0%</w:t>
      </w:r>
      <w:r>
        <w:rPr>
          <w:rFonts w:ascii="仿宋_GB2312" w:eastAsia="仿宋_GB2312" w:hint="eastAsia"/>
          <w:sz w:val="32"/>
          <w:szCs w:val="32"/>
        </w:rPr>
        <w:t>，其中：授予小微企业合同金额</w:t>
      </w:r>
      <w:r>
        <w:rPr>
          <w:rFonts w:ascii="仿宋" w:eastAsia="仿宋" w:hAnsi="仿宋"/>
          <w:b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万元，占政府采购支出总额的</w:t>
      </w:r>
      <w:r>
        <w:rPr>
          <w:rFonts w:ascii="仿宋_GB2312" w:eastAsia="仿宋_GB2312"/>
          <w:b/>
          <w:sz w:val="32"/>
          <w:szCs w:val="32"/>
        </w:rPr>
        <w:t>0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A8386E" w:rsidRDefault="00B54260">
      <w:pPr>
        <w:autoSpaceDE w:val="0"/>
        <w:autoSpaceDN w:val="0"/>
        <w:adjustRightInd w:val="0"/>
        <w:spacing w:line="600" w:lineRule="exact"/>
        <w:ind w:firstLineChars="200" w:firstLine="643"/>
        <w:jc w:val="left"/>
        <w:outlineLvl w:val="2"/>
        <w:rPr>
          <w:rFonts w:ascii="仿宋" w:eastAsia="仿宋" w:hAnsi="仿宋"/>
          <w:b/>
          <w:sz w:val="32"/>
          <w:szCs w:val="32"/>
        </w:rPr>
      </w:pPr>
      <w:bookmarkStart w:id="49" w:name="_Toc15377224"/>
      <w:r>
        <w:rPr>
          <w:rFonts w:ascii="仿宋" w:eastAsia="仿宋" w:hAnsi="仿宋" w:hint="eastAsia"/>
          <w:b/>
          <w:sz w:val="32"/>
          <w:szCs w:val="32"/>
        </w:rPr>
        <w:t>（三）国有资产占有使用情况</w:t>
      </w:r>
      <w:bookmarkEnd w:id="49"/>
    </w:p>
    <w:p w:rsidR="00A8386E" w:rsidRDefault="00B54260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截至</w:t>
      </w:r>
      <w:r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日，</w:t>
      </w:r>
      <w:r>
        <w:rPr>
          <w:rFonts w:ascii="仿宋_GB2312" w:eastAsia="仿宋_GB2312"/>
          <w:b/>
          <w:sz w:val="32"/>
          <w:szCs w:val="32"/>
        </w:rPr>
        <w:t>中共阿坝州若尔盖县机构编制委员会办公室（本级）</w:t>
      </w:r>
      <w:r>
        <w:rPr>
          <w:rFonts w:ascii="仿宋_GB2312" w:eastAsia="仿宋_GB2312" w:hint="eastAsia"/>
          <w:sz w:val="32"/>
          <w:szCs w:val="32"/>
        </w:rPr>
        <w:t>共有车辆</w:t>
      </w:r>
      <w:r>
        <w:rPr>
          <w:rFonts w:ascii="仿宋_GB2312" w:eastAsia="仿宋_GB2312" w:hint="eastAsia"/>
          <w:b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辆，其中：其他用车主要是用于单位出差下乡开展工作。</w:t>
      </w:r>
    </w:p>
    <w:p w:rsidR="00A8386E" w:rsidRDefault="00B54260">
      <w:pPr>
        <w:autoSpaceDE w:val="0"/>
        <w:autoSpaceDN w:val="0"/>
        <w:adjustRightInd w:val="0"/>
        <w:spacing w:line="600" w:lineRule="exact"/>
        <w:ind w:firstLineChars="200" w:firstLine="643"/>
        <w:jc w:val="left"/>
        <w:outlineLvl w:val="2"/>
        <w:rPr>
          <w:rFonts w:ascii="仿宋" w:eastAsia="仿宋"/>
          <w:b/>
          <w:sz w:val="32"/>
          <w:szCs w:val="32"/>
        </w:rPr>
      </w:pPr>
      <w:bookmarkStart w:id="50" w:name="_Toc346038659"/>
      <w:r>
        <w:rPr>
          <w:rFonts w:ascii="仿宋" w:eastAsia="仿宋" w:hint="eastAsia"/>
          <w:b/>
          <w:sz w:val="32"/>
          <w:szCs w:val="32"/>
        </w:rPr>
        <w:t>（四）预算绩效管理情况</w:t>
      </w:r>
      <w:bookmarkEnd w:id="50"/>
    </w:p>
    <w:p w:rsidR="00A8386E" w:rsidRDefault="00B54260">
      <w:pPr>
        <w:pStyle w:val="a0"/>
        <w:spacing w:beforeLines="0"/>
        <w:ind w:firstLineChars="200" w:firstLine="640"/>
        <w:rPr>
          <w:rFonts w:cs="仿宋_GB2312"/>
          <w:sz w:val="32"/>
          <w:szCs w:val="32"/>
        </w:rPr>
      </w:pPr>
      <w:r>
        <w:rPr>
          <w:rFonts w:cs="仿宋_GB2312" w:hint="eastAsia"/>
          <w:sz w:val="32"/>
          <w:szCs w:val="32"/>
        </w:rPr>
        <w:t>根据预算绩效管理要求，本单位在</w:t>
      </w:r>
      <w:r>
        <w:rPr>
          <w:rFonts w:cs="仿宋_GB2312" w:hint="eastAsia"/>
          <w:sz w:val="32"/>
          <w:szCs w:val="32"/>
        </w:rPr>
        <w:t>202</w:t>
      </w:r>
      <w:r>
        <w:rPr>
          <w:rFonts w:cs="仿宋_GB2312" w:hint="eastAsia"/>
          <w:sz w:val="32"/>
          <w:szCs w:val="32"/>
        </w:rPr>
        <w:t>5</w:t>
      </w:r>
      <w:r>
        <w:rPr>
          <w:rFonts w:cs="仿宋_GB2312" w:hint="eastAsia"/>
          <w:sz w:val="32"/>
          <w:szCs w:val="32"/>
        </w:rPr>
        <w:t>年度预算编制阶段，组织对</w:t>
      </w:r>
      <w:r>
        <w:rPr>
          <w:rFonts w:cs="仿宋_GB2312" w:hint="eastAsia"/>
          <w:sz w:val="32"/>
          <w:szCs w:val="32"/>
        </w:rPr>
        <w:t>0</w:t>
      </w:r>
      <w:r>
        <w:rPr>
          <w:rFonts w:cs="仿宋_GB2312" w:hint="eastAsia"/>
          <w:sz w:val="32"/>
          <w:szCs w:val="32"/>
        </w:rPr>
        <w:t>项目（项目名称）等</w:t>
      </w:r>
      <w:r>
        <w:rPr>
          <w:rFonts w:cs="仿宋_GB2312" w:hint="eastAsia"/>
          <w:sz w:val="32"/>
          <w:szCs w:val="32"/>
        </w:rPr>
        <w:t>0</w:t>
      </w:r>
      <w:r>
        <w:rPr>
          <w:rFonts w:cs="仿宋_GB2312" w:hint="eastAsia"/>
          <w:sz w:val="32"/>
          <w:szCs w:val="32"/>
        </w:rPr>
        <w:t>个项目开展了预算事前绩效评估，对</w:t>
      </w:r>
      <w:r>
        <w:rPr>
          <w:rFonts w:cs="仿宋_GB2312" w:hint="eastAsia"/>
          <w:sz w:val="32"/>
          <w:szCs w:val="32"/>
        </w:rPr>
        <w:t>0</w:t>
      </w:r>
      <w:r>
        <w:rPr>
          <w:rFonts w:cs="仿宋_GB2312" w:hint="eastAsia"/>
          <w:sz w:val="32"/>
          <w:szCs w:val="32"/>
        </w:rPr>
        <w:t>个项目编制了绩效目标，预算执行过程中，选取</w:t>
      </w:r>
      <w:r>
        <w:rPr>
          <w:rFonts w:cs="仿宋_GB2312" w:hint="eastAsia"/>
          <w:sz w:val="32"/>
          <w:szCs w:val="32"/>
        </w:rPr>
        <w:t>0</w:t>
      </w:r>
      <w:r>
        <w:rPr>
          <w:rFonts w:cs="仿宋_GB2312" w:hint="eastAsia"/>
          <w:sz w:val="32"/>
          <w:szCs w:val="32"/>
        </w:rPr>
        <w:t>个项目开展绩效监控，年终执行完毕后，对</w:t>
      </w:r>
      <w:r>
        <w:rPr>
          <w:rFonts w:cs="仿宋_GB2312" w:hint="eastAsia"/>
          <w:sz w:val="32"/>
          <w:szCs w:val="32"/>
        </w:rPr>
        <w:t>0</w:t>
      </w:r>
      <w:r>
        <w:rPr>
          <w:rFonts w:cs="仿宋_GB2312" w:hint="eastAsia"/>
          <w:sz w:val="32"/>
          <w:szCs w:val="32"/>
        </w:rPr>
        <w:t>个项目开展了绩效自评，</w:t>
      </w:r>
      <w:r>
        <w:rPr>
          <w:rFonts w:cs="仿宋_GB2312" w:hint="eastAsia"/>
          <w:sz w:val="32"/>
          <w:szCs w:val="32"/>
        </w:rPr>
        <w:t>2024</w:t>
      </w:r>
      <w:r>
        <w:rPr>
          <w:rFonts w:cs="仿宋_GB2312" w:hint="eastAsia"/>
          <w:sz w:val="32"/>
          <w:szCs w:val="32"/>
        </w:rPr>
        <w:t>年特定目标类部门预算项目绩效目标自评表详见第四部分附件。</w:t>
      </w:r>
    </w:p>
    <w:p w:rsidR="00A8386E" w:rsidRDefault="00B54260">
      <w:pPr>
        <w:pStyle w:val="a0"/>
        <w:spacing w:beforeLines="0"/>
        <w:ind w:firstLineChars="200" w:firstLine="643"/>
        <w:rPr>
          <w:rFonts w:ascii="仿宋" w:eastAsia="仿宋"/>
          <w:b/>
          <w:sz w:val="32"/>
          <w:szCs w:val="32"/>
        </w:rPr>
      </w:pPr>
      <w:r>
        <w:rPr>
          <w:rFonts w:ascii="仿宋" w:eastAsia="仿宋" w:hint="eastAsia"/>
          <w:b/>
          <w:sz w:val="32"/>
          <w:szCs w:val="32"/>
        </w:rPr>
        <w:t>（五）绩效管理情况</w:t>
      </w:r>
    </w:p>
    <w:p w:rsidR="00A8386E" w:rsidRDefault="00B54260">
      <w:pPr>
        <w:pStyle w:val="a9"/>
        <w:shd w:val="clear" w:color="auto" w:fill="FFFFFF"/>
        <w:spacing w:before="0" w:beforeAutospacing="0" w:after="0" w:afterAutospacing="0" w:line="480" w:lineRule="auto"/>
        <w:ind w:firstLineChars="200" w:firstLine="640"/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</w:rPr>
        <w:t>根据预算绩效管理要求，县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</w:rPr>
        <w:t>委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</w:rPr>
        <w:t>编办年初预算编制阶段，按照经费管理制度，加强对我办预算执行管理，及时跟进各项资金使用情况，每季度通报资金执行进度。对于执行进度缓慢或无法执行的预算按规定程序及时进行调整。完善资金使用审批手续，坚持先审批，后使用，确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</w:rPr>
        <w:t>保资金专款专用。</w:t>
      </w:r>
    </w:p>
    <w:p w:rsidR="00A8386E" w:rsidRDefault="00A8386E">
      <w:pPr>
        <w:pStyle w:val="a4"/>
      </w:pPr>
    </w:p>
    <w:p w:rsidR="00A8386E" w:rsidRDefault="00A8386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A8386E" w:rsidRDefault="00A8386E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A8386E" w:rsidRDefault="00B54260">
      <w:pPr>
        <w:numPr>
          <w:ilvl w:val="0"/>
          <w:numId w:val="5"/>
        </w:numPr>
        <w:spacing w:line="600" w:lineRule="exact"/>
        <w:ind w:firstLineChars="150" w:firstLine="660"/>
        <w:jc w:val="center"/>
        <w:outlineLvl w:val="0"/>
        <w:rPr>
          <w:rStyle w:val="1Char"/>
          <w:rFonts w:ascii="黑体" w:eastAsia="黑体"/>
          <w:b w:val="0"/>
        </w:rPr>
      </w:pPr>
      <w:bookmarkStart w:id="51" w:name="_Toc346038874"/>
      <w:bookmarkStart w:id="52" w:name="_Toc15396613"/>
      <w:bookmarkStart w:id="53" w:name="_Toc15377225"/>
      <w:bookmarkStart w:id="54" w:name="_Toc15396614"/>
      <w:bookmarkStart w:id="55" w:name="_Toc15377226"/>
      <w:r>
        <w:rPr>
          <w:rFonts w:ascii="黑体" w:eastAsia="黑体" w:hint="eastAsia"/>
          <w:sz w:val="44"/>
          <w:szCs w:val="44"/>
        </w:rPr>
        <w:t>名</w:t>
      </w:r>
      <w:r>
        <w:rPr>
          <w:rStyle w:val="1Char"/>
          <w:rFonts w:ascii="黑体" w:eastAsia="黑体" w:hint="eastAsia"/>
        </w:rPr>
        <w:t>词解释</w:t>
      </w:r>
      <w:bookmarkEnd w:id="51"/>
      <w:bookmarkEnd w:id="52"/>
      <w:bookmarkEnd w:id="53"/>
    </w:p>
    <w:p w:rsidR="00A8386E" w:rsidRDefault="00A8386E">
      <w:pPr>
        <w:spacing w:line="600" w:lineRule="exact"/>
        <w:jc w:val="left"/>
        <w:rPr>
          <w:rFonts w:ascii="宋体"/>
          <w:b/>
          <w:sz w:val="44"/>
          <w:szCs w:val="44"/>
        </w:rPr>
      </w:pPr>
    </w:p>
    <w:p w:rsidR="00A8386E" w:rsidRDefault="00B54260">
      <w:pPr>
        <w:pStyle w:val="Default"/>
        <w:spacing w:line="560" w:lineRule="exact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1.</w:t>
      </w:r>
      <w:r>
        <w:rPr>
          <w:rFonts w:ascii="仿宋_GB2312" w:eastAsia="仿宋_GB2312" w:hint="eastAsia"/>
          <w:color w:val="auto"/>
          <w:sz w:val="32"/>
          <w:szCs w:val="32"/>
        </w:rPr>
        <w:t>财政拨款收入：指单位从同级财政部门取得的财政预算资金。</w:t>
      </w:r>
    </w:p>
    <w:p w:rsidR="00A8386E" w:rsidRDefault="00B54260">
      <w:pPr>
        <w:pStyle w:val="Default"/>
        <w:spacing w:line="560" w:lineRule="exact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 w:hint="eastAsia"/>
          <w:color w:val="auto"/>
          <w:sz w:val="32"/>
          <w:szCs w:val="32"/>
        </w:rPr>
        <w:t>2</w:t>
      </w:r>
      <w:r>
        <w:rPr>
          <w:rFonts w:ascii="仿宋_GB2312" w:eastAsia="仿宋_GB2312"/>
          <w:color w:val="auto"/>
          <w:sz w:val="32"/>
          <w:szCs w:val="32"/>
        </w:rPr>
        <w:t>.</w:t>
      </w:r>
      <w:r>
        <w:rPr>
          <w:rFonts w:ascii="仿宋_GB2312" w:eastAsia="仿宋_GB2312" w:hint="eastAsia"/>
          <w:color w:val="auto"/>
          <w:sz w:val="32"/>
          <w:szCs w:val="32"/>
        </w:rPr>
        <w:t>年初结转和结余：指以前年度尚未完成、结转到本年按有关规定继续使用的资金。</w:t>
      </w:r>
    </w:p>
    <w:p w:rsidR="00A8386E" w:rsidRDefault="00B54260">
      <w:pPr>
        <w:pStyle w:val="Default"/>
        <w:spacing w:line="560" w:lineRule="exact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 w:hint="eastAsia"/>
          <w:color w:val="auto"/>
          <w:sz w:val="32"/>
          <w:szCs w:val="32"/>
        </w:rPr>
        <w:t>3</w:t>
      </w:r>
      <w:r>
        <w:rPr>
          <w:rFonts w:ascii="仿宋_GB2312" w:eastAsia="仿宋_GB2312" w:hint="eastAsia"/>
          <w:color w:val="auto"/>
          <w:sz w:val="32"/>
          <w:szCs w:val="32"/>
        </w:rPr>
        <w:t>、年末结转和结余：指单位按有关规定结转到下年或以后年度继续使用的资金。</w:t>
      </w:r>
    </w:p>
    <w:p w:rsidR="00A8386E" w:rsidRDefault="00B5426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社会保障和就业（</w:t>
      </w:r>
      <w:r>
        <w:rPr>
          <w:rFonts w:ascii="仿宋_GB2312" w:eastAsia="仿宋_GB2312" w:hint="eastAsia"/>
          <w:sz w:val="32"/>
          <w:szCs w:val="32"/>
        </w:rPr>
        <w:t>208</w:t>
      </w:r>
      <w:r>
        <w:rPr>
          <w:rFonts w:ascii="仿宋_GB2312" w:eastAsia="仿宋_GB2312" w:hint="eastAsia"/>
          <w:sz w:val="32"/>
          <w:szCs w:val="32"/>
        </w:rPr>
        <w:t>）：指反映政府在社会保障与就业方面的支出，包括人力资源和社会保障管理事务、民政管理事务、补充全国社会保障基金、行政事业单位养老、企业改革补助、就业补助、抚恤、退役安置、社会福利、残疾人事业、红十字事业、最低生活保障、临时救助、特困人员救助供养、其他生活救助、财政对基本养老保险及其他社会保险基金的补助、退役军人管理事务、财政代缴社会保险费等支出。</w:t>
      </w:r>
    </w:p>
    <w:p w:rsidR="00A8386E" w:rsidRDefault="00B5426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医疗卫生与计划生育（</w:t>
      </w:r>
      <w:r>
        <w:rPr>
          <w:rFonts w:ascii="仿宋_GB2312" w:eastAsia="仿宋_GB2312" w:hint="eastAsia"/>
          <w:sz w:val="32"/>
          <w:szCs w:val="32"/>
        </w:rPr>
        <w:t>210</w:t>
      </w:r>
      <w:r>
        <w:rPr>
          <w:rFonts w:ascii="仿宋_GB2312" w:eastAsia="仿宋_GB2312" w:hint="eastAsia"/>
          <w:sz w:val="32"/>
          <w:szCs w:val="32"/>
        </w:rPr>
        <w:t>）：反映政府卫生健康方面的支出，包括卫生健康管理事务、公立医院、基层医疗卫生机构、公共卫生、中医药、计划生育事务</w:t>
      </w:r>
      <w:r>
        <w:rPr>
          <w:rFonts w:ascii="仿宋_GB2312" w:eastAsia="仿宋_GB2312" w:hint="eastAsia"/>
          <w:sz w:val="32"/>
          <w:szCs w:val="32"/>
        </w:rPr>
        <w:t>、行政事业单位医疗、财政对基本医疗保险基金的补助、医疗救助、优抚对象医疗、医疗保障管理事务、老龄卫生健康事务等支出。</w:t>
      </w:r>
    </w:p>
    <w:p w:rsidR="00A8386E" w:rsidRDefault="00B5426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资源勘探信息等（</w:t>
      </w:r>
      <w:r>
        <w:rPr>
          <w:rFonts w:ascii="仿宋_GB2312" w:eastAsia="仿宋_GB2312" w:hint="eastAsia"/>
          <w:sz w:val="32"/>
          <w:szCs w:val="32"/>
        </w:rPr>
        <w:t>215</w:t>
      </w:r>
      <w:r>
        <w:rPr>
          <w:rFonts w:ascii="仿宋_GB2312" w:eastAsia="仿宋_GB2312" w:hint="eastAsia"/>
          <w:sz w:val="32"/>
          <w:szCs w:val="32"/>
        </w:rPr>
        <w:t>）：指反映用于资源勘探、制造业、建筑业、工业信息等方面支出，包括资源勘探开发、制造业、建筑业、工业和信息产业监管、国有资产监管、支持中小企业发展和管理等支出。</w:t>
      </w:r>
    </w:p>
    <w:p w:rsidR="00A8386E" w:rsidRDefault="00B5426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住房保障（</w:t>
      </w:r>
      <w:r>
        <w:rPr>
          <w:rFonts w:ascii="仿宋_GB2312" w:eastAsia="仿宋_GB2312" w:hint="eastAsia"/>
          <w:sz w:val="32"/>
          <w:szCs w:val="32"/>
        </w:rPr>
        <w:t>221</w:t>
      </w:r>
      <w:r>
        <w:rPr>
          <w:rFonts w:ascii="仿宋_GB2312" w:eastAsia="仿宋_GB2312" w:hint="eastAsia"/>
          <w:sz w:val="32"/>
          <w:szCs w:val="32"/>
        </w:rPr>
        <w:t>）：指集中反映政府用于住房方面的支出，包括保障性安居工程、住房改革、城乡社区住宅等支出。。</w:t>
      </w:r>
    </w:p>
    <w:p w:rsidR="00A8386E" w:rsidRDefault="00B5426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基本支出：指为保障机构正常运转、完成日常工作任务而发生的人员支出和公用支出。</w:t>
      </w:r>
    </w:p>
    <w:p w:rsidR="00A8386E" w:rsidRDefault="00B5426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9.</w:t>
      </w:r>
      <w:r>
        <w:rPr>
          <w:rFonts w:ascii="仿宋_GB2312" w:eastAsia="仿宋_GB2312" w:hint="eastAsia"/>
          <w:sz w:val="32"/>
          <w:szCs w:val="32"/>
        </w:rPr>
        <w:t>项目支出：指在</w:t>
      </w:r>
      <w:r>
        <w:rPr>
          <w:rFonts w:ascii="仿宋_GB2312" w:eastAsia="仿宋_GB2312" w:hint="eastAsia"/>
          <w:sz w:val="32"/>
          <w:szCs w:val="32"/>
        </w:rPr>
        <w:t>基本支出之外为完成特定行政任务和事业发展目标所发生的支出。</w:t>
      </w:r>
    </w:p>
    <w:p w:rsidR="00A8386E" w:rsidRDefault="00B54260">
      <w:pPr>
        <w:pStyle w:val="Default"/>
        <w:spacing w:line="560" w:lineRule="exact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 w:hint="eastAsia"/>
          <w:color w:val="auto"/>
          <w:sz w:val="32"/>
          <w:szCs w:val="32"/>
        </w:rPr>
        <w:t>10.</w:t>
      </w:r>
      <w:r>
        <w:rPr>
          <w:rFonts w:ascii="仿宋_GB2312" w:eastAsia="仿宋_GB2312" w:hint="eastAsia"/>
          <w:color w:val="auto"/>
          <w:sz w:val="32"/>
          <w:szCs w:val="32"/>
        </w:rPr>
        <w:t>“三公”经费：指单位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等支出；公务接待费反映单位按规定开支的各类公务接待（含外宾接待）支出。</w:t>
      </w:r>
    </w:p>
    <w:p w:rsidR="00A8386E" w:rsidRDefault="00B54260">
      <w:pPr>
        <w:pStyle w:val="Default"/>
        <w:spacing w:line="560" w:lineRule="exact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 w:hint="eastAsia"/>
          <w:color w:val="auto"/>
          <w:sz w:val="32"/>
          <w:szCs w:val="32"/>
        </w:rPr>
        <w:t>11.</w:t>
      </w:r>
      <w:r>
        <w:rPr>
          <w:rFonts w:ascii="仿宋_GB2312" w:eastAsia="仿宋_GB2312" w:hint="eastAsia"/>
          <w:color w:val="auto"/>
          <w:sz w:val="32"/>
          <w:szCs w:val="32"/>
        </w:rPr>
        <w:t>机关运行经费：为保障行政单位（含参照公务员法管理的事业单位）</w:t>
      </w:r>
      <w:r>
        <w:rPr>
          <w:rFonts w:ascii="仿宋_GB2312" w:eastAsia="仿宋_GB2312" w:hint="eastAsia"/>
          <w:color w:val="auto"/>
          <w:sz w:val="32"/>
          <w:szCs w:val="32"/>
        </w:rPr>
        <w:t>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</w:t>
      </w:r>
      <w:r>
        <w:rPr>
          <w:rFonts w:ascii="仿宋_GB2312" w:eastAsia="仿宋_GB2312" w:hint="eastAsia"/>
          <w:color w:val="auto"/>
          <w:sz w:val="32"/>
          <w:szCs w:val="32"/>
        </w:rPr>
        <w:lastRenderedPageBreak/>
        <w:t>以及其他费用。</w:t>
      </w:r>
    </w:p>
    <w:p w:rsidR="00A8386E" w:rsidRDefault="00A8386E">
      <w:pPr>
        <w:pStyle w:val="Default"/>
        <w:spacing w:line="560" w:lineRule="exact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</w:p>
    <w:p w:rsidR="00A8386E" w:rsidRDefault="00A8386E">
      <w:pPr>
        <w:pStyle w:val="Default"/>
        <w:spacing w:line="560" w:lineRule="exact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</w:p>
    <w:p w:rsidR="00A8386E" w:rsidRDefault="00A8386E">
      <w:pPr>
        <w:pStyle w:val="Default"/>
        <w:spacing w:line="560" w:lineRule="exact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</w:p>
    <w:p w:rsidR="00A8386E" w:rsidRDefault="00B54260">
      <w:pPr>
        <w:spacing w:line="600" w:lineRule="exact"/>
        <w:jc w:val="center"/>
        <w:outlineLvl w:val="0"/>
        <w:rPr>
          <w:rStyle w:val="1Char"/>
          <w:rFonts w:ascii="黑体" w:eastAsia="黑体" w:hAnsi="黑体"/>
          <w:b w:val="0"/>
        </w:rPr>
      </w:pPr>
      <w:r>
        <w:rPr>
          <w:rFonts w:ascii="黑体" w:eastAsia="黑体" w:hAnsi="黑体" w:hint="eastAsia"/>
          <w:sz w:val="44"/>
          <w:szCs w:val="44"/>
        </w:rPr>
        <w:t>第</w:t>
      </w:r>
      <w:r>
        <w:rPr>
          <w:rStyle w:val="1Char"/>
          <w:rFonts w:ascii="黑体" w:eastAsia="黑体" w:hAnsi="黑体" w:hint="eastAsia"/>
          <w:b w:val="0"/>
        </w:rPr>
        <w:t>四部分</w:t>
      </w:r>
      <w:r>
        <w:rPr>
          <w:rStyle w:val="1Char"/>
          <w:rFonts w:ascii="黑体" w:eastAsia="黑体" w:hAnsi="黑体" w:hint="eastAsia"/>
          <w:b w:val="0"/>
        </w:rPr>
        <w:t xml:space="preserve"> </w:t>
      </w:r>
      <w:r>
        <w:rPr>
          <w:rStyle w:val="1Char"/>
          <w:rFonts w:ascii="黑体" w:eastAsia="黑体" w:hAnsi="黑体" w:hint="eastAsia"/>
          <w:b w:val="0"/>
        </w:rPr>
        <w:t>附件</w:t>
      </w:r>
      <w:bookmarkStart w:id="56" w:name="_GoBack"/>
      <w:bookmarkEnd w:id="56"/>
      <w:r>
        <w:rPr>
          <w:rStyle w:val="1Char"/>
          <w:rFonts w:ascii="黑体" w:eastAsia="黑体" w:hAnsi="黑体" w:hint="eastAsia"/>
          <w:b w:val="0"/>
        </w:rPr>
        <w:t xml:space="preserve"> </w:t>
      </w:r>
      <w:bookmarkEnd w:id="54"/>
    </w:p>
    <w:p w:rsidR="00A8386E" w:rsidRDefault="00A8386E">
      <w:pPr>
        <w:spacing w:line="600" w:lineRule="exact"/>
        <w:outlineLvl w:val="0"/>
        <w:rPr>
          <w:rFonts w:ascii="仿宋_GB2312" w:eastAsia="仿宋_GB2312" w:hAnsi="仿宋_GB2312" w:cs="仿宋_GB2312"/>
          <w:color w:val="000000" w:themeColor="text1"/>
          <w:sz w:val="28"/>
          <w:szCs w:val="28"/>
        </w:rPr>
      </w:pPr>
      <w:bookmarkStart w:id="57" w:name="_Toc15396618"/>
    </w:p>
    <w:p w:rsidR="00A8386E" w:rsidRDefault="007C5EDE">
      <w:pPr>
        <w:spacing w:line="600" w:lineRule="exact"/>
        <w:outlineLvl w:val="0"/>
        <w:rPr>
          <w:rFonts w:ascii="仿宋_GB2312" w:eastAsia="仿宋_GB2312" w:hAnsi="仿宋_GB2312" w:cs="仿宋_GB2312"/>
          <w:color w:val="000000" w:themeColor="text1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附件1无</w:t>
      </w:r>
    </w:p>
    <w:p w:rsidR="00A8386E" w:rsidRDefault="00B54260">
      <w:pPr>
        <w:pStyle w:val="a0"/>
        <w:spacing w:before="93"/>
        <w:rPr>
          <w:rFonts w:hAnsi="仿宋_GB2312" w:cs="仿宋_GB2312"/>
          <w:color w:val="000000" w:themeColor="text1"/>
          <w:sz w:val="28"/>
          <w:szCs w:val="28"/>
        </w:rPr>
      </w:pPr>
      <w:r>
        <w:rPr>
          <w:rFonts w:hAnsi="仿宋_GB2312" w:cs="仿宋_GB2312" w:hint="eastAsia"/>
          <w:color w:val="000000" w:themeColor="text1"/>
          <w:sz w:val="28"/>
          <w:szCs w:val="28"/>
        </w:rPr>
        <w:t>附件</w:t>
      </w:r>
      <w:r>
        <w:rPr>
          <w:rFonts w:hAnsi="仿宋_GB2312" w:cs="仿宋_GB2312" w:hint="eastAsia"/>
          <w:color w:val="000000" w:themeColor="text1"/>
          <w:sz w:val="28"/>
          <w:szCs w:val="28"/>
        </w:rPr>
        <w:t>2</w:t>
      </w:r>
      <w:r w:rsidR="007C5EDE">
        <w:rPr>
          <w:rFonts w:hAnsi="仿宋_GB2312" w:cs="仿宋_GB2312" w:hint="eastAsia"/>
          <w:color w:val="000000" w:themeColor="text1"/>
          <w:sz w:val="28"/>
          <w:szCs w:val="28"/>
        </w:rPr>
        <w:t>无</w:t>
      </w:r>
    </w:p>
    <w:p w:rsidR="00A8386E" w:rsidRDefault="00A8386E">
      <w:pPr>
        <w:pStyle w:val="a4"/>
      </w:pPr>
    </w:p>
    <w:p w:rsidR="00A8386E" w:rsidRDefault="00A8386E"/>
    <w:p w:rsidR="00A8386E" w:rsidRDefault="00A8386E">
      <w:pPr>
        <w:pStyle w:val="a0"/>
        <w:spacing w:before="93"/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A8386E">
      <w:pPr>
        <w:tabs>
          <w:tab w:val="left" w:pos="1498"/>
        </w:tabs>
        <w:jc w:val="center"/>
        <w:rPr>
          <w:rFonts w:ascii="黑体" w:eastAsia="黑体" w:hAnsi="黑体"/>
          <w:sz w:val="44"/>
          <w:szCs w:val="44"/>
        </w:rPr>
      </w:pPr>
    </w:p>
    <w:p w:rsidR="00A8386E" w:rsidRDefault="00B54260">
      <w:pPr>
        <w:tabs>
          <w:tab w:val="left" w:pos="1498"/>
        </w:tabs>
        <w:jc w:val="center"/>
        <w:rPr>
          <w:rFonts w:ascii="黑体" w:eastAsia="黑体" w:hAnsi="黑体"/>
          <w:bCs/>
          <w:kern w:val="44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lastRenderedPageBreak/>
        <w:t>第</w:t>
      </w:r>
      <w:r>
        <w:rPr>
          <w:rStyle w:val="1Char"/>
          <w:rFonts w:ascii="黑体" w:eastAsia="黑体" w:hAnsi="黑体" w:hint="eastAsia"/>
          <w:b w:val="0"/>
        </w:rPr>
        <w:t>五部分</w:t>
      </w:r>
      <w:r>
        <w:rPr>
          <w:rStyle w:val="1Char"/>
          <w:rFonts w:ascii="黑体" w:eastAsia="黑体" w:hAnsi="黑体" w:hint="eastAsia"/>
          <w:b w:val="0"/>
        </w:rPr>
        <w:t xml:space="preserve"> </w:t>
      </w:r>
      <w:r>
        <w:rPr>
          <w:rStyle w:val="1Char"/>
          <w:rFonts w:ascii="黑体" w:eastAsia="黑体" w:hAnsi="黑体" w:hint="eastAsia"/>
          <w:b w:val="0"/>
        </w:rPr>
        <w:t>附表</w:t>
      </w:r>
      <w:bookmarkStart w:id="58" w:name="_Toc15396619"/>
      <w:bookmarkEnd w:id="55"/>
      <w:bookmarkEnd w:id="57"/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</w:rPr>
      </w:pPr>
      <w:r>
        <w:rPr>
          <w:rFonts w:ascii="仿宋" w:eastAsia="仿宋" w:hAnsi="仿宋" w:hint="eastAsia"/>
          <w:b w:val="0"/>
        </w:rPr>
        <w:t>一、收</w:t>
      </w:r>
      <w:r>
        <w:rPr>
          <w:rStyle w:val="2Char"/>
          <w:rFonts w:ascii="仿宋" w:eastAsia="仿宋" w:hAnsi="仿宋" w:hint="eastAsia"/>
        </w:rPr>
        <w:t>入支出决算总表</w:t>
      </w:r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</w:rPr>
      </w:pPr>
      <w:bookmarkStart w:id="59" w:name="_Toc15396620"/>
      <w:r>
        <w:rPr>
          <w:rFonts w:ascii="仿宋" w:eastAsia="仿宋" w:hAnsi="仿宋" w:hint="eastAsia"/>
          <w:b w:val="0"/>
        </w:rPr>
        <w:t>二、收</w:t>
      </w:r>
      <w:r>
        <w:rPr>
          <w:rStyle w:val="2Char"/>
          <w:rFonts w:ascii="仿宋" w:eastAsia="仿宋" w:hAnsi="仿宋" w:hint="eastAsia"/>
        </w:rPr>
        <w:t>入决算表</w:t>
      </w:r>
      <w:bookmarkEnd w:id="59"/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</w:rPr>
      </w:pPr>
      <w:bookmarkStart w:id="60" w:name="_Toc15396621"/>
      <w:r>
        <w:rPr>
          <w:rStyle w:val="2Char"/>
          <w:rFonts w:ascii="仿宋" w:eastAsia="仿宋" w:hAnsi="仿宋" w:hint="eastAsia"/>
        </w:rPr>
        <w:t>三、</w:t>
      </w:r>
      <w:r>
        <w:rPr>
          <w:rFonts w:ascii="仿宋" w:eastAsia="仿宋" w:hAnsi="仿宋" w:hint="eastAsia"/>
          <w:b w:val="0"/>
        </w:rPr>
        <w:t>支</w:t>
      </w:r>
      <w:r>
        <w:rPr>
          <w:rStyle w:val="2Char"/>
          <w:rFonts w:ascii="仿宋" w:eastAsia="仿宋" w:hAnsi="仿宋" w:hint="eastAsia"/>
        </w:rPr>
        <w:t>出决算表</w:t>
      </w:r>
      <w:bookmarkEnd w:id="60"/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  <w:b w:val="0"/>
        </w:rPr>
      </w:pPr>
      <w:bookmarkStart w:id="61" w:name="_Toc15396622"/>
      <w:r>
        <w:rPr>
          <w:rStyle w:val="2Char"/>
          <w:rFonts w:ascii="仿宋" w:eastAsia="仿宋" w:hAnsi="仿宋" w:hint="eastAsia"/>
        </w:rPr>
        <w:t>四、</w:t>
      </w:r>
      <w:r>
        <w:rPr>
          <w:rFonts w:ascii="仿宋" w:eastAsia="仿宋" w:hAnsi="仿宋" w:hint="eastAsia"/>
          <w:b w:val="0"/>
        </w:rPr>
        <w:t>财</w:t>
      </w:r>
      <w:r>
        <w:rPr>
          <w:rStyle w:val="2Char"/>
          <w:rFonts w:ascii="仿宋" w:eastAsia="仿宋" w:hAnsi="仿宋" w:hint="eastAsia"/>
        </w:rPr>
        <w:t>政拨款收入支出决算总表</w:t>
      </w:r>
      <w:bookmarkEnd w:id="61"/>
    </w:p>
    <w:p w:rsidR="00A8386E" w:rsidRDefault="00B54260">
      <w:pPr>
        <w:pStyle w:val="2"/>
        <w:spacing w:before="0" w:after="0" w:line="560" w:lineRule="exact"/>
        <w:rPr>
          <w:rStyle w:val="2Char"/>
          <w:rFonts w:ascii="仿宋" w:eastAsia="仿宋" w:hAnsi="仿宋"/>
        </w:rPr>
      </w:pPr>
      <w:bookmarkStart w:id="62" w:name="_Toc15396623"/>
      <w:r>
        <w:rPr>
          <w:rStyle w:val="2Char"/>
          <w:rFonts w:ascii="仿宋" w:eastAsia="仿宋" w:hAnsi="仿宋" w:hint="eastAsia"/>
        </w:rPr>
        <w:t>五、</w:t>
      </w:r>
      <w:r>
        <w:rPr>
          <w:rFonts w:ascii="仿宋" w:eastAsia="仿宋" w:hAnsi="仿宋" w:hint="eastAsia"/>
          <w:b w:val="0"/>
        </w:rPr>
        <w:t>财</w:t>
      </w:r>
      <w:r>
        <w:rPr>
          <w:rStyle w:val="2Char"/>
          <w:rFonts w:ascii="仿宋" w:eastAsia="仿宋" w:hAnsi="仿宋" w:hint="eastAsia"/>
        </w:rPr>
        <w:t>政拨款支出决算明细表</w:t>
      </w:r>
      <w:bookmarkStart w:id="63" w:name="_Toc15396624"/>
      <w:bookmarkEnd w:id="62"/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</w:rPr>
      </w:pPr>
      <w:r>
        <w:rPr>
          <w:rStyle w:val="2Char"/>
          <w:rFonts w:ascii="仿宋" w:eastAsia="仿宋" w:hAnsi="仿宋" w:hint="eastAsia"/>
        </w:rPr>
        <w:t>六、</w:t>
      </w:r>
      <w:r>
        <w:rPr>
          <w:rFonts w:ascii="仿宋" w:eastAsia="仿宋" w:hAnsi="仿宋" w:hint="eastAsia"/>
          <w:b w:val="0"/>
        </w:rPr>
        <w:t>一</w:t>
      </w:r>
      <w:r>
        <w:rPr>
          <w:rStyle w:val="2Char"/>
          <w:rFonts w:ascii="仿宋" w:eastAsia="仿宋" w:hAnsi="仿宋" w:hint="eastAsia"/>
        </w:rPr>
        <w:t>般公共预算财政拨款支出决算表</w:t>
      </w:r>
      <w:bookmarkEnd w:id="63"/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</w:rPr>
      </w:pPr>
      <w:bookmarkStart w:id="64" w:name="_Toc15396625"/>
      <w:r>
        <w:rPr>
          <w:rStyle w:val="2Char"/>
          <w:rFonts w:ascii="仿宋" w:eastAsia="仿宋" w:hAnsi="仿宋" w:hint="eastAsia"/>
        </w:rPr>
        <w:t>七、</w:t>
      </w:r>
      <w:r>
        <w:rPr>
          <w:rFonts w:ascii="仿宋" w:eastAsia="仿宋" w:hAnsi="仿宋" w:hint="eastAsia"/>
          <w:b w:val="0"/>
        </w:rPr>
        <w:t>一</w:t>
      </w:r>
      <w:r>
        <w:rPr>
          <w:rStyle w:val="2Char"/>
          <w:rFonts w:ascii="仿宋" w:eastAsia="仿宋" w:hAnsi="仿宋" w:hint="eastAsia"/>
        </w:rPr>
        <w:t>般公共预算财政拨款支出决算明细表</w:t>
      </w:r>
      <w:bookmarkEnd w:id="64"/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</w:rPr>
      </w:pPr>
      <w:bookmarkStart w:id="65" w:name="_Toc15396626"/>
      <w:r>
        <w:rPr>
          <w:rStyle w:val="2Char"/>
          <w:rFonts w:ascii="仿宋" w:eastAsia="仿宋" w:hAnsi="仿宋" w:hint="eastAsia"/>
        </w:rPr>
        <w:t>八、</w:t>
      </w:r>
      <w:r>
        <w:rPr>
          <w:rFonts w:ascii="仿宋" w:eastAsia="仿宋" w:hAnsi="仿宋" w:hint="eastAsia"/>
          <w:b w:val="0"/>
        </w:rPr>
        <w:t>一</w:t>
      </w:r>
      <w:r>
        <w:rPr>
          <w:rStyle w:val="2Char"/>
          <w:rFonts w:ascii="仿宋" w:eastAsia="仿宋" w:hAnsi="仿宋" w:hint="eastAsia"/>
        </w:rPr>
        <w:t>般公共预算财政拨款基本支出决算表</w:t>
      </w:r>
      <w:bookmarkEnd w:id="65"/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</w:rPr>
      </w:pPr>
      <w:bookmarkStart w:id="66" w:name="_Toc15396627"/>
      <w:r>
        <w:rPr>
          <w:rStyle w:val="2Char"/>
          <w:rFonts w:ascii="仿宋" w:eastAsia="仿宋" w:hAnsi="仿宋" w:hint="eastAsia"/>
        </w:rPr>
        <w:t>九、</w:t>
      </w:r>
      <w:r>
        <w:rPr>
          <w:rFonts w:ascii="仿宋" w:eastAsia="仿宋" w:hAnsi="仿宋" w:hint="eastAsia"/>
          <w:b w:val="0"/>
        </w:rPr>
        <w:t>一</w:t>
      </w:r>
      <w:r>
        <w:rPr>
          <w:rStyle w:val="2Char"/>
          <w:rFonts w:ascii="仿宋" w:eastAsia="仿宋" w:hAnsi="仿宋" w:hint="eastAsia"/>
        </w:rPr>
        <w:t>般公共预算财政拨款项目支出决算表</w:t>
      </w:r>
      <w:bookmarkEnd w:id="66"/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</w:rPr>
      </w:pPr>
      <w:bookmarkStart w:id="67" w:name="_Toc15396628"/>
      <w:r>
        <w:rPr>
          <w:rStyle w:val="2Char"/>
          <w:rFonts w:ascii="仿宋" w:eastAsia="仿宋" w:hAnsi="仿宋" w:hint="eastAsia"/>
        </w:rPr>
        <w:t>十、</w:t>
      </w:r>
      <w:bookmarkEnd w:id="67"/>
      <w:r>
        <w:rPr>
          <w:rFonts w:ascii="仿宋" w:eastAsia="仿宋" w:hAnsi="仿宋" w:hint="eastAsia"/>
          <w:b w:val="0"/>
        </w:rPr>
        <w:t>政</w:t>
      </w:r>
      <w:r>
        <w:rPr>
          <w:rStyle w:val="2Char"/>
          <w:rFonts w:ascii="仿宋" w:eastAsia="仿宋" w:hAnsi="仿宋" w:hint="eastAsia"/>
        </w:rPr>
        <w:t>府性基金预算财政拨款收入支出决算表</w:t>
      </w:r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</w:rPr>
      </w:pPr>
      <w:bookmarkStart w:id="68" w:name="_Toc15396629"/>
      <w:r>
        <w:rPr>
          <w:rStyle w:val="2Char"/>
          <w:rFonts w:ascii="仿宋" w:eastAsia="仿宋" w:hAnsi="仿宋" w:hint="eastAsia"/>
        </w:rPr>
        <w:t>十一、</w:t>
      </w:r>
      <w:bookmarkEnd w:id="68"/>
      <w:r>
        <w:rPr>
          <w:rFonts w:ascii="仿宋" w:eastAsia="仿宋" w:hAnsi="仿宋" w:hint="eastAsia"/>
          <w:b w:val="0"/>
        </w:rPr>
        <w:t>国</w:t>
      </w:r>
      <w:r>
        <w:rPr>
          <w:rStyle w:val="2Char"/>
          <w:rFonts w:ascii="仿宋" w:eastAsia="仿宋" w:hAnsi="仿宋" w:hint="eastAsia"/>
        </w:rPr>
        <w:t>有资本经营预算财政拨款收入支出决算表</w:t>
      </w:r>
    </w:p>
    <w:p w:rsidR="00A8386E" w:rsidRDefault="00B54260">
      <w:pPr>
        <w:pStyle w:val="2"/>
        <w:spacing w:before="0" w:after="0" w:line="560" w:lineRule="exact"/>
        <w:rPr>
          <w:rFonts w:ascii="仿宋" w:eastAsia="仿宋" w:hAnsi="仿宋"/>
        </w:rPr>
      </w:pPr>
      <w:bookmarkStart w:id="69" w:name="_Toc15396630"/>
      <w:r>
        <w:rPr>
          <w:rStyle w:val="2Char"/>
          <w:rFonts w:ascii="仿宋" w:eastAsia="仿宋" w:hAnsi="仿宋" w:hint="eastAsia"/>
        </w:rPr>
        <w:t>十二、</w:t>
      </w:r>
      <w:bookmarkEnd w:id="69"/>
      <w:r>
        <w:rPr>
          <w:rStyle w:val="2Char"/>
          <w:rFonts w:ascii="仿宋" w:eastAsia="仿宋" w:hAnsi="仿宋" w:hint="eastAsia"/>
        </w:rPr>
        <w:t>国有资本经营预算财政拨款支出决算表</w:t>
      </w:r>
    </w:p>
    <w:p w:rsidR="00A8386E" w:rsidRDefault="00B54260">
      <w:pPr>
        <w:pStyle w:val="2"/>
        <w:spacing w:before="0" w:after="0" w:line="560" w:lineRule="exact"/>
        <w:rPr>
          <w:rFonts w:eastAsia="仿宋"/>
        </w:rPr>
      </w:pPr>
      <w:bookmarkStart w:id="70" w:name="_Toc15396631"/>
      <w:r>
        <w:rPr>
          <w:rStyle w:val="2Char"/>
          <w:rFonts w:ascii="仿宋" w:eastAsia="仿宋" w:hAnsi="仿宋" w:hint="eastAsia"/>
        </w:rPr>
        <w:t>十三、</w:t>
      </w:r>
      <w:bookmarkEnd w:id="70"/>
      <w:r>
        <w:rPr>
          <w:rStyle w:val="2Char"/>
          <w:rFonts w:ascii="仿宋" w:eastAsia="仿宋" w:hAnsi="仿宋" w:hint="eastAsia"/>
        </w:rPr>
        <w:t>财政拨款“三公”经费支出决算表</w:t>
      </w:r>
    </w:p>
    <w:p w:rsidR="00A8386E" w:rsidRDefault="00A8386E">
      <w:pPr>
        <w:pStyle w:val="a0"/>
        <w:spacing w:before="93"/>
      </w:pPr>
    </w:p>
    <w:p w:rsidR="00A8386E" w:rsidRDefault="00A8386E"/>
    <w:p w:rsidR="00A8386E" w:rsidRDefault="00A8386E"/>
    <w:p w:rsidR="00A8386E" w:rsidRDefault="00A8386E"/>
    <w:p w:rsidR="00A8386E" w:rsidRDefault="00A8386E"/>
    <w:p w:rsidR="00A8386E" w:rsidRDefault="00A8386E"/>
    <w:p w:rsidR="00A8386E" w:rsidRDefault="00A8386E"/>
    <w:p w:rsidR="00A8386E" w:rsidRDefault="00A8386E"/>
    <w:p w:rsidR="00A8386E" w:rsidRDefault="00A8386E"/>
    <w:bookmarkEnd w:id="58"/>
    <w:p w:rsidR="00A8386E" w:rsidRDefault="00A8386E"/>
    <w:sectPr w:rsidR="00A8386E" w:rsidSect="00A8386E">
      <w:headerReference w:type="default" r:id="rId21"/>
      <w:footerReference w:type="default" r:id="rId22"/>
      <w:pgSz w:w="11906" w:h="16838"/>
      <w:pgMar w:top="1440" w:right="1800" w:bottom="1440" w:left="1800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86E" w:rsidRDefault="00A8386E" w:rsidP="00A8386E">
      <w:r>
        <w:separator/>
      </w:r>
    </w:p>
  </w:endnote>
  <w:endnote w:type="continuationSeparator" w:id="0">
    <w:p w:rsidR="00A8386E" w:rsidRDefault="00A8386E" w:rsidP="00A838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F83C5E7-5E90-4760-8BF9-0501194AD4A2}"/>
    <w:embedBold r:id="rId2" w:subsetted="1" w:fontKey="{7DB0B688-DAE6-4433-90F7-B66BDE03A900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F4553741-5AA4-49A5-976B-D9C803CFF7B8}"/>
    <w:embedBold r:id="rId4" w:subsetted="1" w:fontKey="{BCB4C139-4677-4073-A6DB-11B0D7C19CB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subsetted="1" w:fontKey="{1A6BC260-2E01-4D92-B00C-2E43CF37921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120109BE-C0E8-4EDD-AC00-B3D0262B4710}"/>
    <w:embedBold r:id="rId7" w:subsetted="1" w:fontKey="{68D3E770-A657-445D-8B26-52A8BEEE7E3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  <w:embedRegular r:id="rId8" w:subsetted="1" w:fontKey="{F3AFB6A0-1E6F-494B-84EB-6BB6CD69BACB}"/>
  </w:font>
  <w:font w:name="‹ÎSå">
    <w:altName w:val="Segoe Print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86E" w:rsidRDefault="00A8386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9195538"/>
    </w:sdtPr>
    <w:sdtContent>
      <w:p w:rsidR="00A8386E" w:rsidRDefault="00A8386E">
        <w:pPr>
          <w:pStyle w:val="a7"/>
          <w:jc w:val="center"/>
        </w:pPr>
        <w:r w:rsidRPr="00A8386E">
          <w:fldChar w:fldCharType="begin"/>
        </w:r>
        <w:r w:rsidR="00B54260">
          <w:instrText>PAGE   \* MERGEFORMAT</w:instrText>
        </w:r>
        <w:r w:rsidRPr="00A8386E">
          <w:fldChar w:fldCharType="separate"/>
        </w:r>
        <w:r w:rsidR="00B54260">
          <w:rPr>
            <w:lang w:val="zh-CN"/>
          </w:rPr>
          <w:t>22</w:t>
        </w:r>
        <w:r>
          <w:rPr>
            <w:lang w:val="zh-CN"/>
          </w:rPr>
          <w:fldChar w:fldCharType="end"/>
        </w:r>
      </w:p>
    </w:sdtContent>
  </w:sdt>
  <w:p w:rsidR="00A8386E" w:rsidRDefault="00A8386E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86E" w:rsidRDefault="00A8386E">
    <w:pPr>
      <w:pStyle w:val="a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94781956"/>
    </w:sdtPr>
    <w:sdtContent>
      <w:p w:rsidR="00A8386E" w:rsidRDefault="00A8386E">
        <w:pPr>
          <w:pStyle w:val="a7"/>
          <w:jc w:val="center"/>
        </w:pPr>
        <w:r>
          <w:fldChar w:fldCharType="begin"/>
        </w:r>
        <w:r w:rsidR="00B54260">
          <w:instrText>PAGE   \* MERGEFORMAT</w:instrText>
        </w:r>
        <w:r>
          <w:fldChar w:fldCharType="separate"/>
        </w:r>
        <w:r w:rsidR="007C5EDE" w:rsidRPr="007C5EDE">
          <w:rPr>
            <w:noProof/>
            <w:lang w:val="zh-CN"/>
          </w:rPr>
          <w:t>16</w:t>
        </w:r>
        <w:r>
          <w:fldChar w:fldCharType="end"/>
        </w:r>
      </w:p>
    </w:sdtContent>
  </w:sdt>
  <w:p w:rsidR="00A8386E" w:rsidRDefault="00A8386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86E" w:rsidRDefault="00A8386E" w:rsidP="00A8386E">
      <w:r>
        <w:separator/>
      </w:r>
    </w:p>
  </w:footnote>
  <w:footnote w:type="continuationSeparator" w:id="0">
    <w:p w:rsidR="00A8386E" w:rsidRDefault="00A8386E" w:rsidP="00A838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86E" w:rsidRDefault="00A8386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86E" w:rsidRDefault="00A8386E">
    <w:pPr>
      <w:pStyle w:val="a8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86E" w:rsidRDefault="00A8386E">
    <w:pPr>
      <w:pStyle w:val="a8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86E" w:rsidRDefault="00A8386E">
    <w:pPr>
      <w:pStyle w:val="a8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F652CEC"/>
    <w:multiLevelType w:val="singleLevel"/>
    <w:tmpl w:val="CF652CEC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2FA047D"/>
    <w:multiLevelType w:val="singleLevel"/>
    <w:tmpl w:val="E2FA047D"/>
    <w:lvl w:ilvl="0">
      <w:start w:val="3"/>
      <w:numFmt w:val="chineseCounting"/>
      <w:suff w:val="space"/>
      <w:lvlText w:val="第%1部分"/>
      <w:lvlJc w:val="left"/>
      <w:rPr>
        <w:rFonts w:ascii="黑体" w:eastAsia="黑体" w:hAnsi="黑体" w:cs="黑体" w:hint="eastAsia"/>
        <w:sz w:val="44"/>
        <w:szCs w:val="44"/>
      </w:rPr>
    </w:lvl>
  </w:abstractNum>
  <w:abstractNum w:abstractNumId="2">
    <w:nsid w:val="1272550B"/>
    <w:multiLevelType w:val="multilevel"/>
    <w:tmpl w:val="1272550B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305BEE99"/>
    <w:multiLevelType w:val="singleLevel"/>
    <w:tmpl w:val="305BEE99"/>
    <w:lvl w:ilvl="0">
      <w:start w:val="1"/>
      <w:numFmt w:val="decimal"/>
      <w:suff w:val="nothing"/>
      <w:lvlText w:val="%1、"/>
      <w:lvlJc w:val="left"/>
    </w:lvl>
  </w:abstractNum>
  <w:abstractNum w:abstractNumId="4">
    <w:nsid w:val="3818A09A"/>
    <w:multiLevelType w:val="singleLevel"/>
    <w:tmpl w:val="3818A09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YTE4Yjc4MzE1N2NjMDFiZWIwY2QxMWVlZWM5MTU0OWIifQ=="/>
  </w:docVars>
  <w:rsids>
    <w:rsidRoot w:val="00F1361C"/>
    <w:rsid w:val="84BF1F3B"/>
    <w:rsid w:val="8F55B106"/>
    <w:rsid w:val="95DF317D"/>
    <w:rsid w:val="97E77C70"/>
    <w:rsid w:val="9E3A10E2"/>
    <w:rsid w:val="9FB91FBD"/>
    <w:rsid w:val="9FD54998"/>
    <w:rsid w:val="A671883B"/>
    <w:rsid w:val="A7EFD17F"/>
    <w:rsid w:val="A7FFE43F"/>
    <w:rsid w:val="BDFEA317"/>
    <w:rsid w:val="CD9BBABB"/>
    <w:rsid w:val="CF99F292"/>
    <w:rsid w:val="D5DA60B3"/>
    <w:rsid w:val="D7C6F579"/>
    <w:rsid w:val="D8FECA92"/>
    <w:rsid w:val="DAFFBE66"/>
    <w:rsid w:val="DD2C0BFE"/>
    <w:rsid w:val="DE3F332B"/>
    <w:rsid w:val="DE6F4A3D"/>
    <w:rsid w:val="DF69F8B0"/>
    <w:rsid w:val="DFC71555"/>
    <w:rsid w:val="DFFC559C"/>
    <w:rsid w:val="DFFEDFAE"/>
    <w:rsid w:val="DFFFB5EB"/>
    <w:rsid w:val="E4B33E57"/>
    <w:rsid w:val="E5BF946A"/>
    <w:rsid w:val="EB39BD45"/>
    <w:rsid w:val="EBCF1FC2"/>
    <w:rsid w:val="EBD18F66"/>
    <w:rsid w:val="ED17392C"/>
    <w:rsid w:val="ED9FFD9A"/>
    <w:rsid w:val="EDB7968B"/>
    <w:rsid w:val="EEF73F60"/>
    <w:rsid w:val="EFED9E42"/>
    <w:rsid w:val="EFFFB194"/>
    <w:rsid w:val="F2E1F9D4"/>
    <w:rsid w:val="F5FF7449"/>
    <w:rsid w:val="F7880819"/>
    <w:rsid w:val="F7AF180D"/>
    <w:rsid w:val="F7BDBFA7"/>
    <w:rsid w:val="F7FAD68F"/>
    <w:rsid w:val="F7FB14CF"/>
    <w:rsid w:val="FB3FC69C"/>
    <w:rsid w:val="FBDFF225"/>
    <w:rsid w:val="FBF7AB63"/>
    <w:rsid w:val="FC2F3373"/>
    <w:rsid w:val="FCF51535"/>
    <w:rsid w:val="FD77F6B8"/>
    <w:rsid w:val="FDD69328"/>
    <w:rsid w:val="FDDFEC0E"/>
    <w:rsid w:val="FDE58BDD"/>
    <w:rsid w:val="FDEC7001"/>
    <w:rsid w:val="FEDFE87F"/>
    <w:rsid w:val="FEF1D25B"/>
    <w:rsid w:val="FF3EF90F"/>
    <w:rsid w:val="FFAF6081"/>
    <w:rsid w:val="FFECCD8C"/>
    <w:rsid w:val="FFED60BD"/>
    <w:rsid w:val="FFEE08F0"/>
    <w:rsid w:val="FFEE7F9F"/>
    <w:rsid w:val="FFFF3197"/>
    <w:rsid w:val="000222C6"/>
    <w:rsid w:val="0002549F"/>
    <w:rsid w:val="000468DB"/>
    <w:rsid w:val="0006487A"/>
    <w:rsid w:val="00065F8F"/>
    <w:rsid w:val="00070A43"/>
    <w:rsid w:val="000768F2"/>
    <w:rsid w:val="0009184B"/>
    <w:rsid w:val="00094236"/>
    <w:rsid w:val="0009593C"/>
    <w:rsid w:val="00097322"/>
    <w:rsid w:val="000A6A92"/>
    <w:rsid w:val="000B047F"/>
    <w:rsid w:val="000B5923"/>
    <w:rsid w:val="000B5A48"/>
    <w:rsid w:val="000B6FF3"/>
    <w:rsid w:val="000C3467"/>
    <w:rsid w:val="000C3CA6"/>
    <w:rsid w:val="000D1267"/>
    <w:rsid w:val="000D1D50"/>
    <w:rsid w:val="000D5782"/>
    <w:rsid w:val="000E3D3E"/>
    <w:rsid w:val="000E6613"/>
    <w:rsid w:val="000E7119"/>
    <w:rsid w:val="00114E9B"/>
    <w:rsid w:val="00142216"/>
    <w:rsid w:val="00144D6A"/>
    <w:rsid w:val="0014729F"/>
    <w:rsid w:val="00157BAB"/>
    <w:rsid w:val="001654D1"/>
    <w:rsid w:val="00174518"/>
    <w:rsid w:val="0018106D"/>
    <w:rsid w:val="001877A7"/>
    <w:rsid w:val="00191536"/>
    <w:rsid w:val="00196687"/>
    <w:rsid w:val="001A1DAD"/>
    <w:rsid w:val="001C0962"/>
    <w:rsid w:val="001D7531"/>
    <w:rsid w:val="001E737D"/>
    <w:rsid w:val="001F0592"/>
    <w:rsid w:val="001F7506"/>
    <w:rsid w:val="002006CD"/>
    <w:rsid w:val="00202B36"/>
    <w:rsid w:val="00204B7A"/>
    <w:rsid w:val="00204CDE"/>
    <w:rsid w:val="00206907"/>
    <w:rsid w:val="0021101A"/>
    <w:rsid w:val="00212B4A"/>
    <w:rsid w:val="00220536"/>
    <w:rsid w:val="00235629"/>
    <w:rsid w:val="00260C38"/>
    <w:rsid w:val="002616C0"/>
    <w:rsid w:val="00265372"/>
    <w:rsid w:val="002662AA"/>
    <w:rsid w:val="00280496"/>
    <w:rsid w:val="00294DC9"/>
    <w:rsid w:val="00295495"/>
    <w:rsid w:val="002A31DE"/>
    <w:rsid w:val="002B2613"/>
    <w:rsid w:val="002C5004"/>
    <w:rsid w:val="002D6D05"/>
    <w:rsid w:val="002F1818"/>
    <w:rsid w:val="002F567B"/>
    <w:rsid w:val="003216A9"/>
    <w:rsid w:val="00332D89"/>
    <w:rsid w:val="00335A74"/>
    <w:rsid w:val="0036561B"/>
    <w:rsid w:val="0037013F"/>
    <w:rsid w:val="00380C92"/>
    <w:rsid w:val="003A484F"/>
    <w:rsid w:val="003A4883"/>
    <w:rsid w:val="003B0BE0"/>
    <w:rsid w:val="003B0C1B"/>
    <w:rsid w:val="003B688C"/>
    <w:rsid w:val="003C0291"/>
    <w:rsid w:val="003C39AE"/>
    <w:rsid w:val="003C7B60"/>
    <w:rsid w:val="003D0C0F"/>
    <w:rsid w:val="003D1FB2"/>
    <w:rsid w:val="003D66DA"/>
    <w:rsid w:val="003E1310"/>
    <w:rsid w:val="003E6F55"/>
    <w:rsid w:val="00406254"/>
    <w:rsid w:val="004223DE"/>
    <w:rsid w:val="00425C50"/>
    <w:rsid w:val="0043177C"/>
    <w:rsid w:val="00434489"/>
    <w:rsid w:val="00437085"/>
    <w:rsid w:val="00443880"/>
    <w:rsid w:val="004464F4"/>
    <w:rsid w:val="0046049C"/>
    <w:rsid w:val="00471401"/>
    <w:rsid w:val="00473F31"/>
    <w:rsid w:val="0048263A"/>
    <w:rsid w:val="00487E5D"/>
    <w:rsid w:val="004A711F"/>
    <w:rsid w:val="004B199D"/>
    <w:rsid w:val="004B4690"/>
    <w:rsid w:val="004E0A2D"/>
    <w:rsid w:val="004E206B"/>
    <w:rsid w:val="004E6DF7"/>
    <w:rsid w:val="004F0FBD"/>
    <w:rsid w:val="00505A47"/>
    <w:rsid w:val="00512FDA"/>
    <w:rsid w:val="00520DA0"/>
    <w:rsid w:val="005533CF"/>
    <w:rsid w:val="005664BB"/>
    <w:rsid w:val="00566FFA"/>
    <w:rsid w:val="0057481D"/>
    <w:rsid w:val="0058486E"/>
    <w:rsid w:val="00585B33"/>
    <w:rsid w:val="0059014D"/>
    <w:rsid w:val="005A567D"/>
    <w:rsid w:val="005B5C64"/>
    <w:rsid w:val="005B6E8A"/>
    <w:rsid w:val="005C5337"/>
    <w:rsid w:val="005C6BD0"/>
    <w:rsid w:val="005D1C8B"/>
    <w:rsid w:val="005D468D"/>
    <w:rsid w:val="005D5CED"/>
    <w:rsid w:val="005F10BC"/>
    <w:rsid w:val="005F1A4C"/>
    <w:rsid w:val="00605688"/>
    <w:rsid w:val="006070AF"/>
    <w:rsid w:val="00607E6C"/>
    <w:rsid w:val="006101B1"/>
    <w:rsid w:val="00614E44"/>
    <w:rsid w:val="0062270A"/>
    <w:rsid w:val="00622830"/>
    <w:rsid w:val="00623DA0"/>
    <w:rsid w:val="00630AEF"/>
    <w:rsid w:val="006325F8"/>
    <w:rsid w:val="00633463"/>
    <w:rsid w:val="00634C9A"/>
    <w:rsid w:val="006440E4"/>
    <w:rsid w:val="00655FC5"/>
    <w:rsid w:val="0066343B"/>
    <w:rsid w:val="00664777"/>
    <w:rsid w:val="006748A4"/>
    <w:rsid w:val="00681A31"/>
    <w:rsid w:val="00683E73"/>
    <w:rsid w:val="006A3141"/>
    <w:rsid w:val="006A5E34"/>
    <w:rsid w:val="006B2422"/>
    <w:rsid w:val="006B2B9A"/>
    <w:rsid w:val="006C1937"/>
    <w:rsid w:val="006F020C"/>
    <w:rsid w:val="0071021A"/>
    <w:rsid w:val="007127B7"/>
    <w:rsid w:val="0071798E"/>
    <w:rsid w:val="007416B6"/>
    <w:rsid w:val="00746F48"/>
    <w:rsid w:val="0075404D"/>
    <w:rsid w:val="0076182A"/>
    <w:rsid w:val="00767B7E"/>
    <w:rsid w:val="007770C3"/>
    <w:rsid w:val="00784D24"/>
    <w:rsid w:val="00785FBA"/>
    <w:rsid w:val="00786E4A"/>
    <w:rsid w:val="007875EB"/>
    <w:rsid w:val="0079426B"/>
    <w:rsid w:val="007C5EDE"/>
    <w:rsid w:val="007D1682"/>
    <w:rsid w:val="007D312A"/>
    <w:rsid w:val="007D3F19"/>
    <w:rsid w:val="007E23B0"/>
    <w:rsid w:val="007E23E5"/>
    <w:rsid w:val="007F1991"/>
    <w:rsid w:val="007F2C2F"/>
    <w:rsid w:val="007F55FC"/>
    <w:rsid w:val="007F5665"/>
    <w:rsid w:val="00800112"/>
    <w:rsid w:val="00813102"/>
    <w:rsid w:val="00813348"/>
    <w:rsid w:val="008253BB"/>
    <w:rsid w:val="0083706E"/>
    <w:rsid w:val="008408F6"/>
    <w:rsid w:val="008423A5"/>
    <w:rsid w:val="00850625"/>
    <w:rsid w:val="00853718"/>
    <w:rsid w:val="00855221"/>
    <w:rsid w:val="00860645"/>
    <w:rsid w:val="00871F71"/>
    <w:rsid w:val="00872FD8"/>
    <w:rsid w:val="00885AF4"/>
    <w:rsid w:val="008939CD"/>
    <w:rsid w:val="008B768C"/>
    <w:rsid w:val="008C4DB1"/>
    <w:rsid w:val="008C4EAF"/>
    <w:rsid w:val="008C5176"/>
    <w:rsid w:val="008C7FD0"/>
    <w:rsid w:val="008C7FD8"/>
    <w:rsid w:val="008E1DE7"/>
    <w:rsid w:val="008E707C"/>
    <w:rsid w:val="00900B08"/>
    <w:rsid w:val="00902155"/>
    <w:rsid w:val="00902FA3"/>
    <w:rsid w:val="00923564"/>
    <w:rsid w:val="0092392E"/>
    <w:rsid w:val="009315F9"/>
    <w:rsid w:val="00933499"/>
    <w:rsid w:val="00935C98"/>
    <w:rsid w:val="00946945"/>
    <w:rsid w:val="00951248"/>
    <w:rsid w:val="0095152F"/>
    <w:rsid w:val="00954C49"/>
    <w:rsid w:val="00955E37"/>
    <w:rsid w:val="0097099F"/>
    <w:rsid w:val="00971997"/>
    <w:rsid w:val="00971FFC"/>
    <w:rsid w:val="0098660A"/>
    <w:rsid w:val="009931C3"/>
    <w:rsid w:val="009B2C43"/>
    <w:rsid w:val="009B4EAE"/>
    <w:rsid w:val="009B7573"/>
    <w:rsid w:val="009C22F4"/>
    <w:rsid w:val="009C2A4B"/>
    <w:rsid w:val="009C2E98"/>
    <w:rsid w:val="009D3447"/>
    <w:rsid w:val="009D4711"/>
    <w:rsid w:val="009F1185"/>
    <w:rsid w:val="009F18CD"/>
    <w:rsid w:val="009F2A13"/>
    <w:rsid w:val="009F7527"/>
    <w:rsid w:val="00A04EB0"/>
    <w:rsid w:val="00A13CC1"/>
    <w:rsid w:val="00A16847"/>
    <w:rsid w:val="00A237D8"/>
    <w:rsid w:val="00A268C4"/>
    <w:rsid w:val="00A307CD"/>
    <w:rsid w:val="00A331C8"/>
    <w:rsid w:val="00A40A00"/>
    <w:rsid w:val="00A4142F"/>
    <w:rsid w:val="00A422EB"/>
    <w:rsid w:val="00A45BB7"/>
    <w:rsid w:val="00A56DF2"/>
    <w:rsid w:val="00A56E6E"/>
    <w:rsid w:val="00A67AB5"/>
    <w:rsid w:val="00A733B2"/>
    <w:rsid w:val="00A741C2"/>
    <w:rsid w:val="00A8386E"/>
    <w:rsid w:val="00A91760"/>
    <w:rsid w:val="00A93B00"/>
    <w:rsid w:val="00A93C21"/>
    <w:rsid w:val="00AB64C9"/>
    <w:rsid w:val="00AC3C6A"/>
    <w:rsid w:val="00AD5620"/>
    <w:rsid w:val="00AD656B"/>
    <w:rsid w:val="00AD7C1B"/>
    <w:rsid w:val="00AE16BA"/>
    <w:rsid w:val="00AE1EBE"/>
    <w:rsid w:val="00B03C9D"/>
    <w:rsid w:val="00B060AE"/>
    <w:rsid w:val="00B10517"/>
    <w:rsid w:val="00B14E76"/>
    <w:rsid w:val="00B161B8"/>
    <w:rsid w:val="00B2048C"/>
    <w:rsid w:val="00B310B9"/>
    <w:rsid w:val="00B35F3F"/>
    <w:rsid w:val="00B36CBB"/>
    <w:rsid w:val="00B425E0"/>
    <w:rsid w:val="00B440AA"/>
    <w:rsid w:val="00B44B70"/>
    <w:rsid w:val="00B53C56"/>
    <w:rsid w:val="00B57DAF"/>
    <w:rsid w:val="00B77EA6"/>
    <w:rsid w:val="00B81598"/>
    <w:rsid w:val="00B841F1"/>
    <w:rsid w:val="00B944D6"/>
    <w:rsid w:val="00BB4DF0"/>
    <w:rsid w:val="00BC289F"/>
    <w:rsid w:val="00BC2D50"/>
    <w:rsid w:val="00BC5361"/>
    <w:rsid w:val="00BC5460"/>
    <w:rsid w:val="00BC6B50"/>
    <w:rsid w:val="00BD0E25"/>
    <w:rsid w:val="00BF5BD6"/>
    <w:rsid w:val="00C03E31"/>
    <w:rsid w:val="00C33E72"/>
    <w:rsid w:val="00C354B2"/>
    <w:rsid w:val="00C35554"/>
    <w:rsid w:val="00C42709"/>
    <w:rsid w:val="00C533CC"/>
    <w:rsid w:val="00C5751C"/>
    <w:rsid w:val="00C61BFC"/>
    <w:rsid w:val="00C62B85"/>
    <w:rsid w:val="00C65438"/>
    <w:rsid w:val="00C6636D"/>
    <w:rsid w:val="00C87FD8"/>
    <w:rsid w:val="00C91381"/>
    <w:rsid w:val="00C91CBB"/>
    <w:rsid w:val="00CA114D"/>
    <w:rsid w:val="00CB4E70"/>
    <w:rsid w:val="00CC09B6"/>
    <w:rsid w:val="00CC666F"/>
    <w:rsid w:val="00CD1E3F"/>
    <w:rsid w:val="00CE44F6"/>
    <w:rsid w:val="00CE49DA"/>
    <w:rsid w:val="00CE7B61"/>
    <w:rsid w:val="00D00095"/>
    <w:rsid w:val="00D114F0"/>
    <w:rsid w:val="00D20620"/>
    <w:rsid w:val="00D254F7"/>
    <w:rsid w:val="00D26091"/>
    <w:rsid w:val="00D2685C"/>
    <w:rsid w:val="00D31E6F"/>
    <w:rsid w:val="00D34E7C"/>
    <w:rsid w:val="00D35489"/>
    <w:rsid w:val="00D36AFE"/>
    <w:rsid w:val="00D51276"/>
    <w:rsid w:val="00D53D25"/>
    <w:rsid w:val="00D7035F"/>
    <w:rsid w:val="00DA634F"/>
    <w:rsid w:val="00DA65AC"/>
    <w:rsid w:val="00DB1913"/>
    <w:rsid w:val="00DC410D"/>
    <w:rsid w:val="00DC5A81"/>
    <w:rsid w:val="00DC68CA"/>
    <w:rsid w:val="00DC7CBA"/>
    <w:rsid w:val="00DD73B7"/>
    <w:rsid w:val="00DF28BC"/>
    <w:rsid w:val="00DF34B9"/>
    <w:rsid w:val="00DF6AFE"/>
    <w:rsid w:val="00E01053"/>
    <w:rsid w:val="00E07ACF"/>
    <w:rsid w:val="00E331A1"/>
    <w:rsid w:val="00E33202"/>
    <w:rsid w:val="00E336A9"/>
    <w:rsid w:val="00E472B1"/>
    <w:rsid w:val="00E50624"/>
    <w:rsid w:val="00E568DF"/>
    <w:rsid w:val="00E64269"/>
    <w:rsid w:val="00E82267"/>
    <w:rsid w:val="00E853CE"/>
    <w:rsid w:val="00E867B6"/>
    <w:rsid w:val="00EA010F"/>
    <w:rsid w:val="00ED1B63"/>
    <w:rsid w:val="00ED3C1F"/>
    <w:rsid w:val="00ED4085"/>
    <w:rsid w:val="00ED420E"/>
    <w:rsid w:val="00ED6FBE"/>
    <w:rsid w:val="00EE2F57"/>
    <w:rsid w:val="00EF4C34"/>
    <w:rsid w:val="00EF77C6"/>
    <w:rsid w:val="00F05438"/>
    <w:rsid w:val="00F1361C"/>
    <w:rsid w:val="00F156F0"/>
    <w:rsid w:val="00F160C7"/>
    <w:rsid w:val="00F2408F"/>
    <w:rsid w:val="00F240E9"/>
    <w:rsid w:val="00F36D8F"/>
    <w:rsid w:val="00F417B1"/>
    <w:rsid w:val="00F45853"/>
    <w:rsid w:val="00F602DF"/>
    <w:rsid w:val="00F754A1"/>
    <w:rsid w:val="00F81FD9"/>
    <w:rsid w:val="00F841AA"/>
    <w:rsid w:val="00F84A94"/>
    <w:rsid w:val="00F87E96"/>
    <w:rsid w:val="00FA23E8"/>
    <w:rsid w:val="00FD3CC1"/>
    <w:rsid w:val="00FF1E02"/>
    <w:rsid w:val="00FF30B4"/>
    <w:rsid w:val="021B1EFE"/>
    <w:rsid w:val="02845E63"/>
    <w:rsid w:val="028C11CF"/>
    <w:rsid w:val="036F56F6"/>
    <w:rsid w:val="03DC2831"/>
    <w:rsid w:val="042D776C"/>
    <w:rsid w:val="04BB586B"/>
    <w:rsid w:val="04DB1846"/>
    <w:rsid w:val="069714FC"/>
    <w:rsid w:val="073D5FF4"/>
    <w:rsid w:val="081B5E94"/>
    <w:rsid w:val="08BF5E5A"/>
    <w:rsid w:val="097C3D4B"/>
    <w:rsid w:val="0A2032A3"/>
    <w:rsid w:val="0A751439"/>
    <w:rsid w:val="0B8A37D8"/>
    <w:rsid w:val="0BE36304"/>
    <w:rsid w:val="0C970E9C"/>
    <w:rsid w:val="0CA21D1B"/>
    <w:rsid w:val="0F5FFB2F"/>
    <w:rsid w:val="0FDE750E"/>
    <w:rsid w:val="0FFFCF60"/>
    <w:rsid w:val="10C055FF"/>
    <w:rsid w:val="10DC1574"/>
    <w:rsid w:val="118107EC"/>
    <w:rsid w:val="11DD6519"/>
    <w:rsid w:val="1298441A"/>
    <w:rsid w:val="132A4818"/>
    <w:rsid w:val="135B0E75"/>
    <w:rsid w:val="13B57591"/>
    <w:rsid w:val="15785D0F"/>
    <w:rsid w:val="158F3058"/>
    <w:rsid w:val="160E0421"/>
    <w:rsid w:val="162A726E"/>
    <w:rsid w:val="167D7355"/>
    <w:rsid w:val="16BB723D"/>
    <w:rsid w:val="16FC64CC"/>
    <w:rsid w:val="18015F3F"/>
    <w:rsid w:val="1A990C69"/>
    <w:rsid w:val="1BE8440E"/>
    <w:rsid w:val="1D155CEE"/>
    <w:rsid w:val="1EA678C9"/>
    <w:rsid w:val="1FB45B95"/>
    <w:rsid w:val="1FDBBF84"/>
    <w:rsid w:val="20770D67"/>
    <w:rsid w:val="20EB5CF5"/>
    <w:rsid w:val="20F57F95"/>
    <w:rsid w:val="22BB5677"/>
    <w:rsid w:val="238826AD"/>
    <w:rsid w:val="239E28F2"/>
    <w:rsid w:val="23CD36CA"/>
    <w:rsid w:val="240371BF"/>
    <w:rsid w:val="241B7189"/>
    <w:rsid w:val="25711CC6"/>
    <w:rsid w:val="2590634F"/>
    <w:rsid w:val="25C741E6"/>
    <w:rsid w:val="25DF76E4"/>
    <w:rsid w:val="25FA19CD"/>
    <w:rsid w:val="276F80C0"/>
    <w:rsid w:val="27842671"/>
    <w:rsid w:val="289F315B"/>
    <w:rsid w:val="28F65E27"/>
    <w:rsid w:val="291D6B33"/>
    <w:rsid w:val="292E4941"/>
    <w:rsid w:val="29890093"/>
    <w:rsid w:val="29FD04D3"/>
    <w:rsid w:val="2ABE7A3E"/>
    <w:rsid w:val="2AC944BF"/>
    <w:rsid w:val="2AFF09B6"/>
    <w:rsid w:val="2B6F729F"/>
    <w:rsid w:val="2C2343EE"/>
    <w:rsid w:val="2C444745"/>
    <w:rsid w:val="2CA234A8"/>
    <w:rsid w:val="2D477DEE"/>
    <w:rsid w:val="2EFA178C"/>
    <w:rsid w:val="2EFDF86C"/>
    <w:rsid w:val="2F9D17E1"/>
    <w:rsid w:val="30B46D73"/>
    <w:rsid w:val="3195334D"/>
    <w:rsid w:val="319F7F4E"/>
    <w:rsid w:val="338B2C59"/>
    <w:rsid w:val="34EF0FC6"/>
    <w:rsid w:val="356A28F1"/>
    <w:rsid w:val="357C035A"/>
    <w:rsid w:val="361E5CB5"/>
    <w:rsid w:val="368E000D"/>
    <w:rsid w:val="378974B0"/>
    <w:rsid w:val="383D272C"/>
    <w:rsid w:val="38E33981"/>
    <w:rsid w:val="39934616"/>
    <w:rsid w:val="39AE70AB"/>
    <w:rsid w:val="39D35A10"/>
    <w:rsid w:val="3A4DCE41"/>
    <w:rsid w:val="3B385475"/>
    <w:rsid w:val="3BAC19BF"/>
    <w:rsid w:val="3BCB56FA"/>
    <w:rsid w:val="3C0C0783"/>
    <w:rsid w:val="3C21734C"/>
    <w:rsid w:val="3C5C5193"/>
    <w:rsid w:val="3CFC25BA"/>
    <w:rsid w:val="3EAA537C"/>
    <w:rsid w:val="3EE7C2F4"/>
    <w:rsid w:val="3F371B56"/>
    <w:rsid w:val="3F792ED8"/>
    <w:rsid w:val="3F9F3A96"/>
    <w:rsid w:val="3FECA4B2"/>
    <w:rsid w:val="3FF58C48"/>
    <w:rsid w:val="40C80836"/>
    <w:rsid w:val="41507CD7"/>
    <w:rsid w:val="42923CA7"/>
    <w:rsid w:val="42FF6694"/>
    <w:rsid w:val="430E7D4F"/>
    <w:rsid w:val="43242EE5"/>
    <w:rsid w:val="43926AE9"/>
    <w:rsid w:val="4459409E"/>
    <w:rsid w:val="45942176"/>
    <w:rsid w:val="46FF32EA"/>
    <w:rsid w:val="470E2BF1"/>
    <w:rsid w:val="48BF60AB"/>
    <w:rsid w:val="48DB38E3"/>
    <w:rsid w:val="493C27E9"/>
    <w:rsid w:val="495A0CAC"/>
    <w:rsid w:val="49602B97"/>
    <w:rsid w:val="496F39ED"/>
    <w:rsid w:val="49CF42B2"/>
    <w:rsid w:val="49FF41D3"/>
    <w:rsid w:val="4B4152F6"/>
    <w:rsid w:val="4B746CD1"/>
    <w:rsid w:val="4BE068DB"/>
    <w:rsid w:val="4BF6002B"/>
    <w:rsid w:val="4BFFC6BE"/>
    <w:rsid w:val="4C1C7EFB"/>
    <w:rsid w:val="4D8A1CAF"/>
    <w:rsid w:val="4ECE2238"/>
    <w:rsid w:val="4F756840"/>
    <w:rsid w:val="4FAB145B"/>
    <w:rsid w:val="51D8250E"/>
    <w:rsid w:val="51DB4B86"/>
    <w:rsid w:val="51F64DB0"/>
    <w:rsid w:val="5406153F"/>
    <w:rsid w:val="54D538DD"/>
    <w:rsid w:val="55333C3E"/>
    <w:rsid w:val="568A2B93"/>
    <w:rsid w:val="57A80BBE"/>
    <w:rsid w:val="5B353327"/>
    <w:rsid w:val="5B4D241F"/>
    <w:rsid w:val="5D8660BC"/>
    <w:rsid w:val="5E8425FB"/>
    <w:rsid w:val="5F67802D"/>
    <w:rsid w:val="5F7DC4F2"/>
    <w:rsid w:val="5FB36814"/>
    <w:rsid w:val="5FBB8E56"/>
    <w:rsid w:val="5FFB5535"/>
    <w:rsid w:val="6014175D"/>
    <w:rsid w:val="6124512E"/>
    <w:rsid w:val="61730705"/>
    <w:rsid w:val="61952D71"/>
    <w:rsid w:val="620E13E3"/>
    <w:rsid w:val="62A25F13"/>
    <w:rsid w:val="6300246C"/>
    <w:rsid w:val="647E189B"/>
    <w:rsid w:val="64B23315"/>
    <w:rsid w:val="64CA39A1"/>
    <w:rsid w:val="694E4D28"/>
    <w:rsid w:val="69630ADE"/>
    <w:rsid w:val="69BD5F13"/>
    <w:rsid w:val="69FB0B4B"/>
    <w:rsid w:val="6A777724"/>
    <w:rsid w:val="6B8A6D77"/>
    <w:rsid w:val="6BFFE1FB"/>
    <w:rsid w:val="6C4A05C8"/>
    <w:rsid w:val="6C8A4A73"/>
    <w:rsid w:val="6D3B1A89"/>
    <w:rsid w:val="6DB7D8A3"/>
    <w:rsid w:val="6DBF48FD"/>
    <w:rsid w:val="6EC78701"/>
    <w:rsid w:val="6F7A5481"/>
    <w:rsid w:val="6FFE07A9"/>
    <w:rsid w:val="701D465E"/>
    <w:rsid w:val="701E0537"/>
    <w:rsid w:val="70583EA8"/>
    <w:rsid w:val="71BF4EC2"/>
    <w:rsid w:val="72734D90"/>
    <w:rsid w:val="72D43589"/>
    <w:rsid w:val="73E75B71"/>
    <w:rsid w:val="7412278C"/>
    <w:rsid w:val="749D7736"/>
    <w:rsid w:val="75DDCDA9"/>
    <w:rsid w:val="75FF44B1"/>
    <w:rsid w:val="76477D5F"/>
    <w:rsid w:val="77670518"/>
    <w:rsid w:val="777FA627"/>
    <w:rsid w:val="77DF1B5F"/>
    <w:rsid w:val="77EF2D9D"/>
    <w:rsid w:val="79E7B28D"/>
    <w:rsid w:val="7A3C7DD6"/>
    <w:rsid w:val="7ACFF0C2"/>
    <w:rsid w:val="7AFB9108"/>
    <w:rsid w:val="7BD5340C"/>
    <w:rsid w:val="7BFB19D2"/>
    <w:rsid w:val="7BFD1750"/>
    <w:rsid w:val="7BFDAA1B"/>
    <w:rsid w:val="7CDF9A82"/>
    <w:rsid w:val="7CFFA1BD"/>
    <w:rsid w:val="7D2E3F7A"/>
    <w:rsid w:val="7DED9490"/>
    <w:rsid w:val="7DFF4872"/>
    <w:rsid w:val="7E7487E6"/>
    <w:rsid w:val="7E7C2A54"/>
    <w:rsid w:val="7EEEFD72"/>
    <w:rsid w:val="7F1D517C"/>
    <w:rsid w:val="7F273AD2"/>
    <w:rsid w:val="7F5DA057"/>
    <w:rsid w:val="7F6C2237"/>
    <w:rsid w:val="7F7F319B"/>
    <w:rsid w:val="7F9F20EE"/>
    <w:rsid w:val="7FBBE890"/>
    <w:rsid w:val="7FBC2ABD"/>
    <w:rsid w:val="7FBF5D48"/>
    <w:rsid w:val="7FCCFC01"/>
    <w:rsid w:val="7FDD1748"/>
    <w:rsid w:val="7FE769C6"/>
    <w:rsid w:val="7FFD083E"/>
    <w:rsid w:val="7FFF9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First Indent 2" w:semiHidden="0" w:qFormat="1"/>
    <w:lsdException w:name="Hyperlink" w:semiHidden="0" w:qFormat="1"/>
    <w:lsdException w:name="Strong" w:semiHidden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8386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838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8386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8386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link w:val="Char"/>
    <w:uiPriority w:val="99"/>
    <w:qFormat/>
    <w:rsid w:val="00A8386E"/>
    <w:pPr>
      <w:spacing w:beforeLines="30"/>
    </w:pPr>
    <w:rPr>
      <w:rFonts w:ascii="仿宋_GB2312" w:eastAsia="仿宋_GB2312"/>
      <w:kern w:val="0"/>
      <w:sz w:val="30"/>
    </w:rPr>
  </w:style>
  <w:style w:type="paragraph" w:styleId="a4">
    <w:name w:val="Subtitle"/>
    <w:basedOn w:val="a"/>
    <w:next w:val="a"/>
    <w:qFormat/>
    <w:rsid w:val="00A8386E"/>
    <w:pPr>
      <w:spacing w:before="120" w:after="120" w:line="312" w:lineRule="auto"/>
      <w:jc w:val="left"/>
      <w:outlineLvl w:val="1"/>
    </w:pPr>
    <w:rPr>
      <w:rFonts w:ascii="Cambria" w:hAnsi="Cambria"/>
      <w:b/>
      <w:bCs/>
      <w:kern w:val="28"/>
      <w:sz w:val="24"/>
      <w:szCs w:val="32"/>
    </w:rPr>
  </w:style>
  <w:style w:type="paragraph" w:styleId="a5">
    <w:name w:val="Body Text Indent"/>
    <w:basedOn w:val="a"/>
    <w:qFormat/>
    <w:rsid w:val="00A8386E"/>
    <w:pPr>
      <w:spacing w:after="120"/>
      <w:ind w:leftChars="200" w:left="200"/>
    </w:pPr>
    <w:rPr>
      <w:rFonts w:ascii="仿宋_GB2312"/>
      <w:szCs w:val="32"/>
    </w:rPr>
  </w:style>
  <w:style w:type="paragraph" w:styleId="30">
    <w:name w:val="toc 3"/>
    <w:basedOn w:val="a"/>
    <w:next w:val="a"/>
    <w:uiPriority w:val="39"/>
    <w:unhideWhenUsed/>
    <w:qFormat/>
    <w:rsid w:val="00A8386E"/>
    <w:pPr>
      <w:tabs>
        <w:tab w:val="right" w:leader="dot" w:pos="8296"/>
      </w:tabs>
      <w:ind w:leftChars="400" w:left="840"/>
    </w:pPr>
  </w:style>
  <w:style w:type="paragraph" w:styleId="a6">
    <w:name w:val="Balloon Text"/>
    <w:basedOn w:val="a"/>
    <w:link w:val="Char0"/>
    <w:uiPriority w:val="99"/>
    <w:semiHidden/>
    <w:unhideWhenUsed/>
    <w:qFormat/>
    <w:rsid w:val="00A8386E"/>
    <w:rPr>
      <w:sz w:val="18"/>
      <w:szCs w:val="18"/>
    </w:rPr>
  </w:style>
  <w:style w:type="paragraph" w:styleId="a7">
    <w:name w:val="footer"/>
    <w:basedOn w:val="a"/>
    <w:link w:val="Char1"/>
    <w:uiPriority w:val="99"/>
    <w:qFormat/>
    <w:rsid w:val="00A8386E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a8">
    <w:name w:val="header"/>
    <w:basedOn w:val="a"/>
    <w:link w:val="Char2"/>
    <w:uiPriority w:val="99"/>
    <w:semiHidden/>
    <w:qFormat/>
    <w:rsid w:val="00A838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A8386E"/>
    <w:pPr>
      <w:tabs>
        <w:tab w:val="right" w:leader="dot" w:pos="8296"/>
      </w:tabs>
      <w:spacing w:before="93"/>
      <w:jc w:val="center"/>
    </w:pPr>
    <w:rPr>
      <w:rFonts w:ascii="仿宋" w:eastAsia="仿宋" w:hAnsi="仿宋"/>
      <w:sz w:val="28"/>
      <w:szCs w:val="28"/>
    </w:rPr>
  </w:style>
  <w:style w:type="paragraph" w:styleId="20">
    <w:name w:val="toc 2"/>
    <w:basedOn w:val="a"/>
    <w:next w:val="a"/>
    <w:uiPriority w:val="39"/>
    <w:unhideWhenUsed/>
    <w:qFormat/>
    <w:rsid w:val="00A8386E"/>
    <w:pPr>
      <w:tabs>
        <w:tab w:val="right" w:leader="dot" w:pos="8296"/>
      </w:tabs>
      <w:ind w:leftChars="200" w:left="420"/>
    </w:pPr>
  </w:style>
  <w:style w:type="paragraph" w:styleId="a9">
    <w:name w:val="Normal (Web)"/>
    <w:basedOn w:val="a"/>
    <w:qFormat/>
    <w:rsid w:val="00A8386E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1">
    <w:name w:val="Body Text First Indent 2"/>
    <w:basedOn w:val="a5"/>
    <w:uiPriority w:val="99"/>
    <w:unhideWhenUsed/>
    <w:qFormat/>
    <w:rsid w:val="00A8386E"/>
    <w:pPr>
      <w:ind w:firstLineChars="200" w:firstLine="420"/>
    </w:pPr>
  </w:style>
  <w:style w:type="character" w:styleId="aa">
    <w:name w:val="Strong"/>
    <w:basedOn w:val="a1"/>
    <w:uiPriority w:val="99"/>
    <w:qFormat/>
    <w:rsid w:val="00A8386E"/>
    <w:rPr>
      <w:b/>
    </w:rPr>
  </w:style>
  <w:style w:type="character" w:styleId="ab">
    <w:name w:val="Hyperlink"/>
    <w:basedOn w:val="a1"/>
    <w:uiPriority w:val="99"/>
    <w:unhideWhenUsed/>
    <w:qFormat/>
    <w:rsid w:val="00A8386E"/>
    <w:rPr>
      <w:color w:val="0000FF" w:themeColor="hyperlink"/>
      <w:u w:val="single"/>
    </w:rPr>
  </w:style>
  <w:style w:type="paragraph" w:customStyle="1" w:styleId="5">
    <w:name w:val="标题 5（有编号）（绿盟科技）"/>
    <w:next w:val="a"/>
    <w:uiPriority w:val="99"/>
    <w:qFormat/>
    <w:rsid w:val="00A8386E"/>
    <w:pPr>
      <w:keepNext/>
      <w:keepLines/>
      <w:widowControl w:val="0"/>
      <w:spacing w:before="280" w:after="156" w:line="377" w:lineRule="auto"/>
      <w:outlineLvl w:val="4"/>
    </w:pPr>
    <w:rPr>
      <w:rFonts w:ascii="Arial" w:eastAsia="黑体" w:hAnsi="Arial"/>
      <w:b/>
      <w:kern w:val="2"/>
      <w:sz w:val="24"/>
      <w:szCs w:val="28"/>
    </w:rPr>
  </w:style>
  <w:style w:type="character" w:customStyle="1" w:styleId="HeaderChar">
    <w:name w:val="Header Char"/>
    <w:basedOn w:val="a1"/>
    <w:uiPriority w:val="99"/>
    <w:semiHidden/>
    <w:qFormat/>
    <w:rsid w:val="00A8386E"/>
    <w:rPr>
      <w:rFonts w:ascii="Times New Roman" w:hAnsi="Times New Roman"/>
      <w:sz w:val="18"/>
      <w:szCs w:val="18"/>
    </w:rPr>
  </w:style>
  <w:style w:type="character" w:customStyle="1" w:styleId="Char2">
    <w:name w:val="页眉 Char"/>
    <w:link w:val="a8"/>
    <w:uiPriority w:val="99"/>
    <w:semiHidden/>
    <w:qFormat/>
    <w:locked/>
    <w:rsid w:val="00A8386E"/>
    <w:rPr>
      <w:sz w:val="18"/>
    </w:rPr>
  </w:style>
  <w:style w:type="character" w:customStyle="1" w:styleId="FooterChar">
    <w:name w:val="Footer Char"/>
    <w:basedOn w:val="a1"/>
    <w:uiPriority w:val="99"/>
    <w:semiHidden/>
    <w:qFormat/>
    <w:rsid w:val="00A8386E"/>
    <w:rPr>
      <w:rFonts w:ascii="Times New Roman" w:hAnsi="Times New Roman"/>
      <w:sz w:val="18"/>
      <w:szCs w:val="18"/>
    </w:rPr>
  </w:style>
  <w:style w:type="character" w:customStyle="1" w:styleId="Char1">
    <w:name w:val="页脚 Char"/>
    <w:link w:val="a7"/>
    <w:uiPriority w:val="99"/>
    <w:qFormat/>
    <w:locked/>
    <w:rsid w:val="00A8386E"/>
    <w:rPr>
      <w:sz w:val="18"/>
    </w:rPr>
  </w:style>
  <w:style w:type="character" w:customStyle="1" w:styleId="BodyTextChar">
    <w:name w:val="Body Text Char"/>
    <w:basedOn w:val="a1"/>
    <w:uiPriority w:val="99"/>
    <w:semiHidden/>
    <w:qFormat/>
    <w:rsid w:val="00A8386E"/>
    <w:rPr>
      <w:rFonts w:ascii="Times New Roman" w:hAnsi="Times New Roman"/>
      <w:szCs w:val="24"/>
    </w:rPr>
  </w:style>
  <w:style w:type="character" w:customStyle="1" w:styleId="Char">
    <w:name w:val="正文文本 Char"/>
    <w:link w:val="a0"/>
    <w:uiPriority w:val="99"/>
    <w:qFormat/>
    <w:locked/>
    <w:rsid w:val="00A8386E"/>
    <w:rPr>
      <w:rFonts w:ascii="仿宋_GB2312" w:eastAsia="仿宋_GB2312" w:hAnsi="Times New Roman"/>
      <w:sz w:val="24"/>
    </w:rPr>
  </w:style>
  <w:style w:type="paragraph" w:customStyle="1" w:styleId="Default">
    <w:name w:val="Default"/>
    <w:qFormat/>
    <w:rsid w:val="00A8386E"/>
    <w:pPr>
      <w:widowControl w:val="0"/>
      <w:autoSpaceDE w:val="0"/>
      <w:autoSpaceDN w:val="0"/>
      <w:adjustRightInd w:val="0"/>
    </w:pPr>
    <w:rPr>
      <w:rFonts w:ascii="仿宋" w:eastAsia="仿宋" w:hAnsi="Calibri" w:cs="仿宋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A8386E"/>
    <w:pPr>
      <w:ind w:firstLineChars="200" w:firstLine="420"/>
    </w:pPr>
  </w:style>
  <w:style w:type="character" w:customStyle="1" w:styleId="1Char">
    <w:name w:val="标题 1 Char"/>
    <w:basedOn w:val="a1"/>
    <w:link w:val="1"/>
    <w:qFormat/>
    <w:rsid w:val="00A8386E"/>
    <w:rPr>
      <w:rFonts w:ascii="Times New Roman" w:hAnsi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sid w:val="00A8386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TOC1">
    <w:name w:val="TOC 标题1"/>
    <w:basedOn w:val="1"/>
    <w:next w:val="a"/>
    <w:uiPriority w:val="39"/>
    <w:unhideWhenUsed/>
    <w:qFormat/>
    <w:rsid w:val="00A8386E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Char0">
    <w:name w:val="批注框文本 Char"/>
    <w:basedOn w:val="a1"/>
    <w:link w:val="a6"/>
    <w:uiPriority w:val="99"/>
    <w:semiHidden/>
    <w:qFormat/>
    <w:rsid w:val="00A8386E"/>
    <w:rPr>
      <w:rFonts w:ascii="Times New Roman" w:hAnsi="Times New Roman"/>
      <w:kern w:val="2"/>
      <w:sz w:val="18"/>
      <w:szCs w:val="18"/>
    </w:rPr>
  </w:style>
  <w:style w:type="character" w:customStyle="1" w:styleId="3Char">
    <w:name w:val="标题 3 Char"/>
    <w:basedOn w:val="a1"/>
    <w:link w:val="3"/>
    <w:uiPriority w:val="9"/>
    <w:qFormat/>
    <w:rsid w:val="00A8386E"/>
    <w:rPr>
      <w:rFonts w:ascii="Times New Roman" w:hAnsi="Times New Roman"/>
      <w:b/>
      <w:bCs/>
      <w:kern w:val="2"/>
      <w:sz w:val="32"/>
      <w:szCs w:val="32"/>
    </w:rPr>
  </w:style>
  <w:style w:type="paragraph" w:customStyle="1" w:styleId="TOC2">
    <w:name w:val="TOC 标题2"/>
    <w:basedOn w:val="1"/>
    <w:next w:val="a"/>
    <w:uiPriority w:val="39"/>
    <w:unhideWhenUsed/>
    <w:qFormat/>
    <w:rsid w:val="00A8386E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TOC3">
    <w:name w:val="TOC 标题3"/>
    <w:basedOn w:val="1"/>
    <w:next w:val="a"/>
    <w:qFormat/>
    <w:rsid w:val="00A8386E"/>
    <w:pPr>
      <w:widowControl/>
      <w:spacing w:before="480" w:after="0" w:line="276" w:lineRule="auto"/>
      <w:jc w:val="left"/>
      <w:outlineLvl w:val="9"/>
    </w:pPr>
    <w:rPr>
      <w:rFonts w:ascii="Cambria" w:hAnsi="Cambria"/>
      <w:color w:val="366091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chart" Target="charts/chart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chart" Target="charts/chart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Relationship Id="rId22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3.xlsx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54.xlsx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package" Target="../embeddings/Workbook6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7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CN"/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baseline="0">
                <a:solidFill>
                  <a:srgbClr val="595959"/>
                </a:solidFill>
                <a:latin typeface="Times New Roman" panose="02020603050405020304"/>
                <a:ea typeface="宋体" panose="02010600030101010101" charset="-122"/>
                <a:cs typeface="Lucida Sans" panose="020B0602030504020204"/>
              </a:defRPr>
            </a:pPr>
            <a:r>
              <a:rPr lang="zh-CN"/>
              <a:t>收、支决算总计柱状图对比</a:t>
            </a:r>
          </a:p>
        </c:rich>
      </c:tx>
      <c:layout>
        <c:manualLayout>
          <c:xMode val="edge"/>
          <c:yMode val="edge"/>
          <c:x val="0.28150000000000003"/>
          <c:y val="3.0697879858657205E-2"/>
        </c:manualLayout>
      </c:layout>
      <c:spPr>
        <a:noFill/>
        <a:ln>
          <a:noFill/>
        </a:ln>
      </c:spPr>
    </c:title>
    <c:plotArea>
      <c:layout>
        <c:manualLayout>
          <c:layoutTarget val="inner"/>
          <c:xMode val="edge"/>
          <c:yMode val="edge"/>
          <c:x val="0.11795"/>
          <c:y val="9.516419316843383E-2"/>
          <c:w val="0.69630000000000003"/>
          <c:h val="0.79273333333333307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2025年收、支决算总计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</c:spPr>
          <c:val>
            <c:numRef>
              <c:f>Sheet1!$B$2</c:f>
              <c:numCache>
                <c:formatCode>General</c:formatCode>
                <c:ptCount val="1"/>
                <c:pt idx="0">
                  <c:v>188.7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2024年收、支决算总计</c:v>
                </c:pt>
              </c:strCache>
            </c:strRef>
          </c:tx>
          <c:spPr>
            <a:solidFill>
              <a:srgbClr val="C0504D"/>
            </a:solidFill>
            <a:ln>
              <a:noFill/>
            </a:ln>
          </c:spPr>
          <c:val>
            <c:numRef>
              <c:f>Sheet1!$B$3</c:f>
              <c:numCache>
                <c:formatCode>General</c:formatCode>
                <c:ptCount val="1"/>
                <c:pt idx="0">
                  <c:v>195.6</c:v>
                </c:pt>
              </c:numCache>
            </c:numRef>
          </c:val>
        </c:ser>
        <c:dLbls/>
        <c:axId val="32994048"/>
        <c:axId val="32995584"/>
      </c:barChart>
      <c:catAx>
        <c:axId val="32994048"/>
        <c:scaling>
          <c:orientation val="minMax"/>
        </c:scaling>
        <c:axPos val="b"/>
        <c:numFmt formatCode="General" sourceLinked="1"/>
        <c:majorTickMark val="none"/>
        <c:tickLblPos val="nextTo"/>
        <c:spPr>
          <a:ln w="6350" cap="flat" cmpd="sng" algn="ctr">
            <a:solidFill>
              <a:srgbClr val="D9D9D9"/>
            </a:solidFill>
            <a:prstDash val="solid"/>
            <a:round/>
          </a:ln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/>
                </a:solidFill>
                <a:latin typeface="Times New Roman" panose="02020603050405020304"/>
                <a:ea typeface="宋体" panose="02010600030101010101" charset="-122"/>
                <a:cs typeface="Lucida Sans" panose="020B0602030504020204"/>
              </a:defRPr>
            </a:pPr>
            <a:endParaRPr lang="zh-CN"/>
          </a:p>
        </c:txPr>
        <c:crossAx val="32995584"/>
        <c:crosses val="autoZero"/>
        <c:auto val="1"/>
        <c:lblAlgn val="ctr"/>
        <c:lblOffset val="100"/>
      </c:catAx>
      <c:valAx>
        <c:axId val="32995584"/>
        <c:scaling>
          <c:orientation val="minMax"/>
        </c:scaling>
        <c:axPos val="l"/>
        <c:majorGridlines>
          <c:spPr>
            <a:ln w="6350" cap="flat" cmpd="sng" algn="ctr">
              <a:solidFill>
                <a:srgbClr val="D9D9D9"/>
              </a:solidFill>
              <a:prstDash val="solid"/>
              <a:round/>
            </a:ln>
          </c:spPr>
        </c:majorGridlines>
        <c:numFmt formatCode="General" sourceLinked="1"/>
        <c:majorTickMark val="none"/>
        <c:tickLblPos val="nextTo"/>
        <c:spPr>
          <a:ln w="9525" cap="flat" cmpd="sng" algn="ctr">
            <a:noFill/>
            <a:prstDash val="solid"/>
            <a:round/>
          </a:ln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595959"/>
                </a:solidFill>
                <a:latin typeface="Times New Roman" panose="02020603050405020304"/>
                <a:ea typeface="宋体" panose="02010600030101010101" charset="-122"/>
                <a:cs typeface="Lucida Sans" panose="020B0602030504020204"/>
              </a:defRPr>
            </a:pPr>
            <a:endParaRPr lang="zh-CN"/>
          </a:p>
        </c:txPr>
        <c:crossAx val="32994048"/>
        <c:crossesAt val="1"/>
        <c:crossBetween val="between"/>
      </c:valAx>
      <c:spPr>
        <a:noFill/>
        <a:ln>
          <a:noFill/>
        </a:ln>
      </c:spPr>
    </c:plotArea>
    <c:legend>
      <c:legendPos val="r"/>
      <c:layout/>
      <c:spPr>
        <a:noFill/>
        <a:ln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/>
              </a:solidFill>
              <a:latin typeface="Times New Roman" panose="02020603050405020304"/>
              <a:ea typeface="宋体" panose="02010600030101010101" charset="-122"/>
              <a:cs typeface="Lucida Sans" panose="020B0602030504020204"/>
            </a:defRPr>
          </a:pPr>
          <a:endParaRPr lang="zh-CN"/>
        </a:p>
      </c:txPr>
    </c:legend>
    <c:plotVisOnly val="1"/>
    <c:dispBlanksAs val="gap"/>
  </c:chart>
  <c:spPr>
    <a:solidFill>
      <a:srgbClr val="FFFFFF"/>
    </a:solidFill>
    <a:ln w="6350" cap="flat" cmpd="sng" algn="ctr">
      <a:solidFill>
        <a:srgbClr val="D9D9D9"/>
      </a:solidFill>
      <a:prstDash val="solid"/>
      <a:round/>
    </a:ln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Times New Roman" panose="02020603050405020304"/>
          <a:ea typeface="宋体" panose="02010600030101010101" charset="-122"/>
          <a:cs typeface="Lucida Sans" panose="020B0602030504020204"/>
        </a:defRPr>
      </a:pPr>
      <a:endParaRPr lang="zh-CN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CN"/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1" i="0" u="none" strike="noStrike" kern="1200" baseline="0">
                <a:solidFill>
                  <a:srgbClr val="404040"/>
                </a:solidFill>
                <a:latin typeface="Times New Roman" panose="02020603050405020304"/>
                <a:ea typeface="宋体" panose="02010600030101010101" charset="-122"/>
                <a:cs typeface="Lucida Sans" panose="020B0602030504020204"/>
              </a:defRPr>
            </a:pPr>
            <a:r>
              <a:rPr lang="zh-CN"/>
              <a:t>本年收入</a:t>
            </a:r>
          </a:p>
        </c:rich>
      </c:tx>
      <c:layout>
        <c:manualLayout>
          <c:xMode val="edge"/>
          <c:yMode val="edge"/>
          <c:x val="0.42667310944672598"/>
          <c:y val="3.9949001274968109E-2"/>
        </c:manualLayout>
      </c:layout>
      <c:spPr>
        <a:noFill/>
        <a:ln>
          <a:noFill/>
        </a:ln>
      </c:spPr>
    </c:title>
    <c:plotArea>
      <c:layout/>
      <c:pieChart>
        <c:varyColors val="1"/>
        <c:ser>
          <c:idx val="0"/>
          <c:order val="0"/>
          <c:tx>
            <c:strRef>
              <c:f>'Sheet1 (2)'!$B$1</c:f>
              <c:strCache>
                <c:ptCount val="1"/>
                <c:pt idx="0">
                  <c:v>本年收入</c:v>
                </c:pt>
              </c:strCache>
            </c:strRef>
          </c:tx>
          <c:spPr>
            <a:ln>
              <a:noFill/>
            </a:ln>
          </c:spPr>
          <c:dPt>
            <c:idx val="0"/>
            <c:spPr>
              <a:solidFill>
                <a:srgbClr val="4F81B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1"/>
            <c:spPr>
              <a:solidFill>
                <a:srgbClr val="C0504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2"/>
            <c:spPr>
              <a:solidFill>
                <a:srgbClr val="9BBB59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3"/>
            <c:spPr>
              <a:solidFill>
                <a:srgbClr val="8064A2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4"/>
            <c:spPr>
              <a:solidFill>
                <a:srgbClr val="4BACC6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5"/>
            <c:spPr>
              <a:solidFill>
                <a:srgbClr val="F79646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6"/>
            <c:spPr>
              <a:solidFill>
                <a:srgbClr val="2C4D75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7"/>
            <c:spPr>
              <a:solidFill>
                <a:srgbClr val="772C2A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rgbClr val="404040"/>
                    </a:solidFill>
                    <a:latin typeface="Times New Roman" panose="02020603050405020304"/>
                    <a:ea typeface="宋体" panose="02010600030101010101" charset="-122"/>
                    <a:cs typeface="Lucida Sans" panose="020B0602030504020204"/>
                  </a:defRPr>
                </a:pPr>
                <a:endParaRPr lang="zh-CN"/>
              </a:p>
            </c:txPr>
            <c:dLblPos val="inEnd"/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'Sheet1 (2)'!$A$2:$A$9</c:f>
              <c:strCache>
                <c:ptCount val="8"/>
                <c:pt idx="0">
                  <c:v>一般公共预算财政拨款收入</c:v>
                </c:pt>
                <c:pt idx="1">
                  <c:v>政府性基金预算财政拨款收入</c:v>
                </c:pt>
                <c:pt idx="2">
                  <c:v>国有资本经营预算财政拨款收入</c:v>
                </c:pt>
                <c:pt idx="3">
                  <c:v>上级补助收入</c:v>
                </c:pt>
                <c:pt idx="4">
                  <c:v>事业收入</c:v>
                </c:pt>
                <c:pt idx="5">
                  <c:v>经营收入</c:v>
                </c:pt>
                <c:pt idx="6">
                  <c:v>附属单位上缴收入</c:v>
                </c:pt>
                <c:pt idx="7">
                  <c:v>其他收入</c:v>
                </c:pt>
              </c:strCache>
            </c:strRef>
          </c:cat>
          <c:val>
            <c:numRef>
              <c:f>'Sheet1 (2)'!$B$2:$B$9</c:f>
              <c:numCache>
                <c:formatCode>General</c:formatCode>
                <c:ptCount val="8"/>
                <c:pt idx="0">
                  <c:v>188.7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</c:ser>
        <c:dLbls>
          <c:showPercent val="1"/>
        </c:dLbls>
        <c:firstSliceAng val="0"/>
      </c:pieChart>
      <c:spPr>
        <a:noFill/>
        <a:ln>
          <a:noFill/>
        </a:ln>
      </c:spPr>
    </c:plotArea>
    <c:legend>
      <c:legendPos val="r"/>
      <c:layout/>
      <c:spPr>
        <a:noFill/>
        <a:ln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/>
              </a:solidFill>
              <a:latin typeface="Times New Roman" panose="02020603050405020304"/>
              <a:ea typeface="宋体" panose="02010600030101010101" charset="-122"/>
              <a:cs typeface="Lucida Sans" panose="020B0602030504020204"/>
            </a:defRPr>
          </a:pPr>
          <a:endParaRPr lang="zh-CN"/>
        </a:p>
      </c:txPr>
    </c:legend>
    <c:plotVisOnly val="1"/>
    <c:dispBlanksAs val="zero"/>
  </c:chart>
  <c:spPr>
    <a:solidFill>
      <a:srgbClr val="FFFFFF"/>
    </a:solidFill>
    <a:ln w="6350" cap="flat" cmpd="sng" algn="ctr">
      <a:solidFill>
        <a:srgbClr val="D9D9D9"/>
      </a:solidFill>
      <a:prstDash val="solid"/>
      <a:round/>
    </a:ln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Times New Roman" panose="02020603050405020304"/>
          <a:ea typeface="宋体" panose="02010600030101010101" charset="-122"/>
          <a:cs typeface="Lucida Sans" panose="020B0602030504020204"/>
        </a:defRPr>
      </a:pPr>
      <a:endParaRPr lang="zh-CN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CN"/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1" i="0" u="none" strike="noStrike" kern="1200" baseline="0">
                <a:solidFill>
                  <a:srgbClr val="404040"/>
                </a:solidFill>
                <a:latin typeface="Times New Roman" panose="02020603050405020304"/>
                <a:ea typeface="宋体" panose="02010600030101010101" charset="-122"/>
                <a:cs typeface="Lucida Sans" panose="020B0602030504020204"/>
              </a:defRPr>
            </a:pPr>
            <a:r>
              <a:rPr lang="zh-CN"/>
              <a:t>决算支出</a:t>
            </a:r>
          </a:p>
        </c:rich>
      </c:tx>
      <c:layout/>
      <c:spPr>
        <a:noFill/>
        <a:ln>
          <a:noFill/>
        </a:ln>
      </c:spPr>
    </c:title>
    <c:plotArea>
      <c:layout/>
      <c:pieChart>
        <c:varyColors val="1"/>
        <c:ser>
          <c:idx val="0"/>
          <c:order val="0"/>
          <c:tx>
            <c:strRef>
              <c:f>'Sheet1 (3)'!$B$1</c:f>
              <c:strCache>
                <c:ptCount val="1"/>
                <c:pt idx="0">
                  <c:v>决算支出</c:v>
                </c:pt>
              </c:strCache>
            </c:strRef>
          </c:tx>
          <c:spPr>
            <a:ln>
              <a:noFill/>
            </a:ln>
          </c:spPr>
          <c:dPt>
            <c:idx val="0"/>
            <c:spPr>
              <a:solidFill>
                <a:srgbClr val="4F81B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1"/>
            <c:spPr>
              <a:solidFill>
                <a:srgbClr val="C0504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rgbClr val="404040"/>
                    </a:solidFill>
                    <a:latin typeface="Times New Roman" panose="02020603050405020304"/>
                    <a:ea typeface="宋体" panose="02010600030101010101" charset="-122"/>
                    <a:cs typeface="Lucida Sans" panose="020B0602030504020204"/>
                  </a:defRPr>
                </a:pPr>
                <a:endParaRPr lang="zh-CN"/>
              </a:p>
            </c:txPr>
            <c:dLblPos val="inEnd"/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'Sheet1 (3)'!$A$2:$A$3</c:f>
              <c:strCache>
                <c:ptCount val="2"/>
                <c:pt idx="0">
                  <c:v>基本支出</c:v>
                </c:pt>
                <c:pt idx="1">
                  <c:v>项目支出</c:v>
                </c:pt>
              </c:strCache>
            </c:strRef>
          </c:cat>
          <c:val>
            <c:numRef>
              <c:f>'Sheet1 (3)'!$B$2:$B$3</c:f>
              <c:numCache>
                <c:formatCode>General</c:formatCode>
                <c:ptCount val="2"/>
                <c:pt idx="0">
                  <c:v>188.7</c:v>
                </c:pt>
                <c:pt idx="1">
                  <c:v>0</c:v>
                </c:pt>
              </c:numCache>
            </c:numRef>
          </c:val>
        </c:ser>
        <c:dLbls>
          <c:showPercent val="1"/>
        </c:dLbls>
        <c:firstSliceAng val="0"/>
      </c:pieChart>
      <c:spPr>
        <a:noFill/>
        <a:ln>
          <a:noFill/>
        </a:ln>
      </c:spPr>
    </c:plotArea>
    <c:legend>
      <c:legendPos val="r"/>
      <c:layout/>
      <c:spPr>
        <a:noFill/>
        <a:ln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/>
              </a:solidFill>
              <a:latin typeface="Times New Roman" panose="02020603050405020304"/>
              <a:ea typeface="宋体" panose="02010600030101010101" charset="-122"/>
              <a:cs typeface="Lucida Sans" panose="020B0602030504020204"/>
            </a:defRPr>
          </a:pPr>
          <a:endParaRPr lang="zh-CN"/>
        </a:p>
      </c:txPr>
    </c:legend>
    <c:plotVisOnly val="1"/>
    <c:dispBlanksAs val="zero"/>
  </c:chart>
  <c:spPr>
    <a:solidFill>
      <a:srgbClr val="FFFFFF"/>
    </a:solidFill>
    <a:ln w="6350" cap="flat" cmpd="sng" algn="ctr">
      <a:solidFill>
        <a:srgbClr val="D9D9D9"/>
      </a:solidFill>
      <a:prstDash val="solid"/>
      <a:round/>
    </a:ln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Times New Roman" panose="02020603050405020304"/>
          <a:ea typeface="宋体" panose="02010600030101010101" charset="-122"/>
          <a:cs typeface="Lucida Sans" panose="020B0602030504020204"/>
        </a:defRPr>
      </a:pPr>
      <a:endParaRPr lang="zh-CN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CN"/>
  <c:chart>
    <c:title>
      <c:layout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收支决算数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1"/>
            <c:spPr>
              <a:solidFill>
                <a:srgbClr val="FF0000"/>
              </a:solidFill>
              <a:ln>
                <a:noFill/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2024年收支出决算数</c:v>
                </c:pt>
                <c:pt idx="1">
                  <c:v>2025年收支出决算数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195.6</c:v>
                </c:pt>
                <c:pt idx="1">
                  <c:v>188.7</c:v>
                </c:pt>
              </c:numCache>
            </c:numRef>
          </c:val>
        </c:ser>
        <c:dLbls/>
        <c:gapWidth val="246"/>
        <c:overlap val="-28"/>
        <c:axId val="36905344"/>
        <c:axId val="36906880"/>
      </c:barChart>
      <c:catAx>
        <c:axId val="36905344"/>
        <c:scaling>
          <c:orientation val="minMax"/>
        </c:scaling>
        <c:delete val="1"/>
        <c:axPos val="b"/>
        <c:majorTickMark val="none"/>
        <c:tickLblPos val="none"/>
        <c:crossAx val="36906880"/>
        <c:crosses val="autoZero"/>
        <c:auto val="1"/>
        <c:lblAlgn val="ctr"/>
        <c:lblOffset val="100"/>
      </c:catAx>
      <c:valAx>
        <c:axId val="3690688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690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  <a:endParaRPr lang="zh-CN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CN"/>
  <c:chart>
    <c:title>
      <c:layout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一般公共预算财政拨款支出决算数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1"/>
            <c:spPr>
              <a:solidFill>
                <a:srgbClr val="FF0000"/>
              </a:solidFill>
              <a:ln>
                <a:noFill/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2024年一般公共预算财政拨款支出决算数</c:v>
                </c:pt>
                <c:pt idx="1">
                  <c:v>2025年一般公共预算财政拨款支出决算数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195.6</c:v>
                </c:pt>
                <c:pt idx="1">
                  <c:v>188.7</c:v>
                </c:pt>
              </c:numCache>
            </c:numRef>
          </c:val>
        </c:ser>
        <c:dLbls/>
        <c:gapWidth val="246"/>
        <c:overlap val="-28"/>
        <c:axId val="36841344"/>
        <c:axId val="36842880"/>
      </c:barChart>
      <c:catAx>
        <c:axId val="36841344"/>
        <c:scaling>
          <c:orientation val="minMax"/>
        </c:scaling>
        <c:delete val="1"/>
        <c:axPos val="b"/>
        <c:majorTickMark val="none"/>
        <c:tickLblPos val="none"/>
        <c:crossAx val="36842880"/>
        <c:crosses val="autoZero"/>
        <c:auto val="1"/>
        <c:lblAlgn val="ctr"/>
        <c:lblOffset val="100"/>
      </c:catAx>
      <c:valAx>
        <c:axId val="3684288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6841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  <a:endParaRPr lang="zh-CN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CN"/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1" i="0" u="none" strike="noStrike" kern="1200" baseline="0">
                <a:solidFill>
                  <a:srgbClr val="404040"/>
                </a:solidFill>
                <a:latin typeface="Times New Roman" panose="02020603050405020304"/>
                <a:ea typeface="宋体" panose="02010600030101010101" charset="-122"/>
                <a:cs typeface="Lucida Sans" panose="020B0602030504020204"/>
              </a:defRPr>
            </a:pPr>
            <a:r>
              <a:rPr lang="zh-CN"/>
              <a:t>决算支出</a:t>
            </a:r>
          </a:p>
        </c:rich>
      </c:tx>
      <c:layout/>
      <c:spPr>
        <a:noFill/>
        <a:ln>
          <a:noFill/>
        </a:ln>
      </c:spPr>
    </c:title>
    <c:plotArea>
      <c:layout/>
      <c:pieChart>
        <c:varyColors val="1"/>
        <c:ser>
          <c:idx val="0"/>
          <c:order val="0"/>
          <c:tx>
            <c:strRef>
              <c:f>'Sheet1 (3)'!$B$1</c:f>
              <c:strCache>
                <c:ptCount val="1"/>
                <c:pt idx="0">
                  <c:v>决算支出</c:v>
                </c:pt>
              </c:strCache>
            </c:strRef>
          </c:tx>
          <c:spPr>
            <a:ln>
              <a:noFill/>
            </a:ln>
          </c:spPr>
          <c:dPt>
            <c:idx val="0"/>
            <c:spPr>
              <a:solidFill>
                <a:srgbClr val="4F81B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1"/>
            <c:spPr>
              <a:solidFill>
                <a:srgbClr val="C0504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2"/>
          </c:dPt>
          <c:dPt>
            <c:idx val="3"/>
          </c:dPt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rgbClr val="404040"/>
                    </a:solidFill>
                    <a:latin typeface="Times New Roman" panose="02020603050405020304"/>
                    <a:ea typeface="宋体" panose="02010600030101010101" charset="-122"/>
                    <a:cs typeface="Lucida Sans" panose="020B0602030504020204"/>
                  </a:defRPr>
                </a:pPr>
                <a:endParaRPr lang="zh-CN"/>
              </a:p>
            </c:txPr>
            <c:dLblPos val="inEnd"/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'Sheet1 (3)'!$A$2:$A$5</c:f>
              <c:strCache>
                <c:ptCount val="4"/>
                <c:pt idx="0">
                  <c:v>一般公共服务支出</c:v>
                </c:pt>
                <c:pt idx="1">
                  <c:v>社会保障就业支出</c:v>
                </c:pt>
                <c:pt idx="2">
                  <c:v>卫生健康支出</c:v>
                </c:pt>
                <c:pt idx="3">
                  <c:v>住房保障</c:v>
                </c:pt>
              </c:strCache>
            </c:strRef>
          </c:cat>
          <c:val>
            <c:numRef>
              <c:f>'Sheet1 (3)'!$B$2:$B$5</c:f>
              <c:numCache>
                <c:formatCode>General</c:formatCode>
                <c:ptCount val="4"/>
                <c:pt idx="0">
                  <c:v>128.88000000000002</c:v>
                </c:pt>
                <c:pt idx="1">
                  <c:v>31.19</c:v>
                </c:pt>
                <c:pt idx="2">
                  <c:v>11.239999999999998</c:v>
                </c:pt>
                <c:pt idx="3">
                  <c:v>17.39</c:v>
                </c:pt>
              </c:numCache>
            </c:numRef>
          </c:val>
        </c:ser>
        <c:dLbls>
          <c:showPercent val="1"/>
        </c:dLbls>
        <c:firstSliceAng val="0"/>
      </c:pieChart>
      <c:spPr>
        <a:noFill/>
        <a:ln>
          <a:noFill/>
        </a:ln>
      </c:spPr>
    </c:plotArea>
    <c:legend>
      <c:legendPos val="r"/>
      <c:layout/>
      <c:spPr>
        <a:noFill/>
        <a:ln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/>
              </a:solidFill>
              <a:latin typeface="Times New Roman" panose="02020603050405020304"/>
              <a:ea typeface="宋体" panose="02010600030101010101" charset="-122"/>
              <a:cs typeface="Lucida Sans" panose="020B0602030504020204"/>
            </a:defRPr>
          </a:pPr>
          <a:endParaRPr lang="zh-CN"/>
        </a:p>
      </c:txPr>
    </c:legend>
    <c:plotVisOnly val="1"/>
    <c:dispBlanksAs val="zero"/>
  </c:chart>
  <c:spPr>
    <a:solidFill>
      <a:srgbClr val="FFFFFF"/>
    </a:solidFill>
    <a:ln w="6350" cap="flat" cmpd="sng" algn="ctr">
      <a:solidFill>
        <a:srgbClr val="D9D9D9"/>
      </a:solidFill>
      <a:prstDash val="solid"/>
      <a:round/>
    </a:ln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Times New Roman" panose="02020603050405020304"/>
          <a:ea typeface="宋体" panose="02010600030101010101" charset="-122"/>
          <a:cs typeface="Lucida Sans" panose="020B0602030504020204"/>
        </a:defRPr>
      </a:pPr>
      <a:endParaRPr lang="zh-CN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CN"/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1" i="0" u="none" strike="noStrike" kern="1200" baseline="0">
                <a:solidFill>
                  <a:srgbClr val="404040"/>
                </a:solidFill>
                <a:latin typeface="Times New Roman" panose="02020603050405020304"/>
                <a:ea typeface="宋体" panose="02010600030101010101" charset="-122"/>
                <a:cs typeface="Lucida Sans" panose="020B0602030504020204"/>
              </a:defRPr>
            </a:pPr>
            <a:r>
              <a:rPr lang="zh-CN"/>
              <a:t>“三公”经费财政拨款支出决</a:t>
            </a:r>
          </a:p>
        </c:rich>
      </c:tx>
      <c:layout/>
      <c:spPr>
        <a:noFill/>
        <a:ln>
          <a:noFill/>
        </a:ln>
      </c:spPr>
    </c:title>
    <c:plotArea>
      <c:layout/>
      <c:pieChart>
        <c:varyColors val="1"/>
        <c:ser>
          <c:idx val="0"/>
          <c:order val="0"/>
          <c:tx>
            <c:strRef>
              <c:f>'Sheet1 (7)'!$B$1</c:f>
              <c:strCache>
                <c:ptCount val="1"/>
                <c:pt idx="0">
                  <c:v>“三公”经费财政拨款支出决</c:v>
                </c:pt>
              </c:strCache>
            </c:strRef>
          </c:tx>
          <c:spPr>
            <a:ln>
              <a:noFill/>
            </a:ln>
          </c:spPr>
          <c:dPt>
            <c:idx val="0"/>
            <c:spPr>
              <a:solidFill>
                <a:srgbClr val="4F81B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1"/>
            <c:spPr>
              <a:solidFill>
                <a:srgbClr val="C0504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2"/>
            <c:spPr>
              <a:solidFill>
                <a:srgbClr val="9BBB59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rgbClr val="404040"/>
                    </a:solidFill>
                    <a:latin typeface="Times New Roman" panose="02020603050405020304"/>
                    <a:ea typeface="宋体" panose="02010600030101010101" charset="-122"/>
                    <a:cs typeface="Lucida Sans" panose="020B0602030504020204"/>
                  </a:defRPr>
                </a:pPr>
                <a:endParaRPr lang="zh-CN"/>
              </a:p>
            </c:txPr>
            <c:dLblPos val="inEnd"/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'Sheet1 (7)'!$A$2:$A$4</c:f>
              <c:strCache>
                <c:ptCount val="3"/>
                <c:pt idx="0">
                  <c:v>因公出国（境）费支出</c:v>
                </c:pt>
                <c:pt idx="1">
                  <c:v>公务用车购置及运行维护费支出</c:v>
                </c:pt>
                <c:pt idx="2">
                  <c:v>公务接待费支出</c:v>
                </c:pt>
              </c:strCache>
            </c:strRef>
          </c:cat>
          <c:val>
            <c:numRef>
              <c:f>'Sheet1 (7)'!$B$2:$B$4</c:f>
              <c:numCache>
                <c:formatCode>General</c:formatCode>
                <c:ptCount val="3"/>
                <c:pt idx="0">
                  <c:v>0</c:v>
                </c:pt>
                <c:pt idx="1">
                  <c:v>0.97000000000000008</c:v>
                </c:pt>
                <c:pt idx="2">
                  <c:v>0</c:v>
                </c:pt>
              </c:numCache>
            </c:numRef>
          </c:val>
        </c:ser>
        <c:dLbls>
          <c:showPercent val="1"/>
        </c:dLbls>
        <c:firstSliceAng val="0"/>
      </c:pieChart>
      <c:spPr>
        <a:noFill/>
        <a:ln>
          <a:noFill/>
        </a:ln>
      </c:spPr>
    </c:plotArea>
    <c:legend>
      <c:legendPos val="r"/>
      <c:layout/>
      <c:spPr>
        <a:noFill/>
        <a:ln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/>
              </a:solidFill>
              <a:latin typeface="Times New Roman" panose="02020603050405020304"/>
              <a:ea typeface="宋体" panose="02010600030101010101" charset="-122"/>
              <a:cs typeface="Lucida Sans" panose="020B0602030504020204"/>
            </a:defRPr>
          </a:pPr>
          <a:endParaRPr lang="zh-CN"/>
        </a:p>
      </c:txPr>
    </c:legend>
    <c:plotVisOnly val="1"/>
    <c:dispBlanksAs val="zero"/>
  </c:chart>
  <c:spPr>
    <a:solidFill>
      <a:srgbClr val="FFFFFF"/>
    </a:solidFill>
    <a:ln w="6350" cap="flat" cmpd="sng" algn="ctr">
      <a:solidFill>
        <a:srgbClr val="D9D9D9"/>
      </a:solidFill>
      <a:prstDash val="solid"/>
      <a:round/>
    </a:ln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Times New Roman" panose="02020603050405020304"/>
          <a:ea typeface="宋体" panose="02010600030101010101" charset="-122"/>
          <a:cs typeface="Lucida Sans" panose="020B0602030504020204"/>
        </a:defRPr>
      </a:pPr>
      <a:endParaRPr lang="zh-CN"/>
    </a:p>
  </c:txPr>
  <c:externalData r:id="rId1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18</Pages>
  <Words>5018</Words>
  <Characters>3146</Characters>
  <Application>Microsoft Office Word</Application>
  <DocSecurity>0</DocSecurity>
  <Lines>26</Lines>
  <Paragraphs>16</Paragraphs>
  <ScaleCrop>false</ScaleCrop>
  <Company>四川省财政厅</Company>
  <LinksUpToDate>false</LinksUpToDate>
  <CharactersWithSpaces>8148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四川省***</dc:title>
  <dc:creator>曹颖</dc:creator>
  <cp:lastModifiedBy>张静</cp:lastModifiedBy>
  <cp:revision>8</cp:revision>
  <cp:lastPrinted>2023-08-03T02:35:00Z</cp:lastPrinted>
  <dcterms:created xsi:type="dcterms:W3CDTF">2024-10-14T09:06:00Z</dcterms:created>
  <dcterms:modified xsi:type="dcterms:W3CDTF">2013-02-13T17:28:00Z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55BCE7442C784005B979BFF7CF750004_12</vt:lpwstr>
  </property>
  <property fmtid="{D5CDD505-2E9C-101B-9397-08002B2CF9AE}" pid="4" name="KSOTemplateDocerSaveRecord">
    <vt:lpwstr>eyJoZGlkIjoiZTA4ZGQ2MWU4MjgwZGE4ODk5YzA5NjcxYmYxMzBhYWUiLCJ1c2VySWQiOiI2MTA1NDY2NDUifQ==</vt:lpwstr>
  </property>
</Properties>
</file>