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rPr>
          <w:rFonts w:ascii="Times New Roman" w:hAnsi="Times New Roman"/>
        </w:rPr>
      </w:pPr>
      <w:bookmarkStart w:id="0" w:name="_Toc15396597"/>
      <w:bookmarkStart w:id="1" w:name="_Toc15377193"/>
      <w:bookmarkStart w:id="2" w:name="_Toc15378441"/>
      <w:bookmarkStart w:id="3" w:name="_Toc15377425"/>
      <w:bookmarkStart w:id="4" w:name="_Toc15396475"/>
      <w:bookmarkStart w:id="5" w:name="_Toc15306267"/>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bookmarkStart w:id="6" w:name="_Toc15396476"/>
      <w:bookmarkStart w:id="7" w:name="_Toc15378442"/>
      <w:bookmarkStart w:id="8" w:name="_Toc15377426"/>
      <w:bookmarkStart w:id="9" w:name="_Toc15377194"/>
      <w:bookmarkStart w:id="10" w:name="_Toc15396598"/>
      <w:bookmarkEnd w:id="0"/>
      <w:bookmarkEnd w:id="1"/>
      <w:bookmarkEnd w:id="2"/>
      <w:bookmarkEnd w:id="3"/>
      <w:bookmarkEnd w:id="4"/>
      <w:r>
        <w:rPr>
          <w:rFonts w:ascii="Times New Roman" w:eastAsia="方正小标宋简体" w:cs="Times New Roman" w:hAnsi="Times New Roman" w:hint="eastAsia"/>
          <w:color w:val="auto"/>
          <w:kern w:val="2"/>
          <w:sz w:val="44"/>
          <w:szCs w:val="44"/>
          <w:lang w:val="en-US" w:eastAsia="zh-CN" w:bidi="ar-SA"/>
          <w:highlight w:val="auto"/>
        </w:rPr>
        <w:t>2025年度</w:t>
      </w:r>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r>
        <w:rPr>
          <w:rFonts w:ascii="Times New Roman" w:eastAsia="方正小标宋简体" w:cs="Times New Roman" w:hAnsi="Times New Roman" w:hint="eastAsia"/>
          <w:color w:val="auto"/>
          <w:kern w:val="2"/>
          <w:sz w:val="44"/>
          <w:szCs w:val="44"/>
          <w:lang w:val="en-US" w:eastAsia="zh-CN" w:bidi="ar-SA"/>
          <w:highlight w:val="auto"/>
        </w:rPr>
        <w:t>四川省</w:t>
      </w:r>
      <w:bookmarkStart w:id="11" w:name="_Toc15306268"/>
      <w:bookmarkEnd w:id="5"/>
      <w:r>
        <w:rPr>
          <w:rFonts w:ascii="Times New Roman" w:eastAsia="方正小标宋简体" w:cs="Times New Roman" w:hAnsi="Times New Roman" w:hint="eastAsia"/>
          <w:color w:val="auto"/>
          <w:kern w:val="2"/>
          <w:sz w:val="44"/>
          <w:szCs w:val="44"/>
          <w:lang w:val="en-US" w:eastAsia="zh-CN" w:bidi="ar-SA"/>
          <w:highlight w:val="auto"/>
        </w:rPr>
        <w:t>阿坝州若尔盖县妇女联合会</w:t>
      </w:r>
    </w:p>
    <w:p>
      <w:pPr>
        <w:pStyle w:val="18"/>
        <w:jc w:val="center"/>
        <w:rPr>
          <w:rFonts w:ascii="Times New Roman" w:eastAsia="方正小标宋简体" w:cs="Times New Roman" w:hAnsi="Times New Roman" w:hint="eastAsia"/>
          <w:color w:val="auto"/>
          <w:kern w:val="2"/>
          <w:sz w:val="44"/>
          <w:szCs w:val="44"/>
          <w:lang w:val="en-US" w:eastAsia="zh-CN" w:bidi="ar-SA"/>
          <w:highlight w:val="auto"/>
        </w:rPr>
      </w:pPr>
      <w:r>
        <w:rPr>
          <w:rFonts w:ascii="Times New Roman" w:eastAsia="方正小标宋简体" w:cs="Times New Roman" w:hAnsi="Times New Roman" w:hint="eastAsia"/>
          <w:color w:val="auto"/>
          <w:kern w:val="2"/>
          <w:sz w:val="44"/>
          <w:szCs w:val="44"/>
          <w:lang w:val="en-US" w:eastAsia="zh-CN" w:bidi="ar-SA"/>
          <w:highlight w:val="auto"/>
        </w:rPr>
        <w:t>部门决算</w:t>
      </w:r>
      <w:bookmarkEnd w:id="6"/>
      <w:bookmarkEnd w:id="7"/>
      <w:bookmarkEnd w:id="8"/>
      <w:bookmarkEnd w:id="9"/>
      <w:bookmarkEnd w:id="10"/>
      <w:bookmarkEnd w:id="11"/>
    </w:p>
    <w:p>
      <w:pPr>
        <w:widowControl/>
        <w:jc w:val="center"/>
        <w:rPr>
          <w:rFonts w:ascii="Times New Roman" w:eastAsia="黑体" w:hAnsi="Times New Roman" w:hint="eastAsia"/>
          <w:color w:val="auto"/>
          <w:sz w:val="48"/>
          <w:szCs w:val="48"/>
          <w:highlight w:val="auto"/>
        </w:rPr>
      </w:pPr>
    </w:p>
    <w:p>
      <w:pPr>
        <w:pStyle w:val="15"/>
        <w:rPr>
          <w:rFonts w:ascii="Times New Roman" w:eastAsia="黑体" w:hAnsi="Times New Roman" w:hint="eastAsia"/>
          <w:color w:val="auto"/>
          <w:sz w:val="48"/>
          <w:szCs w:val="48"/>
          <w:highlight w:val="auto"/>
        </w:rPr>
      </w:pPr>
    </w:p>
    <w:p>
      <w:pPr>
        <w:pStyle w:val="17"/>
        <w:rPr>
          <w:rFonts w:ascii="Times New Roman" w:eastAsia="黑体" w:hAnsi="Times New Roman" w:hint="eastAsia"/>
          <w:color w:val="auto"/>
          <w:sz w:val="48"/>
          <w:szCs w:val="48"/>
          <w:highlight w:val="auto"/>
        </w:rPr>
      </w:pPr>
    </w:p>
    <w:p>
      <w:pPr>
        <w:pStyle w:val="17"/>
        <w:rPr>
          <w:rFonts w:ascii="Times New Roman" w:eastAsia="黑体" w:hAnsi="Times New Roman" w:hint="eastAsia"/>
          <w:color w:val="auto"/>
          <w:sz w:val="48"/>
          <w:szCs w:val="48"/>
          <w:highlight w:val="auto"/>
        </w:rPr>
      </w:pPr>
    </w:p>
    <w:p>
      <w:pPr>
        <w:pStyle w:val="17"/>
        <w:rPr>
          <w:rFonts w:ascii="Times New Roman" w:eastAsia="黑体" w:hAnsi="Times New Roman" w:hint="eastAsia"/>
          <w:color w:val="auto"/>
          <w:sz w:val="48"/>
          <w:szCs w:val="48"/>
          <w:highlight w:val="auto"/>
        </w:rPr>
      </w:pPr>
    </w:p>
    <w:p>
      <w:pPr>
        <w:pStyle w:val="17"/>
        <w:rPr>
          <w:rFonts w:ascii="Times New Roman" w:eastAsia="黑体" w:hAnsi="Times New Roman" w:hint="eastAsia"/>
          <w:color w:val="auto"/>
          <w:sz w:val="48"/>
          <w:szCs w:val="48"/>
          <w:highlight w:val="auto"/>
        </w:rPr>
      </w:pPr>
    </w:p>
    <w:p>
      <w:pPr>
        <w:pStyle w:val="17"/>
        <w:rPr>
          <w:rFonts w:ascii="Times New Roman" w:eastAsia="黑体" w:hAnsi="Times New Roman" w:hint="eastAsia"/>
          <w:color w:val="auto"/>
          <w:sz w:val="48"/>
          <w:szCs w:val="48"/>
          <w:highlight w:val="auto"/>
        </w:rPr>
      </w:pPr>
    </w:p>
    <w:p>
      <w:pPr>
        <w:pStyle w:val="17"/>
        <w:rPr>
          <w:rFonts w:ascii="Times New Roman" w:eastAsia="黑体" w:hAnsi="Times New Roman" w:hint="eastAsia"/>
          <w:color w:val="auto"/>
          <w:sz w:val="48"/>
          <w:szCs w:val="48"/>
          <w:highlight w:val="auto"/>
        </w:rPr>
      </w:pPr>
    </w:p>
    <w:p>
      <w:pPr>
        <w:pStyle w:val="17"/>
        <w:rPr>
          <w:rFonts w:ascii="Times New Roman" w:eastAsia="黑体" w:hAnsi="Times New Roman" w:hint="eastAsia"/>
          <w:color w:val="auto"/>
          <w:sz w:val="48"/>
          <w:szCs w:val="48"/>
          <w:highlight w:val="auto"/>
        </w:rPr>
      </w:pPr>
    </w:p>
    <w:p>
      <w:pPr>
        <w:pStyle w:val="17"/>
        <w:ind w:leftChars="0" w:left="0" w:firstLineChars="0" w:firstLine="0"/>
        <w:rPr>
          <w:rFonts w:ascii="Times New Roman" w:eastAsia="黑体" w:hAnsi="Times New Roman" w:hint="eastAsia"/>
          <w:color w:val="auto"/>
          <w:sz w:val="48"/>
          <w:szCs w:val="48"/>
          <w:highlight w:val="auto"/>
        </w:rPr>
      </w:pPr>
    </w:p>
    <w:p>
      <w:pPr>
        <w:tabs>
          <w:tab w:val="right" w:pos="8306"/>
        </w:tabs>
        <w:ind w:firstLineChars="400" w:firstLine="1280"/>
        <w:jc w:val="both"/>
        <w:rPr>
          <w:rFonts w:eastAsia="方正楷体_GB2312" w:hint="eastAsia"/>
          <w:lang w:eastAsia="zh-CN"/>
        </w:rPr>
        <w:sectPr>
          <w:headerReference w:type="default" r:id="rId2"/>
          <w:footerReference w:type="default" r:id="rId3"/>
          <w:pgSz w:w="11906" w:h="16838"/>
          <w:pgMar w:top="1440" w:right="1800" w:bottom="1440" w:left="1800" w:header="851" w:footer="992" w:gutter="0"/>
          <w:pgNumType w:fmt="numberInDash" w:start="1"/>
          <w:titlePg/>
          <w:docGrid w:type="lines" w:linePitch="312" w:charSpace="0"/>
        </w:sectPr>
      </w:pPr>
      <w:r>
        <w:rPr>
          <w:rFonts w:ascii="方正楷体_GB2312" w:eastAsia="方正楷体_GB2312" w:cs="方正楷体_GB2312" w:hint="eastAsia"/>
          <w:sz w:val="32"/>
          <w:szCs w:val="32"/>
        </w:rPr>
        <w:t>已经保密审查、内容审定、同意对</w:t>
      </w:r>
      <w:r>
        <w:rPr>
          <w:rFonts w:ascii="方正楷体_GB2312" w:eastAsia="方正楷体_GB2312" w:cs="方正楷体_GB2312" w:hint="eastAsia"/>
          <w:sz w:val="32"/>
          <w:szCs w:val="32"/>
          <w:lang w:eastAsia="zh-CN"/>
        </w:rPr>
        <w:t>外公开</w:t>
      </w:r>
    </w:p>
    <w:p>
      <w:pPr>
        <w:widowControl/>
        <w:jc w:val="center"/>
        <w:rPr>
          <w:rFonts w:ascii="Times New Roman" w:eastAsia="黑体" w:hAnsi="Times New Roman"/>
          <w:color w:val="auto"/>
          <w:sz w:val="48"/>
          <w:szCs w:val="48"/>
          <w:highlight w:val="auto"/>
        </w:rPr>
      </w:pPr>
      <w:r>
        <w:rPr>
          <w:rFonts w:ascii="Times New Roman" w:eastAsia="黑体" w:hAnsi="Times New Roman" w:hint="eastAsia"/>
          <w:color w:val="auto"/>
          <w:sz w:val="48"/>
          <w:szCs w:val="48"/>
          <w:highlight w:val="auto"/>
        </w:rPr>
        <w:t>目录</w:t>
      </w:r>
    </w:p>
    <w:p>
      <w:pPr>
        <w:widowControl/>
        <w:jc w:val="center"/>
        <w:rPr>
          <w:rFonts w:ascii="Times New Roman" w:eastAsia="黑体" w:cs="Arial" w:hAnsi="Times New Roman"/>
          <w:color w:val="auto"/>
          <w:sz w:val="28"/>
          <w:szCs w:val="28"/>
          <w:highlight w:val="auto"/>
        </w:rPr>
      </w:pPr>
    </w:p>
    <w:p>
      <w:pPr>
        <w:pStyle w:val="23"/>
        <w:tabs>
          <w:tab w:val="right" w:leader="dot" w:pos="8296"/>
        </w:tabs>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公开时间：20</w:t>
      </w:r>
      <w:r>
        <w:rPr>
          <w:rFonts w:ascii="Times New Roman" w:eastAsia="仿宋_GB2312" w:cs="仿宋_GB2312" w:hAnsi="Times New Roman" w:hint="eastAsia"/>
          <w:color w:val="auto"/>
          <w:sz w:val="32"/>
          <w:szCs w:val="32"/>
          <w:lang w:val="en-US" w:eastAsia="zh-CN"/>
          <w:highlight w:val="auto"/>
        </w:rPr>
        <w:t>26</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val="en-US" w:eastAsia="zh-CN"/>
          <w:highlight w:val="auto"/>
        </w:rPr>
        <w:t xml:space="preserve"> 10 </w:t>
      </w:r>
      <w:r>
        <w:rPr>
          <w:rFonts w:ascii="Times New Roman" w:eastAsia="仿宋_GB2312" w:cs="仿宋_GB2312" w:hAnsi="Times New Roman" w:hint="eastAsia"/>
          <w:color w:val="auto"/>
          <w:sz w:val="32"/>
          <w:szCs w:val="32"/>
          <w:highlight w:val="auto"/>
        </w:rPr>
        <w:t>月</w:t>
      </w:r>
      <w:r>
        <w:rPr>
          <w:rFonts w:ascii="Times New Roman" w:eastAsia="仿宋_GB2312" w:cs="仿宋_GB2312" w:hAnsi="Times New Roman" w:hint="eastAsia"/>
          <w:color w:val="auto"/>
          <w:sz w:val="32"/>
          <w:szCs w:val="32"/>
          <w:lang w:val="en-US" w:eastAsia="zh-CN"/>
          <w:highlight w:val="auto"/>
        </w:rPr>
        <w:t xml:space="preserve"> 10 </w:t>
      </w:r>
      <w:r>
        <w:rPr>
          <w:rFonts w:ascii="Times New Roman" w:eastAsia="仿宋_GB2312" w:cs="仿宋_GB2312" w:hAnsi="Times New Roman" w:hint="eastAsia"/>
          <w:color w:val="auto"/>
          <w:sz w:val="32"/>
          <w:szCs w:val="32"/>
          <w:highlight w:val="auto"/>
        </w:rPr>
        <w:t>日</w:t>
      </w:r>
    </w:p>
    <w:p>
      <w:pPr>
        <w:rPr>
          <w:rFonts w:ascii="Times New Roman" w:hAnsi="Times New Roman"/>
          <w:color w:val="auto"/>
          <w:highlight w:val="auto"/>
        </w:rPr>
      </w:pP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第一部分 部门概况</w:t>
      </w:r>
      <w:r>
        <w:rPr>
          <w:rFonts w:ascii="Times New Roman" w:eastAsia="黑体" w:cs="黑体" w:hAnsi="Times New Roman" w:hint="eastAsia"/>
          <w:color w:val="auto"/>
          <w:sz w:val="32"/>
          <w:szCs w:val="32"/>
          <w:lang w:val="en-US" w:eastAsia="zh-CN"/>
          <w:highlight w:val="auto"/>
        </w:rPr>
        <w:tab/>
        <w:t>3</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highlight w:val="auto"/>
        </w:rPr>
      </w:pPr>
      <w:r>
        <w:rPr>
          <w:rFonts w:ascii="Times New Roman" w:eastAsia="仿宋_GB2312" w:cs="仿宋_GB2312" w:hAnsi="Times New Roman" w:hint="eastAsia"/>
          <w:color w:val="auto"/>
          <w:sz w:val="32"/>
          <w:szCs w:val="32"/>
          <w:highlight w:val="auto"/>
        </w:rPr>
        <w:t>一、</w:t>
      </w:r>
      <w:r>
        <w:rPr>
          <w:rFonts w:ascii="Times New Roman" w:eastAsia="仿宋_GB2312" w:cs="仿宋_GB2312" w:hAnsi="Times New Roman" w:hint="eastAsia"/>
          <w:color w:val="auto"/>
          <w:sz w:val="32"/>
          <w:szCs w:val="32"/>
          <w:lang w:eastAsia="zh-CN"/>
          <w:highlight w:val="auto"/>
        </w:rPr>
        <w:t>部门职责</w:t>
      </w:r>
      <w:r>
        <w:rPr>
          <w:rFonts w:eastAsia="仿宋_GB2312" w:cs="仿宋_GB2312" w:hint="eastAsia"/>
          <w:color w:val="auto"/>
          <w:sz w:val="32"/>
          <w:szCs w:val="32"/>
          <w:lang w:val="en-US" w:eastAsia="zh-CN"/>
          <w:highlight w:val="auto"/>
        </w:rPr>
        <w:tab/>
        <w:t>3</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二、机构设置</w:t>
      </w:r>
      <w:r>
        <w:rPr>
          <w:rFonts w:eastAsia="仿宋_GB2312" w:cs="仿宋_GB2312" w:hint="eastAsia"/>
          <w:color w:val="auto"/>
          <w:sz w:val="32"/>
          <w:szCs w:val="32"/>
          <w:lang w:val="en-US" w:eastAsia="zh-CN"/>
          <w:highlight w:val="auto"/>
        </w:rPr>
        <w:tab/>
        <w:t>3</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第二部分</w:t>
      </w:r>
      <w:r>
        <w:rPr>
          <w:rFonts w:ascii="Times New Roman" w:eastAsia="黑体" w:cs="黑体" w:hAnsi="Times New Roman" w:hint="eastAsia"/>
          <w:color w:val="auto"/>
          <w:sz w:val="32"/>
          <w:szCs w:val="32"/>
          <w:lang w:val="en-US" w:eastAsia="zh-CN"/>
          <w:highlight w:val="auto"/>
        </w:rPr>
        <w:t xml:space="preserve"> 2025年度</w:t>
      </w:r>
      <w:r>
        <w:rPr>
          <w:rFonts w:ascii="Times New Roman" w:eastAsia="黑体" w:cs="黑体" w:hAnsi="Times New Roman" w:hint="eastAsia"/>
          <w:color w:val="auto"/>
          <w:sz w:val="32"/>
          <w:szCs w:val="32"/>
          <w:highlight w:val="auto"/>
        </w:rPr>
        <w:t>部门决算情况说明</w:t>
      </w:r>
      <w:r>
        <w:rPr>
          <w:rFonts w:ascii="Times New Roman" w:eastAsia="黑体" w:cs="黑体" w:hAnsi="Times New Roman" w:hint="eastAsia"/>
          <w:color w:val="auto"/>
          <w:sz w:val="32"/>
          <w:szCs w:val="32"/>
          <w:lang w:val="en-US" w:eastAsia="zh-CN"/>
          <w:highlight w:val="auto"/>
        </w:rPr>
        <w:tab/>
        <w:t>4</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一、收入支出决算总体情况说明</w:t>
      </w:r>
      <w:r>
        <w:rPr>
          <w:rFonts w:eastAsia="仿宋_GB2312" w:cs="仿宋_GB2312" w:hint="eastAsia"/>
          <w:color w:val="auto"/>
          <w:sz w:val="32"/>
          <w:szCs w:val="32"/>
          <w:lang w:val="en-US" w:eastAsia="zh-CN"/>
          <w:highlight w:val="auto"/>
        </w:rPr>
        <w:tab/>
        <w:t>4</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二、收入决算情况说明</w:t>
      </w:r>
      <w:r>
        <w:rPr>
          <w:rFonts w:eastAsia="仿宋_GB2312" w:cs="仿宋_GB2312" w:hint="eastAsia"/>
          <w:color w:val="auto"/>
          <w:sz w:val="32"/>
          <w:szCs w:val="32"/>
          <w:lang w:val="en-US" w:eastAsia="zh-CN"/>
          <w:highlight w:val="auto"/>
        </w:rPr>
        <w:tab/>
        <w:t>4</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三、支出决算情况说明</w:t>
      </w:r>
      <w:r>
        <w:rPr>
          <w:rFonts w:eastAsia="仿宋_GB2312" w:cs="仿宋_GB2312" w:hint="eastAsia"/>
          <w:color w:val="auto"/>
          <w:sz w:val="32"/>
          <w:szCs w:val="32"/>
          <w:lang w:val="en-US" w:eastAsia="zh-CN"/>
          <w:highlight w:val="auto"/>
        </w:rPr>
        <w:tab/>
        <w:t>5</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四、财政拨款收入支出决算总体情况说明</w:t>
      </w:r>
      <w:r>
        <w:rPr>
          <w:rFonts w:eastAsia="仿宋_GB2312" w:cs="仿宋_GB2312" w:hint="eastAsia"/>
          <w:color w:val="auto"/>
          <w:sz w:val="32"/>
          <w:szCs w:val="32"/>
          <w:lang w:val="en-US" w:eastAsia="zh-CN"/>
          <w:highlight w:val="auto"/>
        </w:rPr>
        <w:tab/>
        <w:t>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五、一般公共预算财政拨款支出决算情况说明</w:t>
      </w:r>
      <w:r>
        <w:rPr>
          <w:rFonts w:eastAsia="仿宋_GB2312" w:cs="仿宋_GB2312" w:hint="eastAsia"/>
          <w:color w:val="auto"/>
          <w:sz w:val="32"/>
          <w:szCs w:val="32"/>
          <w:lang w:val="en-US" w:eastAsia="zh-CN"/>
          <w:highlight w:val="auto"/>
        </w:rPr>
        <w:tab/>
        <w:t>7</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六、一般公共预算财政拨款基本支出决算情况说明</w:t>
      </w:r>
      <w:r>
        <w:rPr>
          <w:rFonts w:eastAsia="仿宋_GB2312" w:cs="仿宋_GB2312" w:hint="eastAsia"/>
          <w:color w:val="auto"/>
          <w:sz w:val="32"/>
          <w:szCs w:val="32"/>
          <w:lang w:val="en-US" w:eastAsia="zh-CN"/>
          <w:highlight w:val="auto"/>
        </w:rPr>
        <w:tab/>
        <w:t>9</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七、财政拨款</w:t>
      </w:r>
      <w:r>
        <w:rPr>
          <w:rFonts w:ascii="Times New Roman" w:eastAsia="仿宋_GB2312" w:cs="仿宋_GB2312" w:hAnsi="Times New Roman" w:hint="eastAsia"/>
          <w:color w:val="auto"/>
          <w:sz w:val="32"/>
          <w:szCs w:val="32"/>
          <w:lang w:eastAsia="zh-CN"/>
          <w:highlight w:val="auto"/>
        </w:rPr>
        <w:t>“</w:t>
      </w:r>
      <w:r>
        <w:rPr>
          <w:rFonts w:ascii="Times New Roman" w:eastAsia="仿宋_GB2312" w:cs="仿宋_GB2312" w:hAnsi="Times New Roman" w:hint="eastAsia"/>
          <w:color w:val="auto"/>
          <w:sz w:val="32"/>
          <w:szCs w:val="32"/>
          <w:highlight w:val="auto"/>
        </w:rPr>
        <w:t>三公”经费支出决算情况说明</w:t>
      </w:r>
      <w:r>
        <w:rPr>
          <w:rFonts w:eastAsia="仿宋_GB2312" w:cs="仿宋_GB2312" w:hint="eastAsia"/>
          <w:color w:val="auto"/>
          <w:sz w:val="32"/>
          <w:szCs w:val="32"/>
          <w:lang w:val="en-US" w:eastAsia="zh-CN"/>
          <w:highlight w:val="auto"/>
        </w:rPr>
        <w:tab/>
        <w:t>9</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八、政府性基金预算支出决算情况说明</w:t>
      </w:r>
      <w:r>
        <w:rPr>
          <w:rFonts w:eastAsia="仿宋_GB2312" w:cs="仿宋_GB2312" w:hint="eastAsia"/>
          <w:color w:val="auto"/>
          <w:sz w:val="32"/>
          <w:szCs w:val="32"/>
          <w:lang w:val="en-US" w:eastAsia="zh-CN"/>
          <w:highlight w:val="auto"/>
        </w:rPr>
        <w:tab/>
        <w:t>10</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九、</w:t>
      </w:r>
      <w:r>
        <w:rPr>
          <w:rFonts w:ascii="Times New Roman" w:eastAsia="仿宋_GB2312" w:cs="仿宋_GB2312" w:hAnsi="Times New Roman" w:hint="eastAsia"/>
          <w:color w:val="auto"/>
          <w:sz w:val="32"/>
          <w:szCs w:val="32"/>
          <w:lang w:eastAsia="zh-CN"/>
          <w:highlight w:val="auto"/>
        </w:rPr>
        <w:t>国</w:t>
      </w:r>
      <w:r>
        <w:rPr>
          <w:rFonts w:ascii="Times New Roman" w:eastAsia="仿宋_GB2312" w:cs="仿宋_GB2312" w:hAnsi="Times New Roman" w:hint="eastAsia"/>
          <w:color w:val="auto"/>
          <w:sz w:val="32"/>
          <w:szCs w:val="32"/>
          <w:highlight w:val="auto"/>
        </w:rPr>
        <w:t>有资本经营预算支出决算情况说明</w:t>
      </w:r>
      <w:r>
        <w:rPr>
          <w:rFonts w:eastAsia="仿宋_GB2312" w:cs="仿宋_GB2312" w:hint="eastAsia"/>
          <w:color w:val="auto"/>
          <w:sz w:val="32"/>
          <w:szCs w:val="32"/>
          <w:lang w:val="en-US" w:eastAsia="zh-CN"/>
          <w:highlight w:val="auto"/>
        </w:rPr>
        <w:tab/>
        <w:t>10</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lang w:eastAsia="zh-CN"/>
          <w:highlight w:val="auto"/>
        </w:rPr>
        <w:t>十</w:t>
      </w:r>
      <w:r>
        <w:rPr>
          <w:rFonts w:ascii="Times New Roman" w:eastAsia="仿宋_GB2312" w:cs="仿宋_GB2312" w:hAnsi="Times New Roman" w:hint="eastAsia"/>
          <w:color w:val="auto"/>
          <w:sz w:val="32"/>
          <w:szCs w:val="32"/>
          <w:highlight w:val="auto"/>
        </w:rPr>
        <w:t>、其他重要事项的情况说明</w:t>
      </w:r>
      <w:r>
        <w:rPr>
          <w:rFonts w:eastAsia="仿宋_GB2312" w:cs="仿宋_GB2312" w:hint="eastAsia"/>
          <w:color w:val="auto"/>
          <w:sz w:val="32"/>
          <w:szCs w:val="32"/>
          <w:lang w:val="en-US" w:eastAsia="zh-CN"/>
          <w:highlight w:val="auto"/>
        </w:rPr>
        <w:tab/>
        <w:t>11</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第三部分 名词解释</w:t>
      </w:r>
      <w:r>
        <w:rPr>
          <w:rFonts w:ascii="Times New Roman" w:eastAsia="黑体" w:cs="黑体" w:hAnsi="Times New Roman" w:hint="eastAsia"/>
          <w:color w:val="auto"/>
          <w:sz w:val="32"/>
          <w:szCs w:val="32"/>
          <w:lang w:val="en-US" w:eastAsia="zh-CN"/>
          <w:highlight w:val="auto"/>
        </w:rPr>
        <w:tab/>
        <w:t>12</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hint="eastAsia"/>
          <w:color w:val="auto"/>
          <w:sz w:val="32"/>
          <w:szCs w:val="32"/>
          <w:lang w:val="en-US" w:eastAsia="zh-CN"/>
          <w:highlight w:val="auto"/>
        </w:rPr>
      </w:pPr>
      <w:r>
        <w:rPr>
          <w:rFonts w:ascii="Times New Roman" w:eastAsia="黑体" w:cs="黑体" w:hAnsi="Times New Roman" w:hint="eastAsia"/>
          <w:color w:val="auto"/>
          <w:sz w:val="32"/>
          <w:szCs w:val="32"/>
          <w:highlight w:val="auto"/>
        </w:rPr>
        <w:t>第四部分 附件</w:t>
      </w:r>
      <w:r>
        <w:rPr>
          <w:rFonts w:ascii="Times New Roman" w:eastAsia="黑体" w:cs="黑体" w:hAnsi="Times New Roman" w:hint="eastAsia"/>
          <w:color w:val="auto"/>
          <w:sz w:val="32"/>
          <w:szCs w:val="32"/>
          <w:lang w:val="en-US" w:eastAsia="zh-CN"/>
          <w:highlight w:val="auto"/>
        </w:rPr>
        <w:tab/>
        <w:t>15</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lang w:val="en-US" w:eastAsia="zh-CN"/>
          <w:highlight w:val="auto"/>
        </w:rPr>
        <w:t>一、部门预算绩效评价报告</w:t>
      </w:r>
      <w:r>
        <w:rPr>
          <w:rFonts w:eastAsia="仿宋_GB2312" w:cs="仿宋_GB2312" w:hint="eastAsia"/>
          <w:color w:val="auto"/>
          <w:sz w:val="32"/>
          <w:szCs w:val="32"/>
          <w:lang w:val="en-US" w:eastAsia="zh-CN"/>
          <w:highlight w:val="auto"/>
        </w:rPr>
        <w:tab/>
        <w:t>15</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lang w:val="en-US" w:eastAsia="zh-CN"/>
        </w:rPr>
      </w:pPr>
      <w:r>
        <w:rPr>
          <w:rFonts w:ascii="Times New Roman" w:eastAsia="仿宋_GB2312" w:cs="仿宋_GB2312" w:hAnsi="Times New Roman" w:hint="eastAsia"/>
          <w:color w:val="auto"/>
          <w:sz w:val="32"/>
          <w:szCs w:val="32"/>
          <w:lang w:val="en-US" w:eastAsia="zh-CN"/>
          <w:highlight w:val="auto"/>
        </w:rPr>
        <w:t>二、专项预算项目绩效评价报告</w:t>
      </w:r>
      <w:r>
        <w:rPr>
          <w:rFonts w:eastAsia="仿宋_GB2312" w:cs="仿宋_GB2312" w:hint="eastAsia"/>
          <w:color w:val="auto"/>
          <w:sz w:val="32"/>
          <w:szCs w:val="32"/>
          <w:lang w:val="en-US" w:eastAsia="zh-CN"/>
          <w:highlight w:val="auto"/>
        </w:rPr>
        <w:tab/>
        <w:t>15</w:t>
      </w:r>
    </w:p>
    <w:p>
      <w:pPr>
        <w:pStyle w:val="23"/>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第五部分 附表</w:t>
      </w:r>
      <w:r>
        <w:rPr>
          <w:rFonts w:ascii="Times New Roman" w:eastAsia="黑体" w:cs="黑体" w:hAnsi="Times New Roman" w:hint="eastAsia"/>
          <w:color w:val="auto"/>
          <w:sz w:val="32"/>
          <w:szCs w:val="32"/>
          <w:lang w:val="en-US" w:eastAsia="zh-CN"/>
          <w:highlight w:val="auto"/>
        </w:rPr>
        <w:tab/>
        <w:t>16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一、收入支出决算总表</w:t>
      </w:r>
      <w:r>
        <w:rPr>
          <w:rFonts w:eastAsia="仿宋_GB2312" w:cs="仿宋_GB2312" w:hint="eastAsia"/>
          <w:color w:val="auto"/>
          <w:sz w:val="32"/>
          <w:szCs w:val="32"/>
          <w:lang w:val="en-US" w:eastAsia="zh-CN"/>
          <w:highlight w:val="auto"/>
        </w:rPr>
        <w:tab/>
        <w:t>16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二、收入决算表</w:t>
      </w:r>
      <w:r>
        <w:rPr>
          <w:rFonts w:eastAsia="仿宋_GB2312" w:cs="仿宋_GB2312" w:hint="eastAsia"/>
          <w:color w:val="auto"/>
          <w:sz w:val="32"/>
          <w:szCs w:val="32"/>
          <w:lang w:val="en-US" w:eastAsia="zh-CN"/>
          <w:highlight w:val="auto"/>
        </w:rPr>
        <w:tab/>
        <w:t>16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三、支出决算表</w:t>
      </w:r>
      <w:r>
        <w:rPr>
          <w:rFonts w:eastAsia="仿宋_GB2312" w:cs="仿宋_GB2312" w:hint="eastAsia"/>
          <w:color w:val="auto"/>
          <w:sz w:val="32"/>
          <w:szCs w:val="32"/>
          <w:lang w:val="en-US" w:eastAsia="zh-CN"/>
          <w:highlight w:val="auto"/>
        </w:rPr>
        <w:tab/>
        <w:t>16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四、财政拨款收入支出决算总表</w:t>
      </w:r>
      <w:r>
        <w:rPr>
          <w:rFonts w:eastAsia="仿宋_GB2312" w:cs="仿宋_GB2312" w:hint="eastAsia"/>
          <w:color w:val="auto"/>
          <w:sz w:val="32"/>
          <w:szCs w:val="32"/>
          <w:lang w:val="en-US" w:eastAsia="zh-CN"/>
          <w:highlight w:val="auto"/>
        </w:rPr>
        <w:tab/>
        <w:t>16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五、财政拨款支出决算明细表</w:t>
      </w:r>
      <w:r>
        <w:rPr>
          <w:rFonts w:eastAsia="仿宋_GB2312" w:cs="仿宋_GB2312" w:hint="eastAsia"/>
          <w:color w:val="auto"/>
          <w:sz w:val="32"/>
          <w:szCs w:val="32"/>
          <w:lang w:val="en-US" w:eastAsia="zh-CN"/>
          <w:highlight w:val="auto"/>
        </w:rPr>
        <w:tab/>
        <w:t>16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六、一般公共预算财政拨款支出决算表</w:t>
      </w:r>
      <w:r>
        <w:rPr>
          <w:rFonts w:eastAsia="仿宋_GB2312" w:cs="仿宋_GB2312" w:hint="eastAsia"/>
          <w:color w:val="auto"/>
          <w:sz w:val="32"/>
          <w:szCs w:val="32"/>
          <w:lang w:val="en-US" w:eastAsia="zh-CN"/>
          <w:highlight w:val="auto"/>
        </w:rPr>
        <w:tab/>
        <w:t>16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七、一般公共预算财政拨款支出决算明细表</w:t>
      </w:r>
      <w:r>
        <w:rPr>
          <w:rFonts w:eastAsia="仿宋_GB2312" w:cs="仿宋_GB2312" w:hint="eastAsia"/>
          <w:color w:val="auto"/>
          <w:sz w:val="32"/>
          <w:szCs w:val="32"/>
          <w:lang w:val="en-US" w:eastAsia="zh-CN"/>
          <w:highlight w:val="auto"/>
        </w:rPr>
        <w:tab/>
        <w:t>16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八、一般公共预算财政拨款基本支出决算</w:t>
      </w:r>
      <w:r>
        <w:rPr>
          <w:rFonts w:ascii="Times New Roman" w:eastAsia="仿宋_GB2312" w:cs="仿宋_GB2312" w:hAnsi="Times New Roman" w:hint="eastAsia"/>
          <w:color w:val="auto"/>
          <w:sz w:val="32"/>
          <w:szCs w:val="32"/>
          <w:lang w:eastAsia="zh-CN"/>
          <w:highlight w:val="auto"/>
        </w:rPr>
        <w:t>明细</w:t>
      </w:r>
      <w:r>
        <w:rPr>
          <w:rFonts w:ascii="Times New Roman" w:eastAsia="仿宋_GB2312" w:cs="仿宋_GB2312" w:hAnsi="Times New Roman" w:hint="eastAsia"/>
          <w:color w:val="auto"/>
          <w:sz w:val="32"/>
          <w:szCs w:val="32"/>
          <w:highlight w:val="auto"/>
        </w:rPr>
        <w:t>表</w:t>
      </w:r>
      <w:r>
        <w:rPr>
          <w:rFonts w:eastAsia="仿宋_GB2312" w:cs="仿宋_GB2312" w:hint="eastAsia"/>
          <w:color w:val="auto"/>
          <w:sz w:val="32"/>
          <w:szCs w:val="32"/>
          <w:lang w:val="en-US" w:eastAsia="zh-CN"/>
          <w:highlight w:val="auto"/>
        </w:rPr>
        <w:tab/>
        <w:t>16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九、一般公共预算财政拨款项目支出决算表</w:t>
      </w:r>
      <w:r>
        <w:rPr>
          <w:rFonts w:eastAsia="仿宋_GB2312" w:cs="仿宋_GB2312" w:hint="eastAsia"/>
          <w:color w:val="auto"/>
          <w:sz w:val="32"/>
          <w:szCs w:val="32"/>
          <w:lang w:val="en-US" w:eastAsia="zh-CN"/>
          <w:highlight w:val="auto"/>
        </w:rPr>
        <w:tab/>
        <w:t>16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十、政府性基金预算财政拨款收入支出决算表</w:t>
      </w:r>
      <w:r>
        <w:rPr>
          <w:rFonts w:eastAsia="仿宋_GB2312" w:cs="仿宋_GB2312" w:hint="eastAsia"/>
          <w:color w:val="auto"/>
          <w:sz w:val="32"/>
          <w:szCs w:val="32"/>
          <w:lang w:val="en-US" w:eastAsia="zh-CN"/>
          <w:highlight w:val="auto"/>
        </w:rPr>
        <w:tab/>
        <w:t>16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十一、国有资本经营预算财政拨款收入支出决算表</w:t>
      </w:r>
      <w:r>
        <w:rPr>
          <w:rFonts w:eastAsia="仿宋_GB2312" w:cs="仿宋_GB2312" w:hint="eastAsia"/>
          <w:color w:val="auto"/>
          <w:sz w:val="32"/>
          <w:szCs w:val="32"/>
          <w:lang w:val="en-US" w:eastAsia="zh-CN"/>
          <w:highlight w:val="auto"/>
        </w:rPr>
        <w:tab/>
        <w:t>16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highlight w:val="auto"/>
        </w:rPr>
      </w:pPr>
      <w:r>
        <w:rPr>
          <w:rFonts w:ascii="Times New Roman" w:eastAsia="仿宋_GB2312" w:cs="仿宋_GB2312" w:hAnsi="Times New Roman" w:hint="eastAsia"/>
          <w:color w:val="auto"/>
          <w:sz w:val="32"/>
          <w:szCs w:val="32"/>
          <w:highlight w:val="auto"/>
        </w:rPr>
        <w:t>十二、</w:t>
      </w:r>
      <w:r>
        <w:rPr>
          <w:rFonts w:ascii="Times New Roman" w:eastAsia="仿宋_GB2312" w:cs="仿宋_GB2312" w:hAnsi="Times New Roman" w:hint="eastAsia"/>
          <w:color w:val="auto"/>
          <w:sz w:val="32"/>
          <w:szCs w:val="32"/>
          <w:lang w:val="en-US" w:eastAsia="zh-CN"/>
          <w:highlight w:val="auto"/>
        </w:rPr>
        <w:t>国有资本经营预算财政拨款支出决算表</w:t>
      </w:r>
      <w:r>
        <w:rPr>
          <w:rFonts w:eastAsia="仿宋_GB2312" w:cs="仿宋_GB2312" w:hint="eastAsia"/>
          <w:color w:val="auto"/>
          <w:sz w:val="32"/>
          <w:szCs w:val="32"/>
          <w:lang w:val="en-US" w:eastAsia="zh-CN"/>
          <w:highlight w:val="auto"/>
        </w:rPr>
        <w:tab/>
        <w:t>16</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十三、财政拨款“三公”经费支出决算表</w:t>
      </w:r>
      <w:r>
        <w:rPr>
          <w:rFonts w:eastAsia="仿宋_GB2312" w:cs="仿宋_GB2312" w:hint="eastAsia"/>
          <w:color w:val="auto"/>
          <w:sz w:val="32"/>
          <w:szCs w:val="32"/>
          <w:lang w:val="en-US" w:eastAsia="zh-CN"/>
          <w:highlight w:val="auto"/>
        </w:rPr>
        <w:tab/>
        <w:t>16</w:t>
      </w:r>
    </w:p>
    <w:p>
      <w:pPr>
        <w:keepNext w:val="0"/>
        <w:keepLines w:val="0"/>
        <w:pageBreakBefore w:val="0"/>
        <w:widowControl/>
        <w:kinsoku/>
        <w:wordWrap/>
        <w:overflowPunct/>
        <w:topLinePunct w:val="0"/>
        <w:autoSpaceDE/>
        <w:autoSpaceDN/>
        <w:bidi w:val="0"/>
        <w:spacing w:line="560" w:lineRule="exact"/>
        <w:jc w:val="left"/>
        <w:textAlignment w:val="auto"/>
        <w:rPr>
          <w:rFonts w:ascii="Times New Roman" w:eastAsia="仿宋_GB2312" w:cs="仿宋_GB2312" w:hAnsi="Times New Roman" w:hint="eastAsia"/>
          <w:bCs/>
          <w:color w:val="auto"/>
          <w:kern w:val="44"/>
          <w:sz w:val="32"/>
          <w:szCs w:val="32"/>
          <w:highlight w:val="auto"/>
        </w:rPr>
      </w:pPr>
      <w:bookmarkStart w:id="12" w:name="_Toc15396599"/>
      <w:bookmarkStart w:id="13" w:name="_Toc15377196"/>
      <w:r>
        <w:rPr>
          <w:rFonts w:ascii="Times New Roman" w:eastAsia="仿宋_GB2312" w:cs="仿宋_GB2312" w:hAnsi="Times New Roman" w:hint="eastAsia"/>
          <w:b/>
          <w:color w:val="auto"/>
          <w:sz w:val="32"/>
          <w:szCs w:val="32"/>
          <w:highlight w:val="auto"/>
        </w:rPr>
        <w:br w:type="page"/>
      </w:r>
    </w:p>
    <w:p>
      <w:pPr>
        <w:pStyle w:val="1"/>
        <w:jc w:val="center"/>
        <w:rPr>
          <w:rFonts w:ascii="Times New Roman" w:eastAsia="黑体" w:hAnsi="Times New Roman"/>
          <w:color w:val="auto"/>
          <w:sz w:val="32"/>
          <w:szCs w:val="32"/>
          <w:highlight w:val="auto"/>
        </w:rPr>
      </w:pPr>
      <w:r>
        <w:rPr>
          <w:rFonts w:ascii="Times New Roman" w:eastAsia="方正小标宋简体" w:cs="方正小标宋简体" w:hAnsi="Times New Roman" w:hint="eastAsia"/>
          <w:b w:val="0"/>
          <w:color w:val="auto"/>
          <w:highlight w:val="auto"/>
        </w:rPr>
        <w:t>第一部分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Style w:val="1Char"/>
          <w:rFonts w:ascii="Times New Roman" w:eastAsia="方正小标宋简体" w:cs="方正小标宋简体" w:hAnsi="Times New Roman" w:hint="eastAsia"/>
          <w:b w:val="0"/>
          <w:bCs w:val="0"/>
          <w:color w:val="auto"/>
          <w:highlight w:val="auto"/>
        </w:rPr>
        <w:t>部门概况</w:t>
      </w:r>
      <w:bookmarkEnd w:id="12"/>
      <w:bookmarkEnd w:id="13"/>
    </w:p>
    <w:p>
      <w:pPr>
        <w:pStyle w:val="2"/>
        <w:numPr>
          <w:ilvl w:val="0"/>
          <w:numId w:val="1"/>
        </w:numPr>
        <w:rPr>
          <w:rFonts w:ascii="Times New Roman" w:eastAsia="黑体" w:hAnsi="Times New Roman" w:hint="eastAsia"/>
          <w:b w:val="0"/>
          <w:color w:val="auto"/>
          <w:lang w:eastAsia="zh-CN"/>
          <w:highlight w:val="auto"/>
        </w:rPr>
      </w:pPr>
      <w:r>
        <w:rPr>
          <w:rFonts w:ascii="Times New Roman" w:eastAsia="黑体" w:hAnsi="Times New Roman" w:hint="eastAsia"/>
          <w:b w:val="0"/>
          <w:color w:val="auto"/>
          <w:lang w:eastAsia="zh-CN"/>
          <w:highlight w:val="auto"/>
        </w:rPr>
        <w:t>部门职责</w:t>
      </w:r>
    </w:p>
    <w:p>
      <w:pPr>
        <w:snapToGrid w:val="0"/>
        <w:spacing w:line="520" w:lineRule="exact"/>
        <w:ind w:left="0" w:firstLineChars="200" w:firstLine="640"/>
        <w:rPr>
          <w:rFonts w:ascii="Times New Roman" w:eastAsia="黑体" w:hAnsi="Times New Roman" w:hint="eastAsia"/>
          <w:b w:val="0"/>
        </w:rPr>
      </w:pPr>
      <w:r>
        <w:rPr>
          <w:rFonts w:ascii="仿宋" w:eastAsia="仿宋" w:cs="仿宋_GB2312" w:hint="eastAsia"/>
          <w:sz w:val="32"/>
          <w:szCs w:val="32"/>
          <w:lang w:bidi="ar-SA"/>
        </w:rPr>
        <w:t>县妇联基本职能是：团结、动员广大妇女参与经济建设和社会发展，代表和维护妇女利益，促进男女平等。县妇联机关的主要工作任务：根据县委、县政府的中心任务，依据《中华全国妇女联合会章程》和妇女代表大会的决议，开展妇女儿童工作；联系团体会员，并给予业务指导。调查研究妇女和儿童的情况、问题，及时向县委、县政府反映，提出建议。指导和推进“五好文明家庭”创建活动、农村妇女的“双学双比”活动、城镇妇女的“巾帼建功”活动。组织、动员妇女投身改革开放和社会主义现代化建设。指导全县各级妇联的宣传舆论工作。教育、引导广大妇女，开展妇女职业技术培训和多层次的妇女干部培训，全面提高素质，促进妇女人才成长。代表妇女参与国家和社会事务的民主管理、民主监督，促进妇女参政</w:t>
      </w:r>
      <w:r>
        <w:rPr>
          <w:rFonts w:ascii="仿宋" w:eastAsia="仿宋" w:cs="仿宋_GB2312"/>
          <w:sz w:val="32"/>
          <w:szCs w:val="32"/>
          <w:lang w:bidi="ar-SA"/>
        </w:rPr>
        <w:t>议政</w:t>
      </w:r>
      <w:r>
        <w:rPr>
          <w:rFonts w:ascii="仿宋" w:eastAsia="仿宋" w:cs="仿宋_GB2312" w:hint="eastAsia"/>
          <w:sz w:val="32"/>
          <w:szCs w:val="32"/>
          <w:lang w:bidi="ar-SA"/>
        </w:rPr>
        <w:t>，维护妇女儿童的合法权益。为妇女儿童办实事、办好事。建立与各族各界妇女的联系，巩固妇女的大团结。承办县委、县政府交办的有关事项。</w:t>
      </w:r>
    </w:p>
    <w:p>
      <w:pPr>
        <w:rPr>
          <w:rFonts w:hint="eastAsia"/>
          <w:lang w:eastAsia="zh-CN"/>
        </w:rPr>
      </w:pPr>
    </w:p>
    <w:p>
      <w:pPr>
        <w:pStyle w:val="2"/>
        <w:rPr>
          <w:rStyle w:val="2Char"/>
          <w:rFonts w:ascii="Times New Roman" w:hAnsi="Times New Roman"/>
          <w:b w:val="0"/>
          <w:bCs w:val="0"/>
          <w:color w:val="auto"/>
          <w:highlight w:val="auto"/>
        </w:rPr>
      </w:pPr>
      <w:bookmarkStart w:id="14" w:name="_Toc15396601"/>
      <w:bookmarkStart w:id="15" w:name="_Toc15377200"/>
      <w:r>
        <w:rPr>
          <w:rFonts w:ascii="Times New Roman" w:eastAsia="黑体" w:hAnsi="Times New Roman" w:hint="eastAsia"/>
          <w:b w:val="0"/>
          <w:color w:val="auto"/>
          <w:highlight w:val="auto"/>
        </w:rPr>
        <w:t>二、机</w:t>
      </w:r>
      <w:r>
        <w:rPr>
          <w:rStyle w:val="2Char"/>
          <w:rFonts w:ascii="Times New Roman" w:eastAsia="黑体" w:hAnsi="Times New Roman" w:hint="eastAsia"/>
          <w:b w:val="0"/>
          <w:bCs w:val="0"/>
          <w:color w:val="auto"/>
          <w:highlight w:val="auto"/>
        </w:rPr>
        <w:t>构设置</w:t>
      </w:r>
      <w:bookmarkEnd w:id="14"/>
      <w:bookmarkEnd w:id="15"/>
    </w:p>
    <w:p>
      <w:pPr>
        <w:ind w:firstLineChars="250" w:firstLine="800"/>
        <w:rPr>
          <w:rFonts w:ascii="Times New Roman" w:eastAsia="仿宋_GB2312" w:cs="仿宋_GB2312" w:hAnsi="Times New Roman" w:hint="eastAsia"/>
          <w:color w:val="auto"/>
          <w:sz w:val="32"/>
          <w:szCs w:val="32"/>
          <w:highlight w:val="auto"/>
        </w:rPr>
      </w:pPr>
      <w:r>
        <w:rPr>
          <w:rFonts w:ascii="仿宋_GB2312" w:eastAsia="仿宋_GB2312" w:cs="仿宋_GB2312" w:hint="eastAsia"/>
          <w:color w:val="auto"/>
          <w:sz w:val="32"/>
          <w:szCs w:val="32"/>
          <w:highlight w:val="auto"/>
        </w:rPr>
        <w:t>阿坝州若尔盖县妇女联合会</w:t>
      </w:r>
      <w:r>
        <w:rPr>
          <w:rFonts w:ascii="Times New Roman" w:eastAsia="仿宋_GB2312" w:cs="仿宋_GB2312" w:hAnsi="Times New Roman" w:hint="eastAsia"/>
          <w:color w:val="auto"/>
          <w:sz w:val="32"/>
          <w:szCs w:val="32"/>
          <w:highlight w:val="auto"/>
        </w:rPr>
        <w:t>下属二级</w:t>
      </w:r>
      <w:r>
        <w:rPr>
          <w:rFonts w:ascii="Times New Roman" w:eastAsia="仿宋_GB2312" w:cs="仿宋_GB2312" w:hAnsi="Times New Roman" w:hint="eastAsia"/>
          <w:color w:val="auto"/>
          <w:sz w:val="32"/>
          <w:szCs w:val="32"/>
          <w:lang w:eastAsia="zh-CN"/>
          <w:highlight w:val="auto"/>
        </w:rPr>
        <w:t>预算</w:t>
      </w:r>
      <w:r>
        <w:rPr>
          <w:rFonts w:ascii="Times New Roman" w:eastAsia="仿宋_GB2312" w:cs="仿宋_GB2312" w:hAnsi="Times New Roman" w:hint="eastAsia"/>
          <w:color w:val="auto"/>
          <w:sz w:val="32"/>
          <w:szCs w:val="32"/>
          <w:highlight w:val="auto"/>
        </w:rPr>
        <w:t>单位</w:t>
      </w:r>
      <w:r>
        <w:rPr>
          <w:rFonts w:eastAsia="仿宋_GB2312" w:cs="仿宋_GB2312" w:hint="eastAsia"/>
          <w:color w:val="auto"/>
          <w:sz w:val="32"/>
          <w:szCs w:val="32"/>
          <w:lang w:val="en-US" w:eastAsia="zh-CN"/>
          <w:highlight w:val="auto"/>
        </w:rPr>
        <w:t>0</w:t>
      </w:r>
      <w:r>
        <w:rPr>
          <w:rFonts w:ascii="Times New Roman" w:eastAsia="仿宋_GB2312" w:cs="仿宋_GB2312" w:hAnsi="Times New Roman" w:hint="eastAsia"/>
          <w:color w:val="auto"/>
          <w:sz w:val="32"/>
          <w:szCs w:val="32"/>
          <w:highlight w:val="auto"/>
        </w:rPr>
        <w:t>个，其中行政单位</w:t>
      </w:r>
      <w:r>
        <w:rPr>
          <w:rFonts w:eastAsia="仿宋_GB2312" w:cs="仿宋_GB2312" w:hint="eastAsia"/>
          <w:color w:val="auto"/>
          <w:sz w:val="32"/>
          <w:szCs w:val="32"/>
          <w:lang w:val="en-US" w:eastAsia="zh-CN"/>
          <w:highlight w:val="auto"/>
        </w:rPr>
        <w:t>0</w:t>
      </w:r>
      <w:r>
        <w:rPr>
          <w:rFonts w:ascii="Times New Roman" w:eastAsia="仿宋_GB2312" w:cs="仿宋_GB2312" w:hAnsi="Times New Roman" w:hint="eastAsia"/>
          <w:color w:val="auto"/>
          <w:sz w:val="32"/>
          <w:szCs w:val="32"/>
          <w:highlight w:val="auto"/>
        </w:rPr>
        <w:t>个，参照公务员法管理的事业单位</w:t>
      </w:r>
      <w:r>
        <w:rPr>
          <w:rFonts w:eastAsia="仿宋_GB2312" w:cs="仿宋_GB2312" w:hint="eastAsia"/>
          <w:color w:val="auto"/>
          <w:sz w:val="32"/>
          <w:szCs w:val="32"/>
          <w:lang w:val="en-US" w:eastAsia="zh-CN"/>
          <w:highlight w:val="auto"/>
        </w:rPr>
        <w:t>0</w:t>
      </w:r>
      <w:r>
        <w:rPr>
          <w:rFonts w:ascii="Times New Roman" w:eastAsia="仿宋_GB2312" w:cs="仿宋_GB2312" w:hAnsi="Times New Roman" w:hint="eastAsia"/>
          <w:color w:val="auto"/>
          <w:sz w:val="32"/>
          <w:szCs w:val="32"/>
          <w:highlight w:val="auto"/>
        </w:rPr>
        <w:t>个，其他事业单位</w:t>
      </w:r>
      <w:r>
        <w:rPr>
          <w:rFonts w:eastAsia="仿宋_GB2312" w:cs="仿宋_GB2312" w:hint="eastAsia"/>
          <w:color w:val="auto"/>
          <w:sz w:val="32"/>
          <w:szCs w:val="32"/>
          <w:lang w:val="en-US" w:eastAsia="zh-CN"/>
          <w:highlight w:val="auto"/>
        </w:rPr>
        <w:t>0</w:t>
      </w:r>
      <w:r>
        <w:rPr>
          <w:rFonts w:ascii="Times New Roman" w:eastAsia="仿宋_GB2312" w:cs="仿宋_GB2312" w:hAnsi="Times New Roman" w:hint="eastAsia"/>
          <w:color w:val="auto"/>
          <w:sz w:val="32"/>
          <w:szCs w:val="32"/>
          <w:highlight w:val="auto"/>
        </w:rPr>
        <w:t>个。</w:t>
      </w:r>
    </w:p>
    <w:p>
      <w:pPr>
        <w:widowControl/>
        <w:jc w:val="left"/>
        <w:rPr>
          <w:rFonts w:ascii="Times New Roman" w:eastAsia="仿宋" w:hAnsi="Times New Roman"/>
          <w:color w:val="auto"/>
          <w:kern w:val="0"/>
          <w:sz w:val="32"/>
          <w:szCs w:val="32"/>
          <w:highlight w:val="auto"/>
        </w:rPr>
      </w:pPr>
      <w:r>
        <w:rPr>
          <w:rFonts w:ascii="Times New Roman" w:eastAsia="仿宋" w:hAnsi="Times New Roman"/>
          <w:color w:val="auto"/>
          <w:sz w:val="32"/>
          <w:szCs w:val="32"/>
          <w:highlight w:val="auto"/>
        </w:rPr>
        <w:br w:type="page"/>
      </w:r>
    </w:p>
    <w:p>
      <w:pPr>
        <w:pStyle w:val="1"/>
        <w:jc w:val="center"/>
        <w:rPr>
          <w:rFonts w:ascii="Times New Roman" w:eastAsia="方正小标宋简体" w:cs="方正小标宋简体" w:hAnsi="Times New Roman" w:hint="eastAsia"/>
          <w:b w:val="0"/>
          <w:color w:val="auto"/>
          <w:highlight w:val="auto"/>
        </w:rPr>
      </w:pPr>
      <w:bookmarkStart w:id="16" w:name="_Toc15396602"/>
      <w:bookmarkStart w:id="17" w:name="_Toc15377204"/>
      <w:r>
        <w:rPr>
          <w:rFonts w:ascii="Times New Roman" w:eastAsia="方正小标宋简体" w:cs="方正小标宋简体" w:hAnsi="Times New Roman" w:hint="eastAsia"/>
          <w:b w:val="0"/>
          <w:color w:val="auto"/>
          <w:highlight w:val="auto"/>
        </w:rPr>
        <w:t>第二部分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Fonts w:eastAsia="方正小标宋简体" w:cs="方正小标宋简体" w:hint="eastAsia"/>
          <w:b w:val="0"/>
          <w:color w:val="auto"/>
          <w:lang w:val="en-US" w:eastAsia="zh-CN"/>
          <w:highlight w:val="auto"/>
        </w:rPr>
        <w:t>2025年度</w:t>
      </w:r>
      <w:r>
        <w:rPr>
          <w:rFonts w:ascii="Times New Roman" w:eastAsia="方正小标宋简体" w:cs="方正小标宋简体" w:hAnsi="Times New Roman" w:hint="eastAsia"/>
          <w:b w:val="0"/>
          <w:color w:val="auto"/>
          <w:highlight w:val="auto"/>
        </w:rPr>
        <w:t>部门决算情况说明</w:t>
      </w:r>
      <w:bookmarkEnd w:id="16"/>
      <w:bookmarkEnd w:id="17"/>
    </w:p>
    <w:p>
      <w:pPr>
        <w:rPr>
          <w:rFonts w:ascii="Times New Roman" w:hAnsi="Times New Roman"/>
          <w:color w:val="auto"/>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textAlignment w:val="auto"/>
        <w:outlineLvl w:val="1"/>
        <w:rPr>
          <w:rStyle w:val="2Char"/>
          <w:rFonts w:ascii="Times New Roman" w:eastAsia="黑体" w:hAnsi="Times New Roman" w:hint="eastAsia"/>
          <w:b w:val="0"/>
          <w:color w:val="auto"/>
          <w:highlight w:val="auto"/>
        </w:rPr>
      </w:pPr>
      <w:bookmarkStart w:id="18" w:name="_Toc15396603"/>
      <w:bookmarkStart w:id="19" w:name="_Toc15377205"/>
      <w:r>
        <w:rPr>
          <w:rFonts w:ascii="Times New Roman" w:eastAsia="黑体" w:hAnsi="Times New Roman" w:hint="eastAsia"/>
          <w:color w:val="auto"/>
          <w:sz w:val="32"/>
          <w:szCs w:val="32"/>
          <w:lang w:eastAsia="zh-CN"/>
          <w:highlight w:val="auto"/>
        </w:rPr>
        <w:t>一、</w:t>
      </w:r>
      <w:r>
        <w:rPr>
          <w:rFonts w:ascii="Times New Roman" w:eastAsia="黑体" w:hAnsi="Times New Roman" w:hint="eastAsia"/>
          <w:color w:val="auto"/>
          <w:sz w:val="32"/>
          <w:szCs w:val="32"/>
          <w:highlight w:val="auto"/>
        </w:rPr>
        <w:t>收</w:t>
      </w:r>
      <w:r>
        <w:rPr>
          <w:rStyle w:val="2Char"/>
          <w:rFonts w:ascii="Times New Roman" w:eastAsia="黑体" w:hAnsi="Times New Roman" w:hint="eastAsia"/>
          <w:b w:val="0"/>
          <w:color w:val="auto"/>
          <w:highlight w:val="auto"/>
        </w:rPr>
        <w:t>入支出决算总体情况说明</w:t>
      </w:r>
      <w:bookmarkEnd w:id="18"/>
      <w:bookmarkEnd w:id="19"/>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eastAsia="仿宋_GB2312" w:cs="仿宋_GB2312" w:hint="eastAsia"/>
          <w:color w:val="auto"/>
          <w:sz w:val="32"/>
          <w:szCs w:val="32"/>
          <w:lang w:val="en-US" w:eastAsia="zh-CN"/>
          <w:highlight w:val="auto"/>
        </w:rPr>
      </w:pPr>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w:t>
      </w:r>
      <w:r>
        <w:rPr>
          <w:rFonts w:ascii="Times New Roman" w:eastAsia="仿宋_GB2312" w:cs="仿宋_GB2312" w:hAnsi="Times New Roman" w:hint="eastAsia"/>
          <w:color w:val="auto"/>
          <w:sz w:val="32"/>
          <w:szCs w:val="32"/>
          <w:lang w:eastAsia="zh-CN"/>
          <w:highlight w:val="auto"/>
        </w:rPr>
        <w:t>均为</w:t>
      </w:r>
      <w:r>
        <w:rPr>
          <w:rFonts w:ascii="仿宋_GB2312" w:eastAsia="仿宋_GB2312" w:cs="仿宋_GB2312" w:hint="eastAsia"/>
          <w:sz w:val="32"/>
          <w:szCs w:val="32"/>
        </w:rPr>
        <w:t>220.53</w:t>
      </w:r>
      <w:r>
        <w:rPr>
          <w:rFonts w:ascii="Times New Roman" w:eastAsia="仿宋_GB2312" w:cs="仿宋_GB2312" w:hAnsi="Times New Roman" w:hint="eastAsia"/>
          <w:color w:val="auto"/>
          <w:sz w:val="32"/>
          <w:szCs w:val="32"/>
          <w:highlight w:val="auto"/>
        </w:rPr>
        <w:t>万元。与</w:t>
      </w:r>
      <w:r>
        <w:rPr>
          <w:rFonts w:eastAsia="仿宋_GB2312" w:cs="仿宋_GB2312" w:hint="eastAsia"/>
          <w:color w:val="auto"/>
          <w:sz w:val="32"/>
          <w:szCs w:val="32"/>
          <w:lang w:eastAsia="zh-CN"/>
          <w:highlight w:val="auto"/>
        </w:rPr>
        <w:t>上</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eastAsia="zh-CN"/>
          <w:highlight w:val="auto"/>
        </w:rPr>
        <w:t>度</w:t>
      </w:r>
      <w:r>
        <w:rPr>
          <w:rFonts w:ascii="Times New Roman" w:eastAsia="仿宋_GB2312" w:cs="仿宋_GB2312" w:hAnsi="Times New Roman" w:hint="eastAsia"/>
          <w:color w:val="auto"/>
          <w:sz w:val="32"/>
          <w:szCs w:val="32"/>
          <w:highlight w:val="auto"/>
        </w:rPr>
        <w:t>相比，</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总计各增加</w:t>
      </w:r>
      <w:r>
        <w:rPr>
          <w:rFonts w:eastAsia="仿宋_GB2312" w:cs="仿宋_GB2312" w:hint="eastAsia"/>
          <w:color w:val="auto"/>
          <w:sz w:val="32"/>
          <w:szCs w:val="32"/>
          <w:lang w:val="en-US" w:eastAsia="zh-CN"/>
          <w:highlight w:val="auto"/>
        </w:rPr>
        <w:t>88.7</w:t>
      </w:r>
      <w:r>
        <w:rPr>
          <w:rFonts w:ascii="Times New Roman" w:eastAsia="仿宋_GB2312" w:cs="仿宋_GB2312" w:hAnsi="Times New Roman" w:hint="eastAsia"/>
          <w:color w:val="auto"/>
          <w:sz w:val="32"/>
          <w:szCs w:val="32"/>
          <w:highlight w:val="auto"/>
        </w:rPr>
        <w:t>万元，增长</w:t>
      </w:r>
      <w:r>
        <w:rPr>
          <w:rFonts w:eastAsia="仿宋_GB2312" w:cs="仿宋_GB2312" w:hint="eastAsia"/>
          <w:color w:val="auto"/>
          <w:sz w:val="32"/>
          <w:szCs w:val="32"/>
          <w:lang w:val="en-US" w:eastAsia="zh-CN"/>
          <w:highlight w:val="auto"/>
        </w:rPr>
        <w:t>67.28</w:t>
      </w:r>
      <w:r>
        <w:rPr>
          <w:rFonts w:ascii="Times New Roman" w:eastAsia="仿宋_GB2312" w:cs="仿宋_GB2312" w:hAnsi="Times New Roman" w:hint="eastAsia"/>
          <w:color w:val="auto"/>
          <w:sz w:val="32"/>
          <w:szCs w:val="32"/>
          <w:highlight w:val="auto"/>
        </w:rPr>
        <w:t>%。主要变动原因是</w:t>
      </w:r>
      <w:r>
        <w:rPr>
          <w:rFonts w:eastAsia="仿宋_GB2312" w:cs="仿宋_GB2312" w:hint="eastAsia"/>
          <w:color w:val="auto"/>
          <w:sz w:val="32"/>
          <w:szCs w:val="32"/>
          <w:lang w:val="en-US" w:eastAsia="zh-CN"/>
          <w:highlight w:val="auto"/>
        </w:rPr>
        <w:t>2025年项目经费增加。</w:t>
      </w:r>
    </w:p>
    <w:p>
      <w:pPr>
        <w:pStyle w:val="32"/>
        <w:keepNext w:val="0"/>
        <w:keepLines w:val="0"/>
        <w:pageBreakBefore w:val="0"/>
        <w:widowControl w:val="0"/>
        <w:kinsoku/>
        <w:wordWrap/>
        <w:overflowPunct/>
        <w:topLinePunct w:val="0"/>
        <w:autoSpaceDE/>
        <w:autoSpaceDN/>
        <w:bidi w:val="0"/>
        <w:adjustRightInd/>
        <w:snapToGrid/>
        <w:spacing w:line="240" w:lineRule="auto"/>
        <w:ind w:left="0" w:firstLineChars="0" w:firstLine="0"/>
        <w:textAlignment w:val="auto"/>
        <w:outlineLvl w:val="1"/>
        <w:rPr>
          <w:rFonts w:eastAsia="仿宋_GB2312" w:cs="仿宋_GB2312"/>
          <w:color w:val="auto"/>
          <w:sz w:val="32"/>
          <w:szCs w:val="32"/>
          <w:lang w:val="en-US" w:eastAsia="zh-CN"/>
          <w:highlight w:val="auto"/>
        </w:rPr>
      </w:pPr>
      <w:r>
        <w:rPr>
          <w:rFonts w:eastAsia="仿宋_GB2312" w:cs="仿宋_GB2312"/>
          <w:color w:val="auto"/>
          <w:sz w:val="32"/>
          <w:szCs w:val="32"/>
          <w:lang w:val="en-US" w:eastAsia="zh-CN"/>
          <w:highlight w:val="auto"/>
        </w:rPr>
        <w:drawing>
          <wp:inline distT="0" distB="0" distL="114300" distR="114300">
            <wp:extent cx="5256530" cy="2988310"/>
            <wp:effectExtent l="0" t="0" r="0" b="0"/>
            <wp:docPr id="7" name="图表 2"/>
            <wp:cNvGraphicFramePr>
              <a:graphicFrameLocks noChangeAspect="0"/>
            </wp:cNvGraphicFramePr>
            <a:graphic>
              <a:graphicData uri="http://schemas.openxmlformats.org/drawingml/2006/picture">
                <pic:pic>
                  <pic:nvPicPr>
                    <pic:cNvPr id="9" name="图表 2 9"/>
                    <pic:cNvPicPr/>
                  </pic:nvPicPr>
                  <pic:blipFill>
                    <a:blip r:embed="rId6"/>
                    <a:stretch>
                      <a:fillRect/>
                    </a:stretch>
                  </pic:blipFill>
                  <pic:spPr>
                    <a:xfrm rot="0">
                      <a:off x="0" y="0"/>
                      <a:ext cx="5256530" cy="2988310"/>
                    </a:xfrm>
                    <a:prstGeom prst="rect"/>
                    <a:ln w="9525" cmpd="sng" cap="flat">
                      <a:solidFill>
                        <a:srgbClr val="000000"/>
                      </a:solidFill>
                      <a:prstDash val="solid"/>
                      <a:miter/>
                    </a:ln>
                  </pic:spPr>
                </pic:pic>
              </a:graphicData>
            </a:graphic>
          </wp:inline>
        </w:drawing>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center"/>
        <w:textAlignment w:val="auto"/>
        <w:outlineLvl w:val="1"/>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（图1：</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决算总计变动情况图）</w:t>
      </w:r>
    </w:p>
    <w:p>
      <w:pPr>
        <w:keepNext w:val="0"/>
        <w:keepLines w:val="0"/>
        <w:pageBreakBefore w:val="0"/>
        <w:widowControl w:val="0"/>
        <w:kinsoku/>
        <w:wordWrap/>
        <w:overflowPunct/>
        <w:topLinePunct w:val="0"/>
        <w:autoSpaceDE/>
        <w:autoSpaceDN/>
        <w:bidi w:val="0"/>
        <w:adjustRightInd/>
        <w:snapToGrid/>
        <w:ind w:firstLineChars="200" w:firstLine="640"/>
        <w:textAlignment w:val="auto"/>
        <w:rPr>
          <w:rFonts w:ascii="Times New Roman" w:eastAsia="仿宋_GB2312" w:cs="仿宋_GB2312" w:hAnsi="Times New Roman" w:hint="eastAsia"/>
          <w:color w:val="auto"/>
          <w:sz w:val="32"/>
          <w:szCs w:val="32"/>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textAlignment w:val="auto"/>
        <w:outlineLvl w:val="1"/>
        <w:rPr>
          <w:rFonts w:ascii="Times New Roman" w:eastAsia="黑体" w:hAnsi="Times New Roman" w:hint="eastAsia"/>
          <w:color w:val="auto"/>
          <w:sz w:val="32"/>
          <w:szCs w:val="32"/>
          <w:lang w:eastAsia="zh-CN"/>
          <w:highlight w:val="auto"/>
        </w:rPr>
      </w:pPr>
      <w:bookmarkStart w:id="20" w:name="_Toc15377206"/>
      <w:bookmarkStart w:id="21" w:name="_Toc15396604"/>
      <w:r>
        <w:rPr>
          <w:rFonts w:ascii="Times New Roman" w:eastAsia="黑体" w:hAnsi="Times New Roman" w:hint="eastAsia"/>
          <w:color w:val="auto"/>
          <w:sz w:val="32"/>
          <w:szCs w:val="32"/>
          <w:lang w:eastAsia="zh-CN"/>
          <w:highlight w:val="auto"/>
        </w:rPr>
        <w:t>二、收入决算情况说明</w:t>
      </w:r>
      <w:bookmarkEnd w:id="20"/>
      <w:bookmarkEnd w:id="21"/>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本年收入合计</w:t>
      </w:r>
      <w:r>
        <w:rPr>
          <w:rFonts w:ascii="仿宋_GB2312" w:eastAsia="仿宋_GB2312" w:cs="仿宋_GB2312" w:hint="eastAsia"/>
          <w:sz w:val="32"/>
          <w:szCs w:val="32"/>
        </w:rPr>
        <w:t>172.9</w:t>
      </w:r>
      <w:r>
        <w:rPr>
          <w:rFonts w:ascii="Times New Roman" w:eastAsia="仿宋_GB2312" w:cs="仿宋_GB2312" w:hAnsi="Times New Roman" w:hint="eastAsia"/>
          <w:color w:val="auto"/>
          <w:sz w:val="32"/>
          <w:szCs w:val="32"/>
          <w:lang w:eastAsia="zh-CN"/>
          <w:highlight w:val="auto"/>
        </w:rPr>
        <w:t>万元，其中：一般公共预算财政拨款收入</w:t>
      </w:r>
      <w:r>
        <w:rPr>
          <w:rFonts w:ascii="仿宋_GB2312" w:eastAsia="仿宋_GB2312" w:cs="仿宋_GB2312" w:hint="eastAsia"/>
          <w:sz w:val="32"/>
          <w:szCs w:val="32"/>
        </w:rPr>
        <w:t>172.9</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100</w:t>
      </w:r>
      <w:r>
        <w:rPr>
          <w:rFonts w:ascii="Times New Roman" w:eastAsia="仿宋_GB2312" w:cs="仿宋_GB2312" w:hAnsi="Times New Roman" w:hint="eastAsia"/>
          <w:color w:val="auto"/>
          <w:sz w:val="32"/>
          <w:szCs w:val="32"/>
          <w:lang w:eastAsia="zh-CN"/>
          <w:highlight w:val="auto"/>
        </w:rPr>
        <w:t>%；政府性基金预算财政拨款收入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%；国有资本经营预算财政拨款收入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%；上级补助收入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%；事业收入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%；经营收入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%；附属单位上缴收入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%；其他收入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w:t>
      </w:r>
    </w:p>
    <w:p>
      <w:pPr>
        <w:pStyle w:val="32"/>
        <w:keepNext w:val="0"/>
        <w:keepLines w:val="0"/>
        <w:pageBreakBefore w:val="0"/>
        <w:widowControl w:val="0"/>
        <w:kinsoku/>
        <w:wordWrap/>
        <w:overflowPunct/>
        <w:topLinePunct w:val="0"/>
        <w:autoSpaceDE/>
        <w:autoSpaceDN/>
        <w:bidi w:val="0"/>
        <w:adjustRightInd/>
        <w:snapToGrid/>
        <w:spacing w:line="240" w:lineRule="auto"/>
        <w:ind w:left="0" w:firstLineChars="0" w:firstLine="0"/>
        <w:textAlignment w:val="auto"/>
        <w:outlineLvl w:val="1"/>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drawing>
          <wp:inline distT="0" distB="0" distL="114300" distR="114300">
            <wp:extent cx="5256530" cy="2988310"/>
            <wp:effectExtent l="0" t="0" r="0" b="0"/>
            <wp:docPr id="10" name="图表 4"/>
            <wp:cNvGraphicFramePr>
              <a:graphicFrameLocks noChangeAspect="0"/>
            </wp:cNvGraphicFramePr>
            <a:graphic>
              <a:graphicData uri="http://schemas.openxmlformats.org/drawingml/2006/picture">
                <pic:pic>
                  <pic:nvPicPr>
                    <pic:cNvPr id="12" name="图表 4 12"/>
                    <pic:cNvPicPr/>
                  </pic:nvPicPr>
                  <pic:blipFill>
                    <a:blip r:embed="rId7"/>
                    <a:stretch>
                      <a:fillRect/>
                    </a:stretch>
                  </pic:blipFill>
                  <pic:spPr>
                    <a:xfrm rot="0">
                      <a:off x="0" y="0"/>
                      <a:ext cx="5256530" cy="2988310"/>
                    </a:xfrm>
                    <a:prstGeom prst="rect"/>
                    <a:ln w="9525" cmpd="sng" cap="flat">
                      <a:solidFill>
                        <a:srgbClr val="000000"/>
                      </a:solidFill>
                      <a:prstDash val="solid"/>
                      <a:miter/>
                    </a:ln>
                  </pic:spPr>
                </pic:pic>
              </a:graphicData>
            </a:graphic>
          </wp:inline>
        </w:drawing>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0" w:firstLine="0"/>
        <w:jc w:val="center"/>
        <w:textAlignment w:val="auto"/>
        <w:outlineLvl w:val="1"/>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（图2：收入决算结构图）</w:t>
      </w:r>
    </w:p>
    <w:p>
      <w:pPr>
        <w:ind w:firstLineChars="250" w:firstLine="800"/>
        <w:rPr>
          <w:rFonts w:ascii="Times New Roman" w:eastAsia="仿宋_GB2312" w:cs="仿宋_GB2312" w:hAnsi="Times New Roman" w:hint="eastAsia"/>
          <w:color w:val="auto"/>
          <w:sz w:val="32"/>
          <w:szCs w:val="32"/>
          <w:lang w:eastAsia="zh-CN"/>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textAlignment w:val="auto"/>
        <w:outlineLvl w:val="1"/>
        <w:rPr>
          <w:rStyle w:val="2Char"/>
          <w:rFonts w:ascii="Times New Roman" w:eastAsia="黑体" w:hAnsi="Times New Roman" w:hint="eastAsia"/>
          <w:b w:val="0"/>
          <w:color w:val="auto"/>
          <w:highlight w:val="auto"/>
        </w:rPr>
      </w:pPr>
      <w:bookmarkStart w:id="22" w:name="_Toc15377207"/>
      <w:bookmarkStart w:id="23" w:name="_Toc15396605"/>
      <w:r>
        <w:rPr>
          <w:rFonts w:ascii="Times New Roman" w:eastAsia="黑体" w:hAnsi="Times New Roman" w:hint="eastAsia"/>
          <w:color w:val="auto"/>
          <w:sz w:val="32"/>
          <w:szCs w:val="32"/>
          <w:lang w:eastAsia="zh-CN"/>
          <w:highlight w:val="auto"/>
        </w:rPr>
        <w:t>三、</w:t>
      </w:r>
      <w:r>
        <w:rPr>
          <w:rFonts w:ascii="Times New Roman" w:eastAsia="黑体" w:hAnsi="Times New Roman" w:hint="eastAsia"/>
          <w:color w:val="auto"/>
          <w:sz w:val="32"/>
          <w:szCs w:val="32"/>
          <w:highlight w:val="auto"/>
        </w:rPr>
        <w:t>支</w:t>
      </w:r>
      <w:r>
        <w:rPr>
          <w:rStyle w:val="2Char"/>
          <w:rFonts w:ascii="Times New Roman" w:eastAsia="黑体" w:hAnsi="Times New Roman" w:hint="eastAsia"/>
          <w:b w:val="0"/>
          <w:color w:val="auto"/>
          <w:highlight w:val="auto"/>
        </w:rPr>
        <w:t>出决算情况说明</w:t>
      </w:r>
      <w:bookmarkEnd w:id="22"/>
      <w:bookmarkEnd w:id="23"/>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本年支出合计</w:t>
      </w:r>
      <w:r>
        <w:rPr>
          <w:rFonts w:ascii="仿宋_GB2312" w:eastAsia="仿宋_GB2312" w:cs="仿宋_GB2312" w:hint="eastAsia"/>
          <w:sz w:val="32"/>
          <w:szCs w:val="32"/>
        </w:rPr>
        <w:t>220.53</w:t>
      </w:r>
      <w:r>
        <w:rPr>
          <w:rFonts w:ascii="Times New Roman" w:eastAsia="仿宋_GB2312" w:cs="仿宋_GB2312" w:hAnsi="Times New Roman" w:hint="eastAsia"/>
          <w:color w:val="auto"/>
          <w:sz w:val="32"/>
          <w:szCs w:val="32"/>
          <w:lang w:eastAsia="zh-CN"/>
          <w:highlight w:val="auto"/>
        </w:rPr>
        <w:t>万元，其中：基本支出</w:t>
      </w:r>
      <w:r>
        <w:rPr>
          <w:rFonts w:ascii="仿宋_GB2312" w:eastAsia="仿宋_GB2312" w:cs="仿宋_GB2312" w:hint="eastAsia"/>
          <w:sz w:val="32"/>
          <w:szCs w:val="32"/>
        </w:rPr>
        <w:t>119.3</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54.09</w:t>
      </w:r>
      <w:r>
        <w:rPr>
          <w:rFonts w:ascii="Times New Roman" w:eastAsia="仿宋_GB2312" w:cs="仿宋_GB2312" w:hAnsi="Times New Roman" w:hint="eastAsia"/>
          <w:color w:val="auto"/>
          <w:sz w:val="32"/>
          <w:szCs w:val="32"/>
          <w:lang w:eastAsia="zh-CN"/>
          <w:highlight w:val="auto"/>
        </w:rPr>
        <w:t>%；项目支出</w:t>
      </w:r>
      <w:r>
        <w:rPr>
          <w:rFonts w:ascii="仿宋_GB2312" w:eastAsia="仿宋_GB2312" w:cs="仿宋_GB2312" w:hint="eastAsia"/>
          <w:sz w:val="32"/>
          <w:szCs w:val="32"/>
        </w:rPr>
        <w:t>101.24</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45.9</w:t>
      </w:r>
      <w:r>
        <w:rPr>
          <w:rFonts w:ascii="Times New Roman" w:eastAsia="仿宋_GB2312" w:cs="仿宋_GB2312" w:hAnsi="Times New Roman" w:hint="eastAsia"/>
          <w:color w:val="auto"/>
          <w:sz w:val="32"/>
          <w:szCs w:val="32"/>
          <w:lang w:eastAsia="zh-CN"/>
          <w:highlight w:val="auto"/>
        </w:rPr>
        <w:t>%；上缴上级支出</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%；经营支出</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%；对附属单位补助支出</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w:t>
      </w:r>
    </w:p>
    <w:p>
      <w:pPr>
        <w:pStyle w:val="32"/>
        <w:keepNext w:val="0"/>
        <w:keepLines w:val="0"/>
        <w:pageBreakBefore w:val="0"/>
        <w:widowControl w:val="0"/>
        <w:kinsoku/>
        <w:wordWrap/>
        <w:overflowPunct/>
        <w:topLinePunct w:val="0"/>
        <w:autoSpaceDE/>
        <w:autoSpaceDN/>
        <w:bidi w:val="0"/>
        <w:adjustRightInd/>
        <w:snapToGrid/>
        <w:spacing w:line="240" w:lineRule="auto"/>
        <w:ind w:left="0" w:firstLineChars="0" w:firstLine="0"/>
        <w:textAlignment w:val="auto"/>
        <w:outlineLvl w:val="1"/>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drawing>
          <wp:inline distT="0" distB="0" distL="114300" distR="114300">
            <wp:extent cx="5256530" cy="2988310"/>
            <wp:effectExtent l="0" t="0" r="0" b="0"/>
            <wp:docPr id="13" name="图表 5"/>
            <wp:cNvGraphicFramePr>
              <a:graphicFrameLocks noChangeAspect="0"/>
            </wp:cNvGraphicFramePr>
            <a:graphic>
              <a:graphicData uri="http://schemas.openxmlformats.org/drawingml/2006/picture">
                <pic:pic>
                  <pic:nvPicPr>
                    <pic:cNvPr id="15" name="图表 5 15"/>
                    <pic:cNvPicPr/>
                  </pic:nvPicPr>
                  <pic:blipFill>
                    <a:blip r:embed="rId8"/>
                    <a:stretch>
                      <a:fillRect/>
                    </a:stretch>
                  </pic:blipFill>
                  <pic:spPr>
                    <a:xfrm rot="0">
                      <a:off x="0" y="0"/>
                      <a:ext cx="5256530" cy="2988310"/>
                    </a:xfrm>
                    <a:prstGeom prst="rect"/>
                    <a:ln w="9525" cmpd="sng" cap="flat">
                      <a:solidFill>
                        <a:srgbClr val="000000"/>
                      </a:solidFill>
                      <a:prstDash val="solid"/>
                      <a:miter/>
                    </a:ln>
                  </pic:spPr>
                </pic:pic>
              </a:graphicData>
            </a:graphic>
          </wp:inline>
        </w:drawing>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0" w:firstLine="0"/>
        <w:jc w:val="center"/>
        <w:textAlignment w:val="auto"/>
        <w:outlineLvl w:val="1"/>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（图3：支出决算结构图）</w:t>
      </w:r>
    </w:p>
    <w:p>
      <w:pPr>
        <w:spacing w:line="600" w:lineRule="exact"/>
        <w:outlineLvl w:val="1"/>
        <w:rPr>
          <w:rStyle w:val="2Char"/>
          <w:rFonts w:ascii="Times New Roman" w:eastAsia="黑体" w:hAnsi="Times New Roman"/>
          <w:b w:val="0"/>
          <w:color w:val="auto"/>
          <w:highlight w:val="auto"/>
        </w:rPr>
      </w:pPr>
      <w:bookmarkStart w:id="24" w:name="_Toc15377208"/>
      <w:bookmarkStart w:id="25" w:name="_Toc15396606"/>
      <w:r>
        <w:rPr>
          <w:rFonts w:ascii="Times New Roman" w:eastAsia="黑体" w:hAnsi="Times New Roman" w:hint="eastAsia"/>
          <w:color w:val="auto"/>
          <w:sz w:val="32"/>
          <w:szCs w:val="32"/>
          <w:highlight w:val="auto"/>
        </w:rPr>
        <w:t>四、财</w:t>
      </w:r>
      <w:r>
        <w:rPr>
          <w:rStyle w:val="2Char"/>
          <w:rFonts w:ascii="Times New Roman" w:eastAsia="黑体" w:hAnsi="Times New Roman" w:hint="eastAsia"/>
          <w:b w:val="0"/>
          <w:color w:val="auto"/>
          <w:highlight w:val="auto"/>
        </w:rPr>
        <w:t>政拨款收入支出决算总体情况说明</w:t>
      </w:r>
      <w:bookmarkEnd w:id="24"/>
      <w:bookmarkEnd w:id="25"/>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rPr>
          <w:rFonts w:eastAsia="仿宋_GB2312" w:cs="仿宋_GB2312"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财政拨款收入、支出总计均为</w:t>
      </w:r>
      <w:r>
        <w:rPr>
          <w:rFonts w:ascii="仿宋_GB2312" w:eastAsia="仿宋_GB2312" w:cs="仿宋_GB2312" w:hint="eastAsia"/>
          <w:sz w:val="32"/>
          <w:szCs w:val="32"/>
        </w:rPr>
        <w:t>220.53</w:t>
      </w:r>
      <w:r>
        <w:rPr>
          <w:rFonts w:ascii="Times New Roman" w:eastAsia="仿宋_GB2312" w:cs="仿宋_GB2312" w:hAnsi="Times New Roman" w:hint="eastAsia"/>
          <w:color w:val="auto"/>
          <w:kern w:val="2"/>
          <w:sz w:val="32"/>
          <w:szCs w:val="32"/>
          <w:lang w:val="en-US" w:eastAsia="zh-CN" w:bidi="ar-SA"/>
          <w:highlight w:val="auto"/>
        </w:rPr>
        <w:t>万元。与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年度相比，财政拨款收入、支出总计各增加</w:t>
      </w:r>
      <w:r>
        <w:rPr>
          <w:rFonts w:eastAsia="仿宋_GB2312" w:cs="仿宋_GB2312" w:hint="eastAsia"/>
          <w:color w:val="auto"/>
          <w:kern w:val="2"/>
          <w:sz w:val="32"/>
          <w:szCs w:val="32"/>
          <w:lang w:val="en-US" w:eastAsia="zh-CN" w:bidi="ar-SA"/>
          <w:highlight w:val="auto"/>
        </w:rPr>
        <w:t>88.7</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67.28</w:t>
      </w:r>
      <w:r>
        <w:rPr>
          <w:rFonts w:ascii="Times New Roman" w:eastAsia="仿宋_GB2312" w:cs="仿宋_GB2312" w:hAnsi="Times New Roman" w:hint="eastAsia"/>
          <w:color w:val="auto"/>
          <w:kern w:val="2"/>
          <w:sz w:val="32"/>
          <w:szCs w:val="32"/>
          <w:lang w:val="en-US" w:eastAsia="zh-CN" w:bidi="ar-SA"/>
          <w:highlight w:val="auto"/>
        </w:rPr>
        <w:t>%。主要变动原因是</w:t>
      </w:r>
      <w:r>
        <w:rPr>
          <w:rFonts w:eastAsia="仿宋_GB2312" w:cs="仿宋_GB2312" w:hint="eastAsia"/>
          <w:color w:val="auto"/>
          <w:kern w:val="2"/>
          <w:sz w:val="32"/>
          <w:szCs w:val="32"/>
          <w:lang w:val="en-US" w:eastAsia="zh-CN" w:bidi="ar-SA"/>
          <w:highlight w:val="auto"/>
        </w:rPr>
        <w:t>2025年项目经费增加。</w:t>
      </w:r>
    </w:p>
    <w:p>
      <w:pPr>
        <w:pStyle w:val="15"/>
        <w:rPr>
          <w:rFonts w:hint="eastAsia"/>
          <w:lang w:val="en-US" w:eastAsia="zh-CN"/>
        </w:rPr>
      </w:pPr>
      <w:r>
        <w:rPr>
          <w:rFonts w:hint="eastAsia"/>
          <w:lang w:val="en-US" w:eastAsia="zh-CN"/>
        </w:rPr>
        <w:drawing>
          <wp:inline distT="0" distB="0" distL="114300" distR="114300">
            <wp:extent cx="5256530" cy="2988310"/>
            <wp:effectExtent l="0" t="0" r="0" b="0"/>
            <wp:docPr id="16" name="图表 7"/>
            <wp:cNvGraphicFramePr>
              <a:graphicFrameLocks noChangeAspect="0"/>
            </wp:cNvGraphicFramePr>
            <a:graphic>
              <a:graphicData uri="http://schemas.openxmlformats.org/drawingml/2006/picture">
                <pic:pic>
                  <pic:nvPicPr>
                    <pic:cNvPr id="18" name="图表 7 18"/>
                    <pic:cNvPicPr/>
                  </pic:nvPicPr>
                  <pic:blipFill>
                    <a:blip r:embed="rId9"/>
                    <a:stretch>
                      <a:fillRect/>
                    </a:stretch>
                  </pic:blipFill>
                  <pic:spPr>
                    <a:xfrm rot="0">
                      <a:off x="0" y="0"/>
                      <a:ext cx="5256530" cy="2988310"/>
                    </a:xfrm>
                    <a:prstGeom prst="rect"/>
                    <a:ln w="9525" cmpd="sng" cap="flat">
                      <a:solidFill>
                        <a:srgbClr val="000000"/>
                      </a:solidFill>
                      <a:prstDash val="solid"/>
                      <a:miter/>
                    </a:ln>
                  </pic:spPr>
                </pic:pic>
              </a:graphicData>
            </a:graphic>
          </wp:inline>
        </w:drawing>
      </w:r>
    </w:p>
    <w:p>
      <w:pPr>
        <w:pStyle w:val="15"/>
        <w:rPr>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0"/>
        <w:jc w:val="center"/>
        <w:textAlignment w:val="auto"/>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（图4：财政拨款收、支决算总计变动情况）</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outlineLvl w:val="1"/>
        <w:rPr>
          <w:rStyle w:val="2Char"/>
          <w:rFonts w:ascii="Times New Roman" w:eastAsia="黑体" w:hAnsi="Times New Roman"/>
          <w:b w:val="0"/>
          <w:color w:val="auto"/>
          <w:highlight w:val="auto"/>
        </w:rPr>
      </w:pPr>
      <w:bookmarkStart w:id="26" w:name="_Toc15396607"/>
      <w:bookmarkStart w:id="27" w:name="_Toc15377209"/>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般公共预算财政拨款支出决算情况说明</w:t>
      </w:r>
      <w:bookmarkEnd w:id="26"/>
      <w:bookmarkEnd w:id="27"/>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28" w:name="_Toc15377210"/>
      <w:r>
        <w:rPr>
          <w:rFonts w:ascii="Times New Roman" w:eastAsia="楷体_GB2312" w:cs="楷体_GB2312" w:hAnsi="Times New Roman" w:hint="eastAsia"/>
          <w:b/>
          <w:color w:val="auto"/>
          <w:sz w:val="32"/>
          <w:szCs w:val="32"/>
          <w:highlight w:val="auto"/>
        </w:rPr>
        <w:t>（一）一般公共预算财政拨款支出决算总体情况</w:t>
      </w:r>
      <w:bookmarkEnd w:id="28"/>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rPr>
          <w:rFonts w:eastAsia="仿宋_GB2312" w:cs="仿宋_GB2312"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ascii="仿宋_GB2312" w:eastAsia="仿宋_GB2312" w:cs="仿宋_GB2312" w:hint="eastAsia"/>
          <w:sz w:val="32"/>
          <w:szCs w:val="32"/>
        </w:rPr>
        <w:t>220.53</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100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年度相比，一般公共预算财政拨款支出增加</w:t>
      </w:r>
      <w:r>
        <w:rPr>
          <w:rFonts w:eastAsia="仿宋_GB2312" w:cs="仿宋_GB2312" w:hint="eastAsia"/>
          <w:color w:val="auto"/>
          <w:kern w:val="2"/>
          <w:sz w:val="32"/>
          <w:szCs w:val="32"/>
          <w:lang w:val="en-US" w:eastAsia="zh-CN" w:bidi="ar-SA"/>
          <w:highlight w:val="auto"/>
        </w:rPr>
        <w:t>88.7</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67.28</w:t>
      </w:r>
      <w:r>
        <w:rPr>
          <w:rFonts w:ascii="Times New Roman" w:eastAsia="仿宋_GB2312" w:cs="仿宋_GB2312" w:hAnsi="Times New Roman" w:hint="eastAsia"/>
          <w:color w:val="auto"/>
          <w:kern w:val="2"/>
          <w:sz w:val="32"/>
          <w:szCs w:val="32"/>
          <w:lang w:val="en-US" w:eastAsia="zh-CN" w:bidi="ar-SA"/>
          <w:highlight w:val="auto"/>
        </w:rPr>
        <w:t>%。主要变动原因是</w:t>
      </w:r>
      <w:r>
        <w:rPr>
          <w:rFonts w:eastAsia="仿宋_GB2312" w:cs="仿宋_GB2312" w:hint="eastAsia"/>
          <w:color w:val="auto"/>
          <w:kern w:val="2"/>
          <w:sz w:val="32"/>
          <w:szCs w:val="32"/>
          <w:lang w:val="en-US" w:eastAsia="zh-CN" w:bidi="ar-SA"/>
          <w:highlight w:val="auto"/>
        </w:rPr>
        <w:t>2025年项目经费增加。</w:t>
      </w:r>
    </w:p>
    <w:p>
      <w:pPr>
        <w:pStyle w:val="15"/>
        <w:jc w:val="both"/>
        <w:rPr>
          <w:rFonts w:hint="eastAsia"/>
          <w:lang w:val="en-US" w:eastAsia="zh-CN"/>
        </w:rPr>
      </w:pPr>
      <w:r>
        <w:rPr>
          <w:rFonts w:hint="eastAsia"/>
          <w:lang w:val="en-US" w:eastAsia="zh-CN"/>
        </w:rPr>
        <w:drawing>
          <wp:inline distT="0" distB="0" distL="114300" distR="114300">
            <wp:extent cx="5256530" cy="2988310"/>
            <wp:effectExtent l="0" t="0" r="0" b="0"/>
            <wp:docPr id="19" name="图表 8"/>
            <wp:cNvGraphicFramePr>
              <a:graphicFrameLocks noChangeAspect="0"/>
            </wp:cNvGraphicFramePr>
            <a:graphic>
              <a:graphicData uri="http://schemas.openxmlformats.org/drawingml/2006/picture">
                <pic:pic>
                  <pic:nvPicPr>
                    <pic:cNvPr id="21" name="图表 8 21"/>
                    <pic:cNvPicPr/>
                  </pic:nvPicPr>
                  <pic:blipFill>
                    <a:blip r:embed="rId10"/>
                    <a:stretch>
                      <a:fillRect/>
                    </a:stretch>
                  </pic:blipFill>
                  <pic:spPr>
                    <a:xfrm rot="0">
                      <a:off x="0" y="0"/>
                      <a:ext cx="5256530" cy="2988310"/>
                    </a:xfrm>
                    <a:prstGeom prst="rect"/>
                    <a:ln w="9525" cmpd="sng" cap="flat">
                      <a:solidFill>
                        <a:srgbClr val="000000"/>
                      </a:solidFill>
                      <a:prstDash val="solid"/>
                      <a:miter/>
                    </a:ln>
                  </pic:spPr>
                </pic:pic>
              </a:graphicData>
            </a:graphic>
          </wp:inline>
        </w:drawing>
      </w:r>
    </w:p>
    <w:p>
      <w:pPr>
        <w:pStyle w:val="15"/>
        <w:rPr>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0"/>
        <w:jc w:val="center"/>
        <w:textAlignment w:val="auto"/>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（图5：一般公共预算财政拨款支出决算变动情况）</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29" w:name="_Toc15377211"/>
      <w:r>
        <w:rPr>
          <w:rFonts w:ascii="Times New Roman" w:eastAsia="楷体_GB2312" w:cs="楷体_GB2312" w:hAnsi="Times New Roman" w:hint="eastAsia"/>
          <w:b/>
          <w:color w:val="auto"/>
          <w:sz w:val="32"/>
          <w:szCs w:val="32"/>
          <w:highlight w:val="auto"/>
        </w:rPr>
        <w:t>（二）一般公共预算财政拨款支出决算结构情况</w:t>
      </w:r>
      <w:bookmarkEnd w:id="29"/>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ascii="仿宋_GB2312" w:eastAsia="仿宋_GB2312" w:cs="仿宋_GB2312" w:hint="eastAsia"/>
          <w:sz w:val="32"/>
          <w:szCs w:val="32"/>
        </w:rPr>
        <w:t>220.53</w:t>
      </w:r>
      <w:r>
        <w:rPr>
          <w:rFonts w:ascii="Times New Roman" w:eastAsia="仿宋_GB2312" w:cs="仿宋_GB2312" w:hAnsi="Times New Roman" w:hint="eastAsia"/>
          <w:color w:val="auto"/>
          <w:kern w:val="2"/>
          <w:sz w:val="32"/>
          <w:szCs w:val="32"/>
          <w:lang w:val="en-US" w:eastAsia="zh-CN" w:bidi="ar-SA"/>
          <w:highlight w:val="auto"/>
        </w:rPr>
        <w:t>万元，主要用于以下方面</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一般公共服务支出</w:t>
      </w:r>
      <w:r>
        <w:rPr>
          <w:rFonts w:eastAsia="仿宋_GB2312" w:cs="仿宋_GB2312" w:hint="eastAsia"/>
          <w:color w:val="auto"/>
          <w:kern w:val="2"/>
          <w:sz w:val="32"/>
          <w:szCs w:val="32"/>
          <w:lang w:val="en-US" w:eastAsia="zh-CN" w:bidi="ar-SA"/>
          <w:highlight w:val="auto"/>
        </w:rPr>
        <w:t>189.20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85.79</w:t>
      </w:r>
      <w:r>
        <w:rPr>
          <w:rFonts w:ascii="Times New Roman" w:eastAsia="仿宋_GB2312" w:cs="仿宋_GB2312" w:hAnsi="Times New Roman" w:hint="eastAsia"/>
          <w:color w:val="auto"/>
          <w:kern w:val="2"/>
          <w:sz w:val="32"/>
          <w:szCs w:val="32"/>
          <w:lang w:val="en-US" w:eastAsia="zh-CN" w:bidi="ar-SA"/>
          <w:highlight w:val="auto"/>
        </w:rPr>
        <w:t>%；教育支出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%；科学技术支出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%；文化旅游体育与传媒支出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%；社会保障和就业支出</w:t>
      </w:r>
      <w:r>
        <w:rPr>
          <w:rFonts w:eastAsia="仿宋_GB2312" w:cs="仿宋_GB2312" w:hint="eastAsia"/>
          <w:color w:val="auto"/>
          <w:kern w:val="2"/>
          <w:sz w:val="32"/>
          <w:szCs w:val="32"/>
          <w:lang w:val="en-US" w:eastAsia="zh-CN" w:bidi="ar-SA"/>
          <w:highlight w:val="auto"/>
        </w:rPr>
        <w:t>16.42</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7.45</w:t>
      </w:r>
      <w:r>
        <w:rPr>
          <w:rFonts w:ascii="Times New Roman" w:eastAsia="仿宋_GB2312" w:cs="仿宋_GB2312" w:hAnsi="Times New Roman" w:hint="eastAsia"/>
          <w:color w:val="auto"/>
          <w:kern w:val="2"/>
          <w:sz w:val="32"/>
          <w:szCs w:val="32"/>
          <w:lang w:val="en-US" w:eastAsia="zh-CN" w:bidi="ar-SA"/>
          <w:highlight w:val="auto"/>
        </w:rPr>
        <w:t>%；卫生健康支出</w:t>
      </w:r>
      <w:r>
        <w:rPr>
          <w:rFonts w:eastAsia="仿宋_GB2312" w:cs="仿宋_GB2312" w:hint="eastAsia"/>
          <w:color w:val="auto"/>
          <w:kern w:val="2"/>
          <w:sz w:val="32"/>
          <w:szCs w:val="32"/>
          <w:lang w:val="en-US" w:eastAsia="zh-CN" w:bidi="ar-SA"/>
          <w:highlight w:val="auto"/>
        </w:rPr>
        <w:t>5.91</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2.68</w:t>
      </w:r>
      <w:r>
        <w:rPr>
          <w:rFonts w:ascii="Times New Roman" w:eastAsia="仿宋_GB2312" w:cs="仿宋_GB2312" w:hAnsi="Times New Roman" w:hint="eastAsia"/>
          <w:color w:val="auto"/>
          <w:kern w:val="2"/>
          <w:sz w:val="32"/>
          <w:szCs w:val="32"/>
          <w:lang w:val="en-US" w:eastAsia="zh-CN" w:bidi="ar-SA"/>
          <w:highlight w:val="auto"/>
        </w:rPr>
        <w:t>%；住房保障支出</w:t>
      </w:r>
      <w:r>
        <w:rPr>
          <w:rFonts w:eastAsia="仿宋_GB2312" w:cs="仿宋_GB2312" w:hint="eastAsia"/>
          <w:color w:val="auto"/>
          <w:kern w:val="2"/>
          <w:sz w:val="32"/>
          <w:szCs w:val="32"/>
          <w:lang w:val="en-US" w:eastAsia="zh-CN" w:bidi="ar-SA"/>
          <w:highlight w:val="auto"/>
        </w:rPr>
        <w:t>9.00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4.08</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p>
    <w:p>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drawing>
          <wp:inline distT="0" distB="0" distL="114300" distR="114300">
            <wp:extent cx="5256530" cy="2988310"/>
            <wp:effectExtent l="0" t="0" r="0" b="0"/>
            <wp:docPr id="22" name="图表 9"/>
            <wp:cNvGraphicFramePr>
              <a:graphicFrameLocks noChangeAspect="0"/>
            </wp:cNvGraphicFramePr>
            <a:graphic>
              <a:graphicData uri="http://schemas.openxmlformats.org/drawingml/2006/picture">
                <pic:pic>
                  <pic:nvPicPr>
                    <pic:cNvPr id="24" name="图表 9 24"/>
                    <pic:cNvPicPr/>
                  </pic:nvPicPr>
                  <pic:blipFill>
                    <a:blip r:embed="rId11"/>
                    <a:stretch>
                      <a:fillRect/>
                    </a:stretch>
                  </pic:blipFill>
                  <pic:spPr>
                    <a:xfrm rot="0">
                      <a:off x="0" y="0"/>
                      <a:ext cx="5256530" cy="2988310"/>
                    </a:xfrm>
                    <a:prstGeom prst="rect"/>
                    <a:ln w="9525" cmpd="sng" cap="flat">
                      <a:solidFill>
                        <a:srgbClr val="000000"/>
                      </a:solidFill>
                      <a:prstDash val="solid"/>
                      <a:miter/>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0"/>
        <w:jc w:val="center"/>
        <w:textAlignment w:val="auto"/>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（图6：一般公共预算财政拨款支出决算结构）</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0" w:name="_Toc15377212"/>
      <w:r>
        <w:rPr>
          <w:rFonts w:ascii="Times New Roman" w:eastAsia="楷体_GB2312" w:cs="楷体_GB2312" w:hAnsi="Times New Roman" w:hint="eastAsia"/>
          <w:b/>
          <w:color w:val="auto"/>
          <w:sz w:val="32"/>
          <w:szCs w:val="32"/>
          <w:highlight w:val="auto"/>
        </w:rPr>
        <w:t>（三）一般公共预算财政拨款支出决算具体情况</w:t>
      </w:r>
      <w:bookmarkEnd w:id="30"/>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31" w:name="_Toc15378460"/>
      <w:bookmarkStart w:id="32" w:name="_Toc15377213"/>
      <w:bookmarkStart w:id="33" w:name="_Toc15377444"/>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一般公共预算支出决算数为</w:t>
      </w:r>
      <w:r>
        <w:rPr>
          <w:rFonts w:ascii="仿宋_GB2312" w:eastAsia="仿宋_GB2312" w:cs="仿宋_GB2312" w:hint="eastAsia"/>
          <w:sz w:val="32"/>
          <w:szCs w:val="32"/>
        </w:rPr>
        <w:t>220.53</w:t>
      </w:r>
      <w:r>
        <w:rPr>
          <w:rFonts w:ascii="Times New Roman" w:eastAsia="仿宋_GB2312" w:cs="仿宋_GB2312" w:hAnsi="Times New Roman" w:hint="eastAsia"/>
          <w:color w:val="auto"/>
          <w:kern w:val="2"/>
          <w:sz w:val="32"/>
          <w:szCs w:val="32"/>
          <w:lang w:val="en-US" w:eastAsia="zh-CN" w:bidi="ar-SA"/>
          <w:highlight w:val="auto"/>
        </w:rPr>
        <w:t>，完成预算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%。其中：</w:t>
      </w:r>
      <w:bookmarkEnd w:id="31"/>
      <w:bookmarkEnd w:id="32"/>
      <w:bookmarkEnd w:id="33"/>
    </w:p>
    <w:p>
      <w:pPr>
        <w:keepNext w:val="0"/>
        <w:keepLines w:val="0"/>
        <w:pageBreakBefore w:val="0"/>
        <w:widowControl w:val="0"/>
        <w:kinsoku/>
        <w:wordWrap/>
        <w:overflowPunct/>
        <w:topLinePunct w:val="0"/>
        <w:autoSpaceDE/>
        <w:autoSpaceDN/>
        <w:bidi w:val="0"/>
        <w:adjustRightInd/>
        <w:spacing w:line="600" w:lineRule="exact"/>
        <w:ind w:left="0" w:firstLineChars="200" w:firstLine="640"/>
        <w:textAlignment w:val="auto"/>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rPr>
        <w:t>1.</w:t>
      </w:r>
      <w:r>
        <w:rPr>
          <w:rFonts w:ascii="Times New Roman" w:eastAsia="仿宋_GB2312" w:cs="仿宋_GB2312" w:hAnsi="Times New Roman" w:hint="eastAsia"/>
          <w:color w:val="auto"/>
          <w:kern w:val="2"/>
          <w:sz w:val="32"/>
          <w:szCs w:val="32"/>
          <w:lang w:val="en-US" w:eastAsia="zh-CN" w:bidi="ar-SA"/>
          <w:highlight w:val="auto"/>
        </w:rPr>
        <w:t>一般公共服务</w:t>
      </w:r>
      <w:r>
        <w:rPr>
          <w:rFonts w:eastAsia="仿宋_GB2312" w:cs="仿宋_GB2312" w:hint="eastAsia"/>
          <w:color w:val="auto"/>
          <w:kern w:val="2"/>
          <w:sz w:val="32"/>
          <w:szCs w:val="32"/>
          <w:lang w:val="en-US" w:eastAsia="zh-CN" w:bidi="ar-SA"/>
          <w:highlight w:val="auto"/>
        </w:rPr>
        <w:t>2012901：</w:t>
      </w:r>
      <w:r>
        <w:rPr>
          <w:rFonts w:ascii="Times New Roman" w:eastAsia="仿宋_GB2312" w:cs="仿宋_GB2312" w:hAnsi="Times New Roman" w:hint="eastAsia"/>
          <w:color w:val="auto"/>
          <w:kern w:val="2"/>
          <w:sz w:val="32"/>
          <w:szCs w:val="32"/>
          <w:lang w:val="en-US" w:eastAsia="zh-CN" w:bidi="ar-SA"/>
          <w:highlight w:val="auto"/>
        </w:rPr>
        <w:t>支出决算为</w:t>
      </w:r>
      <w:r>
        <w:rPr>
          <w:rFonts w:eastAsia="仿宋_GB2312" w:cs="仿宋_GB2312" w:hint="eastAsia"/>
          <w:color w:val="auto"/>
          <w:kern w:val="2"/>
          <w:sz w:val="32"/>
          <w:szCs w:val="32"/>
          <w:lang w:val="en-US" w:eastAsia="zh-CN" w:bidi="ar-SA"/>
          <w:highlight w:val="auto"/>
        </w:rPr>
        <w:t>189.20</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p>
    <w:p>
      <w:pPr>
        <w:keepNext w:val="0"/>
        <w:keepLines w:val="0"/>
        <w:pageBreakBefore w:val="0"/>
        <w:widowControl w:val="0"/>
        <w:kinsoku/>
        <w:wordWrap/>
        <w:overflowPunct/>
        <w:topLinePunct w:val="0"/>
        <w:autoSpaceDE/>
        <w:autoSpaceDN/>
        <w:bidi w:val="0"/>
        <w:adjustRightInd/>
        <w:spacing w:line="600" w:lineRule="exact"/>
        <w:ind w:firstLineChars="200" w:firstLine="640"/>
        <w:textAlignment w:val="auto"/>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w:t>
      </w:r>
      <w:r>
        <w:rPr>
          <w:rFonts w:ascii="Times New Roman" w:eastAsia="仿宋_GB2312" w:cs="仿宋_GB2312" w:hAnsi="Times New Roman" w:hint="eastAsia"/>
          <w:color w:val="auto"/>
          <w:kern w:val="2"/>
          <w:sz w:val="32"/>
          <w:szCs w:val="32"/>
          <w:lang w:val="en-US" w:eastAsia="zh-CN" w:bidi="ar-SA"/>
          <w:highlight w:val="auto"/>
        </w:rPr>
        <w:t>.社会保障和就业</w:t>
      </w:r>
      <w:r>
        <w:rPr>
          <w:rFonts w:eastAsia="仿宋_GB2312" w:cs="仿宋_GB2312" w:hint="eastAsia"/>
          <w:color w:val="auto"/>
          <w:kern w:val="2"/>
          <w:sz w:val="32"/>
          <w:szCs w:val="32"/>
          <w:lang w:val="en-US" w:eastAsia="zh-CN" w:bidi="ar-SA"/>
          <w:highlight w:val="auto"/>
        </w:rPr>
        <w:t>2080505：</w:t>
      </w:r>
      <w:r>
        <w:rPr>
          <w:rFonts w:ascii="Times New Roman" w:eastAsia="仿宋_GB2312" w:cs="仿宋_GB2312" w:hAnsi="Times New Roman" w:hint="eastAsia"/>
          <w:color w:val="auto"/>
          <w:kern w:val="2"/>
          <w:sz w:val="32"/>
          <w:szCs w:val="32"/>
          <w:lang w:val="en-US" w:eastAsia="zh-CN" w:bidi="ar-SA"/>
          <w:highlight w:val="auto"/>
        </w:rPr>
        <w:t>支出决算为</w:t>
      </w:r>
      <w:r>
        <w:rPr>
          <w:rFonts w:eastAsia="仿宋_GB2312" w:cs="仿宋_GB2312" w:hint="eastAsia"/>
          <w:color w:val="auto"/>
          <w:kern w:val="2"/>
          <w:sz w:val="32"/>
          <w:szCs w:val="32"/>
          <w:lang w:val="en-US" w:eastAsia="zh-CN" w:bidi="ar-SA"/>
          <w:highlight w:val="auto"/>
        </w:rPr>
        <w:t>16.42</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p>
    <w:p>
      <w:pPr>
        <w:keepNext w:val="0"/>
        <w:keepLines w:val="0"/>
        <w:pageBreakBefore w:val="0"/>
        <w:widowControl w:val="0"/>
        <w:kinsoku/>
        <w:wordWrap/>
        <w:overflowPunct/>
        <w:topLinePunct w:val="0"/>
        <w:autoSpaceDE/>
        <w:autoSpaceDN/>
        <w:bidi w:val="0"/>
        <w:adjustRightInd/>
        <w:spacing w:line="600" w:lineRule="exact"/>
        <w:ind w:firstLineChars="200" w:firstLine="640"/>
        <w:textAlignment w:val="auto"/>
        <w:rPr>
          <w:rFonts w:eastAsia="仿宋_GB2312" w:cs="仿宋_GB2312"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3</w:t>
      </w:r>
      <w:r>
        <w:rPr>
          <w:rFonts w:ascii="Times New Roman" w:eastAsia="仿宋_GB2312" w:cs="仿宋_GB2312" w:hAnsi="Times New Roman" w:hint="eastAsia"/>
          <w:color w:val="auto"/>
          <w:kern w:val="2"/>
          <w:sz w:val="32"/>
          <w:szCs w:val="32"/>
          <w:lang w:val="en-US" w:eastAsia="zh-CN" w:bidi="ar-SA"/>
          <w:highlight w:val="auto"/>
        </w:rPr>
        <w:t>.卫生健康</w:t>
      </w:r>
      <w:r>
        <w:rPr>
          <w:rFonts w:eastAsia="仿宋_GB2312" w:cs="仿宋_GB2312" w:hint="eastAsia"/>
          <w:color w:val="auto"/>
          <w:kern w:val="2"/>
          <w:sz w:val="32"/>
          <w:szCs w:val="32"/>
          <w:lang w:val="en-US" w:eastAsia="zh-CN" w:bidi="ar-SA"/>
          <w:highlight w:val="auto"/>
        </w:rPr>
        <w:t>2101101：</w:t>
      </w:r>
      <w:r>
        <w:rPr>
          <w:rFonts w:ascii="Times New Roman" w:eastAsia="仿宋_GB2312" w:cs="仿宋_GB2312" w:hAnsi="Times New Roman" w:hint="eastAsia"/>
          <w:color w:val="auto"/>
          <w:kern w:val="2"/>
          <w:sz w:val="32"/>
          <w:szCs w:val="32"/>
          <w:lang w:val="en-US" w:eastAsia="zh-CN" w:bidi="ar-SA"/>
          <w:highlight w:val="auto"/>
        </w:rPr>
        <w:t>支出决算为</w:t>
      </w:r>
      <w:r>
        <w:rPr>
          <w:rFonts w:eastAsia="仿宋_GB2312" w:cs="仿宋_GB2312" w:hint="eastAsia"/>
          <w:color w:val="auto"/>
          <w:kern w:val="2"/>
          <w:sz w:val="32"/>
          <w:szCs w:val="32"/>
          <w:lang w:val="en-US" w:eastAsia="zh-CN" w:bidi="ar-SA"/>
          <w:highlight w:val="auto"/>
        </w:rPr>
        <w:t>5.91</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p>
    <w:p>
      <w:pPr>
        <w:pStyle w:val="15"/>
        <w:keepNext w:val="0"/>
        <w:keepLines w:val="0"/>
        <w:pageBreakBefore w:val="0"/>
        <w:widowControl w:val="0"/>
        <w:kinsoku/>
        <w:wordWrap/>
        <w:overflowPunct/>
        <w:topLinePunct w:val="0"/>
        <w:autoSpaceDE/>
        <w:autoSpaceDN/>
        <w:bidi w:val="0"/>
        <w:adjustRightInd/>
        <w:snapToGrid w:val="0"/>
        <w:spacing w:line="600" w:lineRule="exact"/>
        <w:ind w:firstLineChars="200" w:firstLine="640"/>
        <w:textAlignment w:val="auto"/>
        <w:rPr>
          <w:lang w:val="en-US" w:eastAsia="zh-CN"/>
        </w:rPr>
      </w:pPr>
      <w:r>
        <w:rPr>
          <w:rFonts w:eastAsia="仿宋_GB2312" w:cs="仿宋_GB2312" w:hint="eastAsia"/>
          <w:color w:val="auto"/>
          <w:kern w:val="2"/>
          <w:sz w:val="32"/>
          <w:szCs w:val="32"/>
          <w:lang w:val="en-US" w:eastAsia="zh-CN" w:bidi="ar-SA"/>
          <w:highlight w:val="auto"/>
        </w:rPr>
        <w:t>4.住房保障2210201：支出决算为9.00万元，完成预算100%。</w:t>
      </w:r>
    </w:p>
    <w:p>
      <w:pPr>
        <w:spacing w:line="600" w:lineRule="exact"/>
        <w:rPr>
          <w:rFonts w:ascii="Times New Roman" w:eastAsia="仿宋_GB2312" w:cs="仿宋_GB2312" w:hAnsi="Times New Roman" w:hint="eastAsia"/>
          <w:color w:val="auto"/>
          <w:kern w:val="2"/>
          <w:sz w:val="32"/>
          <w:szCs w:val="32"/>
          <w:lang w:val="en-US" w:eastAsia="zh-CN" w:bidi="ar-SA"/>
          <w:highlight w:val="auto"/>
        </w:rPr>
      </w:pPr>
    </w:p>
    <w:p>
      <w:pPr>
        <w:tabs>
          <w:tab w:val="right" w:pos="8306"/>
        </w:tabs>
        <w:spacing w:line="600" w:lineRule="exact"/>
        <w:outlineLvl w:val="1"/>
        <w:rPr>
          <w:rStyle w:val="2Char"/>
          <w:rFonts w:ascii="Times New Roman" w:hAnsi="Times New Roman"/>
          <w:color w:val="auto"/>
          <w:highlight w:val="auto"/>
        </w:rPr>
      </w:pPr>
      <w:bookmarkStart w:id="34" w:name="_Toc15377214"/>
      <w:bookmarkStart w:id="35" w:name="_Toc15396608"/>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34"/>
      <w:bookmarkEnd w:id="35"/>
      <w:r>
        <w:rPr>
          <w:rStyle w:val="2Char"/>
          <w:rFonts w:ascii="Times New Roman" w:eastAsia="黑体" w:hAnsi="Times New Roman"/>
          <w:b w:val="0"/>
          <w:color w:val="auto"/>
          <w:highlight w:val="auto"/>
        </w:rPr>
        <w:tab/>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一般公共预算财政拨款基本支出</w:t>
      </w:r>
      <w:r>
        <w:rPr>
          <w:rFonts w:ascii="仿宋_GB2312" w:eastAsia="仿宋_GB2312" w:cs="仿宋_GB2312" w:hint="eastAsia"/>
          <w:sz w:val="32"/>
          <w:szCs w:val="32"/>
        </w:rPr>
        <w:t>119.3</w:t>
      </w:r>
      <w:r>
        <w:rPr>
          <w:rFonts w:ascii="Times New Roman" w:eastAsia="仿宋_GB2312" w:cs="仿宋_GB2312" w:hAnsi="Times New Roman" w:hint="eastAsia"/>
          <w:color w:val="auto"/>
          <w:kern w:val="2"/>
          <w:sz w:val="32"/>
          <w:szCs w:val="32"/>
          <w:lang w:val="en-US" w:eastAsia="zh-CN" w:bidi="ar-SA"/>
          <w:highlight w:val="auto"/>
        </w:rPr>
        <w:t>万元，其中：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人员经费</w:t>
      </w:r>
      <w:r>
        <w:rPr>
          <w:rFonts w:ascii="仿宋_GB2312" w:eastAsia="仿宋_GB2312" w:cs="仿宋_GB2312" w:hint="eastAsia"/>
          <w:sz w:val="32"/>
          <w:szCs w:val="32"/>
        </w:rPr>
        <w:t>111.68</w:t>
      </w:r>
      <w:r>
        <w:rPr>
          <w:rFonts w:ascii="Times New Roman" w:eastAsia="仿宋_GB2312" w:cs="仿宋_GB2312" w:hAnsi="Times New Roman" w:hint="eastAsia"/>
          <w:color w:val="auto"/>
          <w:kern w:val="2"/>
          <w:sz w:val="32"/>
          <w:szCs w:val="32"/>
          <w:lang w:val="en-US" w:eastAsia="zh-CN" w:bidi="ar-SA"/>
          <w:highlight w:val="auto"/>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br/>
        <w:t>　　公用经费</w:t>
      </w:r>
      <w:r>
        <w:rPr>
          <w:rFonts w:ascii="仿宋_GB2312" w:eastAsia="仿宋_GB2312" w:cs="仿宋_GB2312" w:hint="eastAsia"/>
          <w:sz w:val="32"/>
          <w:szCs w:val="32"/>
        </w:rPr>
        <w:t>7.62</w:t>
      </w:r>
      <w:r>
        <w:rPr>
          <w:rFonts w:ascii="Times New Roman" w:eastAsia="仿宋_GB2312" w:cs="仿宋_GB2312" w:hAnsi="Times New Roman" w:hint="eastAsia"/>
          <w:color w:val="auto"/>
          <w:kern w:val="2"/>
          <w:sz w:val="32"/>
          <w:szCs w:val="32"/>
          <w:lang w:val="en-US" w:eastAsia="zh-CN" w:bidi="ar-SA"/>
          <w:highlight w:val="auto"/>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outlineLvl w:val="1"/>
        <w:rPr>
          <w:rStyle w:val="2Char"/>
          <w:rFonts w:ascii="Times New Roman" w:eastAsia="黑体" w:hAnsi="Times New Roman"/>
          <w:b w:val="0"/>
          <w:color w:val="auto"/>
          <w:highlight w:val="auto"/>
        </w:rPr>
      </w:pPr>
      <w:bookmarkStart w:id="36" w:name="_Toc15396609"/>
      <w:bookmarkStart w:id="37" w:name="_Toc15377215"/>
      <w:r>
        <w:rPr>
          <w:rFonts w:ascii="Times New Roman" w:eastAsia="黑体" w:hAnsi="Times New Roman" w:hint="eastAsia"/>
          <w:color w:val="auto"/>
          <w:sz w:val="32"/>
          <w:szCs w:val="32"/>
          <w:highlight w:val="auto"/>
        </w:rPr>
        <w:t>七、</w:t>
      </w:r>
      <w:r>
        <w:rPr>
          <w:rStyle w:val="2Char"/>
          <w:rFonts w:ascii="Times New Roman" w:eastAsia="黑体" w:hAnsi="Times New Roman" w:hint="eastAsia"/>
          <w:b w:val="0"/>
          <w:color w:val="auto"/>
          <w:highlight w:val="auto"/>
        </w:rPr>
        <w:t>财政拨款</w:t>
      </w:r>
      <w:r>
        <w:rPr>
          <w:rStyle w:val="2Char"/>
          <w:rFonts w:ascii="Times New Roman" w:eastAsia="黑体" w:hAnsi="Times New Roman" w:hint="eastAsia"/>
          <w:color w:val="auto"/>
          <w:highlight w:val="auto"/>
        </w:rPr>
        <w:t>“</w:t>
      </w:r>
      <w:r>
        <w:rPr>
          <w:rStyle w:val="2Char"/>
          <w:rFonts w:ascii="Times New Roman" w:eastAsia="黑体" w:hAnsi="Times New Roman" w:hint="eastAsia"/>
          <w:b w:val="0"/>
          <w:color w:val="auto"/>
          <w:highlight w:val="auto"/>
        </w:rPr>
        <w:t>三公”经费支出决算情况说明</w:t>
      </w:r>
      <w:bookmarkEnd w:id="36"/>
      <w:bookmarkEnd w:id="37"/>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8" w:name="_Toc15377216"/>
      <w:r>
        <w:rPr>
          <w:rFonts w:ascii="Times New Roman" w:eastAsia="楷体_GB2312" w:cs="楷体_GB2312" w:hAnsi="Times New Roman" w:hint="eastAsia"/>
          <w:b/>
          <w:color w:val="auto"/>
          <w:sz w:val="32"/>
          <w:szCs w:val="32"/>
          <w:highlight w:val="auto"/>
        </w:rPr>
        <w:t>（一）财政拨款“三公”经费支出决算总体情况说明</w:t>
      </w:r>
      <w:bookmarkEnd w:id="38"/>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%，较上年度减少</w:t>
      </w:r>
      <w:r>
        <w:rPr>
          <w:rFonts w:eastAsia="仿宋_GB2312" w:cs="仿宋_GB2312" w:hint="eastAsia"/>
          <w:color w:val="auto"/>
          <w:kern w:val="2"/>
          <w:sz w:val="32"/>
          <w:szCs w:val="32"/>
          <w:lang w:val="en-US" w:eastAsia="zh-CN" w:bidi="ar-SA"/>
          <w:highlight w:val="auto"/>
        </w:rPr>
        <w:t>0.08</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%。决算数</w:t>
      </w:r>
      <w:r>
        <w:rPr>
          <w:rFonts w:eastAsia="仿宋_GB2312" w:cs="仿宋_GB2312" w:hint="eastAsia"/>
          <w:color w:val="auto"/>
          <w:kern w:val="2"/>
          <w:sz w:val="32"/>
          <w:szCs w:val="32"/>
          <w:lang w:val="en-US" w:eastAsia="zh-CN" w:bidi="ar-SA"/>
          <w:highlight w:val="auto"/>
        </w:rPr>
        <w:t>与</w:t>
      </w:r>
      <w:r>
        <w:rPr>
          <w:rFonts w:ascii="Times New Roman" w:eastAsia="仿宋_GB2312" w:cs="仿宋_GB2312" w:hAnsi="Times New Roman" w:hint="eastAsia"/>
          <w:color w:val="auto"/>
          <w:kern w:val="2"/>
          <w:sz w:val="32"/>
          <w:szCs w:val="32"/>
          <w:lang w:val="en-US" w:eastAsia="zh-CN" w:bidi="ar-SA"/>
          <w:highlight w:val="auto"/>
        </w:rPr>
        <w:t>预算数持平的主要原因是</w:t>
      </w:r>
      <w:r>
        <w:rPr>
          <w:rFonts w:eastAsia="仿宋_GB2312" w:cs="仿宋_GB2312" w:hint="eastAsia"/>
          <w:color w:val="auto"/>
          <w:kern w:val="2"/>
          <w:sz w:val="32"/>
          <w:szCs w:val="32"/>
          <w:lang w:val="en-US" w:eastAsia="zh-CN" w:bidi="ar-SA"/>
          <w:highlight w:val="auto"/>
        </w:rPr>
        <w:t>本年度严格落实厉行节约相关规定，未发生公务接待、公务用车等“三公”经费。</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9" w:name="_Toc15377217"/>
      <w:r>
        <w:rPr>
          <w:rFonts w:ascii="Times New Roman" w:eastAsia="楷体_GB2312" w:cs="楷体_GB2312" w:hAnsi="Times New Roman" w:hint="eastAsia"/>
          <w:b/>
          <w:color w:val="auto"/>
          <w:sz w:val="32"/>
          <w:szCs w:val="32"/>
          <w:highlight w:val="auto"/>
        </w:rPr>
        <w:t>（二）财政拨款“三公”经费支出决算具体情况说明</w:t>
      </w:r>
      <w:bookmarkEnd w:id="39"/>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财政拨款“三公”经费支出决算中，因公出国（境）费支出决算</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%；公务用车购置及运行维</w:t>
      </w:r>
      <w:bookmarkStart w:id="40" w:name="_GoBack"/>
      <w:bookmarkEnd w:id="40"/>
      <w:r>
        <w:rPr>
          <w:rFonts w:ascii="Times New Roman" w:eastAsia="仿宋_GB2312" w:cs="仿宋_GB2312" w:hAnsi="Times New Roman" w:hint="eastAsia"/>
          <w:color w:val="auto"/>
          <w:kern w:val="2"/>
          <w:sz w:val="32"/>
          <w:szCs w:val="32"/>
          <w:lang w:val="en-US" w:eastAsia="zh-CN" w:bidi="ar-SA"/>
          <w:highlight w:val="auto"/>
        </w:rPr>
        <w:t>护费支出决算</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%；公务接待费支出决算</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p>
    <w:p>
      <w:pPr>
        <w:numPr>
          <w:ilvl w:val="0"/>
          <w:numId w:val="2"/>
        </w:numPr>
        <w:spacing w:line="600" w:lineRule="exact"/>
        <w:ind w:left="0" w:firstLine="640"/>
        <w:rPr>
          <w:rFonts w:eastAsia="仿宋_GB2312" w:cs="仿宋_GB2312"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因公出国（境）经费支出</w:t>
      </w:r>
      <w:r>
        <w:rPr>
          <w:rFonts w:ascii="仿宋_GB2312" w:eastAsia="仿宋_GB2312" w:cs="仿宋_GB2312" w:hint="eastAsia"/>
          <w:sz w:val="32"/>
          <w:szCs w:val="32"/>
        </w:rPr>
        <w:t>0</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全年安排因公出国（境）团组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次，出国（境）</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人。因公出国（境）支出决算比</w:t>
      </w:r>
      <w:r>
        <w:rPr>
          <w:rFonts w:eastAsia="仿宋_GB2312" w:cs="仿宋_GB2312" w:hint="eastAsia"/>
          <w:color w:val="auto"/>
          <w:kern w:val="2"/>
          <w:sz w:val="32"/>
          <w:szCs w:val="32"/>
          <w:lang w:val="en-US" w:eastAsia="zh-CN" w:bidi="ar-SA"/>
          <w:highlight w:val="auto"/>
        </w:rPr>
        <w:t>上年度无变化。</w:t>
      </w:r>
    </w:p>
    <w:p>
      <w:pPr>
        <w:numPr>
          <w:ilvl w:val="0"/>
          <w:numId w:val="2"/>
        </w:numPr>
        <w:spacing w:line="600" w:lineRule="exact"/>
        <w:ind w:left="0" w:firstLine="640"/>
        <w:rPr>
          <w:rFonts w:eastAsia="仿宋_GB2312" w:cs="仿宋_GB2312"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公务用车购置及运行维护费支出</w:t>
      </w:r>
      <w:r>
        <w:rPr>
          <w:rFonts w:ascii="仿宋_GB2312"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完成预算</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公务用车购置及运行维护费支出决算比</w:t>
      </w:r>
      <w:r>
        <w:rPr>
          <w:rFonts w:eastAsia="仿宋_GB2312" w:cs="仿宋_GB2312" w:hint="eastAsia"/>
          <w:color w:val="auto"/>
          <w:kern w:val="2"/>
          <w:sz w:val="32"/>
          <w:szCs w:val="32"/>
          <w:lang w:val="en-US" w:eastAsia="zh-CN" w:bidi="ar-SA"/>
          <w:highlight w:val="auto"/>
        </w:rPr>
        <w:t>上年度无变化。</w:t>
      </w:r>
    </w:p>
    <w:p>
      <w:pPr>
        <w:spacing w:line="600" w:lineRule="exact"/>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其中：公务用车购置支出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万元。全年按规定更新购置公务用</w:t>
      </w:r>
      <w:r>
        <w:rPr>
          <w:rFonts w:ascii="Times New Roman" w:eastAsia="仿宋_GB2312" w:cs="仿宋_GB2312" w:hAnsi="Times New Roman"/>
          <w:color w:val="auto"/>
          <w:kern w:val="2"/>
          <w:sz w:val="32"/>
          <w:szCs w:val="32"/>
          <w:lang w:val="en-US" w:eastAsia="zh-CN" w:bidi="ar-SA"/>
          <w:highlight w:val="auto"/>
        </w:rPr>
        <w:t>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公务用车运行维护费支出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3.公务接待费支出</w:t>
      </w:r>
      <w:r>
        <w:rPr>
          <w:rFonts w:ascii="仿宋_GB2312"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公务接待费支出决算比</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w:t>
      </w:r>
      <w:r>
        <w:rPr>
          <w:rFonts w:eastAsia="仿宋_GB2312" w:cs="仿宋_GB2312" w:hint="eastAsia"/>
          <w:color w:val="auto"/>
          <w:kern w:val="2"/>
          <w:sz w:val="32"/>
          <w:szCs w:val="32"/>
          <w:lang w:val="en-US" w:eastAsia="zh-CN" w:bidi="ar-SA"/>
          <w:highlight w:val="auto"/>
        </w:rPr>
        <w:t>无变化，</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hint="eastAsia"/>
          <w:color w:val="auto"/>
          <w:kern w:val="2"/>
          <w:sz w:val="32"/>
          <w:szCs w:val="32"/>
          <w:lang w:val="en-US" w:eastAsia="zh-CN" w:bidi="ar-SA"/>
          <w:highlight w:val="auto"/>
        </w:rPr>
        <w:t>本年度无公务接待事项，未发生公务接待支出。</w:t>
      </w:r>
    </w:p>
    <w:p>
      <w:pPr>
        <w:spacing w:line="600" w:lineRule="exact"/>
        <w:outlineLvl w:val="1"/>
        <w:rPr>
          <w:rStyle w:val="2Char"/>
          <w:rFonts w:ascii="Times New Roman" w:eastAsia="黑体" w:hAnsi="Times New Roman"/>
          <w:color w:val="auto"/>
          <w:highlight w:val="auto"/>
        </w:rPr>
      </w:pPr>
      <w:bookmarkStart w:id="41" w:name="_Toc15377218"/>
      <w:bookmarkStart w:id="42" w:name="_Toc15396610"/>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41"/>
      <w:bookmarkEnd w:id="42"/>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政府性基金预算财政拨款支出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年度相比，政府性基金预算财政拨款支出</w:t>
      </w:r>
      <w:r>
        <w:rPr>
          <w:rFonts w:eastAsia="仿宋_GB2312" w:cs="仿宋_GB2312" w:hint="eastAsia"/>
          <w:color w:val="auto"/>
          <w:kern w:val="2"/>
          <w:sz w:val="32"/>
          <w:szCs w:val="32"/>
          <w:lang w:val="en-US" w:eastAsia="zh-CN" w:bidi="ar-SA"/>
          <w:highlight w:val="auto"/>
        </w:rPr>
        <w:t>无变化。</w:t>
      </w:r>
    </w:p>
    <w:p>
      <w:pPr>
        <w:spacing w:line="600" w:lineRule="exact"/>
        <w:outlineLvl w:val="1"/>
        <w:rPr>
          <w:rStyle w:val="2Char"/>
          <w:rFonts w:ascii="Times New Roman" w:eastAsia="黑体" w:hAnsi="Times New Roman"/>
          <w:b w:val="0"/>
          <w:color w:val="auto"/>
          <w:highlight w:val="auto"/>
        </w:rPr>
      </w:pPr>
      <w:bookmarkStart w:id="43" w:name="_Toc15396611"/>
      <w:bookmarkStart w:id="44" w:name="_Toc15377219"/>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43"/>
      <w:bookmarkEnd w:id="44"/>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国有资本经营预算财政拨款支出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年度相比，国有资本经营预算财政拨款支出</w:t>
      </w:r>
      <w:r>
        <w:rPr>
          <w:rFonts w:eastAsia="仿宋_GB2312" w:cs="仿宋_GB2312" w:hint="eastAsia"/>
          <w:color w:val="auto"/>
          <w:kern w:val="2"/>
          <w:sz w:val="32"/>
          <w:szCs w:val="32"/>
          <w:lang w:val="en-US" w:eastAsia="zh-CN" w:bidi="ar-SA"/>
          <w:highlight w:val="auto"/>
        </w:rPr>
        <w:t>无变化。</w:t>
      </w:r>
    </w:p>
    <w:p>
      <w:pPr>
        <w:spacing w:line="600" w:lineRule="exact"/>
        <w:outlineLvl w:val="1"/>
        <w:rPr>
          <w:rStyle w:val="2Char"/>
          <w:rFonts w:ascii="Times New Roman" w:eastAsia="黑体" w:hAnsi="Times New Roman" w:hint="eastAsia"/>
          <w:b w:val="0"/>
          <w:color w:val="auto"/>
          <w:highlight w:val="auto"/>
        </w:rPr>
      </w:pPr>
      <w:bookmarkStart w:id="45" w:name="_Toc15377221"/>
      <w:bookmarkStart w:id="46" w:name="_Toc15396612"/>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45"/>
      <w:bookmarkEnd w:id="46"/>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7" w:name="_Toc15377222"/>
      <w:r>
        <w:rPr>
          <w:rFonts w:ascii="Times New Roman" w:eastAsia="楷体_GB2312" w:cs="楷体_GB2312" w:hAnsi="Times New Roman" w:hint="eastAsia"/>
          <w:b/>
          <w:color w:val="auto"/>
          <w:sz w:val="32"/>
          <w:szCs w:val="32"/>
          <w:highlight w:val="auto"/>
        </w:rPr>
        <w:t>（一）机关运行经费支出情况</w:t>
      </w:r>
      <w:bookmarkEnd w:id="47"/>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sz w:val="32"/>
          <w:szCs w:val="32"/>
        </w:rPr>
        <w:t>阿坝州若尔盖县妇女联合会</w:t>
      </w:r>
      <w:r>
        <w:rPr>
          <w:rFonts w:ascii="Times New Roman" w:eastAsia="仿宋_GB2312" w:cs="仿宋_GB2312" w:hAnsi="Times New Roman" w:hint="eastAsia"/>
          <w:color w:val="auto"/>
          <w:kern w:val="2"/>
          <w:sz w:val="32"/>
          <w:szCs w:val="32"/>
          <w:lang w:val="en-US" w:eastAsia="zh-CN" w:bidi="ar-SA"/>
          <w:highlight w:val="auto"/>
        </w:rPr>
        <w:t>机关运行经费支出</w:t>
      </w:r>
      <w:r>
        <w:rPr>
          <w:rFonts w:ascii="仿宋_GB2312" w:eastAsia="仿宋_GB2312" w:cs="仿宋_GB2312" w:hint="eastAsia"/>
          <w:sz w:val="32"/>
          <w:szCs w:val="32"/>
        </w:rPr>
        <w:t>7.62</w:t>
      </w:r>
      <w:r>
        <w:rPr>
          <w:rFonts w:ascii="Times New Roman" w:eastAsia="仿宋_GB2312" w:cs="仿宋_GB2312" w:hAnsi="Times New Roman" w:hint="eastAsia"/>
          <w:color w:val="auto"/>
          <w:kern w:val="2"/>
          <w:sz w:val="32"/>
          <w:szCs w:val="32"/>
          <w:lang w:val="en-US" w:eastAsia="zh-CN" w:bidi="ar-SA"/>
          <w:highlight w:val="auto"/>
        </w:rPr>
        <w:t>万元，比</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年度增加</w:t>
      </w:r>
      <w:r>
        <w:rPr>
          <w:rFonts w:eastAsia="仿宋_GB2312" w:cs="仿宋_GB2312" w:hint="eastAsia"/>
          <w:color w:val="auto"/>
          <w:kern w:val="2"/>
          <w:sz w:val="32"/>
          <w:szCs w:val="32"/>
          <w:lang w:val="en-US" w:eastAsia="zh-CN" w:bidi="ar-SA"/>
          <w:highlight w:val="auto"/>
        </w:rPr>
        <w:t>3.29</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75.98</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hint="eastAsia"/>
          <w:color w:val="auto"/>
          <w:kern w:val="2"/>
          <w:sz w:val="32"/>
          <w:szCs w:val="32"/>
          <w:lang w:val="en-US" w:eastAsia="zh-CN" w:bidi="ar-SA"/>
          <w:highlight w:val="auto"/>
        </w:rPr>
        <w:t>本年度单位日常办公、业务活动增加，导致机关运行相关费用上涨。</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8" w:name="_Toc15377223"/>
      <w:r>
        <w:rPr>
          <w:rFonts w:ascii="Times New Roman" w:eastAsia="楷体_GB2312" w:cs="楷体_GB2312" w:hAnsi="Times New Roman" w:hint="eastAsia"/>
          <w:b/>
          <w:color w:val="auto"/>
          <w:sz w:val="32"/>
          <w:szCs w:val="32"/>
          <w:highlight w:val="auto"/>
        </w:rPr>
        <w:t>（二）政府采购支出情况</w:t>
      </w:r>
      <w:bookmarkEnd w:id="48"/>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sz w:val="32"/>
          <w:szCs w:val="32"/>
        </w:rPr>
        <w:t>阿坝州若尔盖县妇女联合会</w:t>
      </w:r>
      <w:r>
        <w:rPr>
          <w:rFonts w:ascii="Times New Roman" w:eastAsia="仿宋_GB2312" w:cs="仿宋_GB2312" w:hAnsi="Times New Roman" w:hint="eastAsia"/>
          <w:color w:val="auto"/>
          <w:kern w:val="2"/>
          <w:sz w:val="32"/>
          <w:szCs w:val="32"/>
          <w:lang w:val="en-US" w:eastAsia="zh-CN" w:bidi="ar-SA"/>
          <w:highlight w:val="auto"/>
        </w:rPr>
        <w:t>政府采购支出总额</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万元，其中：政府采购货物支出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万元、政府采购工程支出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万元、政府采购服务支出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万元。授予中小企业合同金额</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%，其中：授予小微企业合同金额</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9" w:name="_Toc15377224"/>
      <w:r>
        <w:rPr>
          <w:rFonts w:ascii="Times New Roman" w:eastAsia="楷体_GB2312" w:cs="楷体_GB2312" w:hAnsi="Times New Roman" w:hint="eastAsia"/>
          <w:b/>
          <w:color w:val="auto"/>
          <w:sz w:val="32"/>
          <w:szCs w:val="32"/>
          <w:highlight w:val="auto"/>
        </w:rPr>
        <w:t>（三）国有资产占有使用情况</w:t>
      </w:r>
      <w:bookmarkEnd w:id="49"/>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w:t>
      </w:r>
      <w:r>
        <w:rPr>
          <w:rFonts w:ascii="仿宋_GB2312" w:eastAsia="仿宋_GB2312" w:cs="仿宋_GB2312" w:hint="eastAsia"/>
          <w:sz w:val="32"/>
          <w:szCs w:val="32"/>
        </w:rPr>
        <w:t>阿坝州若尔盖县妇女联合会</w:t>
      </w:r>
      <w:r>
        <w:rPr>
          <w:rFonts w:ascii="Times New Roman" w:eastAsia="仿宋_GB2312" w:cs="仿宋_GB2312" w:hAnsi="Times New Roman" w:hint="eastAsia"/>
          <w:color w:val="auto"/>
          <w:kern w:val="2"/>
          <w:sz w:val="32"/>
          <w:szCs w:val="32"/>
          <w:lang w:val="en-US" w:eastAsia="zh-CN" w:bidi="ar-SA"/>
          <w:highlight w:val="auto"/>
        </w:rPr>
        <w:t>共有车辆</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辆，其中：副部（省）级及以上领导用车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辆、主要</w:t>
      </w:r>
      <w:r>
        <w:rPr>
          <w:rFonts w:eastAsia="仿宋_GB2312" w:cs="仿宋_GB2312" w:hint="eastAsia"/>
          <w:color w:val="auto"/>
          <w:kern w:val="2"/>
          <w:sz w:val="32"/>
          <w:szCs w:val="32"/>
          <w:lang w:val="en-US" w:eastAsia="zh-CN" w:bidi="ar-SA"/>
          <w:highlight w:val="auto"/>
        </w:rPr>
        <w:t>负责人</w:t>
      </w:r>
      <w:r>
        <w:rPr>
          <w:rFonts w:ascii="Times New Roman" w:eastAsia="仿宋_GB2312" w:cs="仿宋_GB2312" w:hAnsi="Times New Roman" w:hint="eastAsia"/>
          <w:color w:val="auto"/>
          <w:kern w:val="2"/>
          <w:sz w:val="32"/>
          <w:szCs w:val="32"/>
          <w:lang w:val="en-US" w:eastAsia="zh-CN" w:bidi="ar-SA"/>
          <w:highlight w:val="auto"/>
        </w:rPr>
        <w:t>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辆、机要通信用车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辆、应急保障用车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辆、执法执勤用车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辆、特种专业技术用车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辆、离退休干部服务用车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辆、其他用车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辆，单价100万元</w:t>
      </w:r>
      <w:r>
        <w:rPr>
          <w:rFonts w:eastAsia="仿宋_GB2312" w:cs="仿宋_GB2312" w:hint="eastAsia"/>
          <w:color w:val="auto"/>
          <w:kern w:val="2"/>
          <w:sz w:val="32"/>
          <w:szCs w:val="32"/>
          <w:lang w:val="en-US" w:eastAsia="zh-CN" w:bidi="ar-SA"/>
          <w:highlight w:val="auto"/>
        </w:rPr>
        <w:t>（含）</w:t>
      </w:r>
      <w:r>
        <w:rPr>
          <w:rFonts w:ascii="Times New Roman" w:eastAsia="仿宋_GB2312" w:cs="仿宋_GB2312" w:hAnsi="Times New Roman" w:hint="eastAsia"/>
          <w:color w:val="auto"/>
          <w:kern w:val="2"/>
          <w:sz w:val="32"/>
          <w:szCs w:val="32"/>
          <w:lang w:val="en-US" w:eastAsia="zh-CN" w:bidi="ar-SA"/>
          <w:highlight w:val="auto"/>
        </w:rPr>
        <w:t>以上设备（不含车辆）</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台（套）。</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spacing w:line="600" w:lineRule="exact"/>
        <w:ind w:firstLine="640"/>
        <w:rPr>
          <w:rFonts w:eastAsia="仿宋_GB2312" w:cs="仿宋_GB2312"/>
          <w:sz w:val="32"/>
          <w:szCs w:val="32"/>
        </w:rPr>
      </w:pPr>
      <w:r>
        <w:rPr>
          <w:rFonts w:ascii="Times New Roman" w:eastAsia="仿宋_GB2312" w:cs="仿宋_GB2312" w:hAnsi="Times New Roman" w:hint="eastAsia"/>
          <w:color w:val="auto"/>
          <w:kern w:val="2"/>
          <w:sz w:val="32"/>
          <w:szCs w:val="32"/>
          <w:lang w:val="en-US" w:eastAsia="zh-CN" w:bidi="ar-SA"/>
          <w:highlight w:val="auto"/>
        </w:rPr>
        <w:t>根据预算绩效管理要求，</w:t>
      </w:r>
      <w:r>
        <w:rPr>
          <w:rFonts w:eastAsia="仿宋_GB2312" w:cs="仿宋_GB2312" w:hint="eastAsia"/>
          <w:sz w:val="32"/>
          <w:szCs w:val="32"/>
        </w:rPr>
        <w:t>根据预算绩效管理要求，</w:t>
      </w:r>
      <w:r>
        <w:rPr>
          <w:rFonts w:eastAsia="仿宋_GB2312" w:cs="仿宋_GB2312" w:hint="eastAsia"/>
          <w:sz w:val="32"/>
          <w:szCs w:val="32"/>
          <w:lang w:eastAsia="zh-CN"/>
        </w:rPr>
        <w:t>本单位</w:t>
      </w:r>
      <w:r>
        <w:rPr>
          <w:rFonts w:eastAsia="仿宋_GB2312" w:cs="仿宋_GB2312" w:hint="eastAsia"/>
          <w:sz w:val="32"/>
          <w:szCs w:val="32"/>
        </w:rPr>
        <w:t>在202</w:t>
      </w:r>
      <w:r>
        <w:rPr>
          <w:rFonts w:eastAsia="仿宋_GB2312" w:cs="仿宋_GB2312" w:hint="eastAsia"/>
          <w:sz w:val="32"/>
          <w:szCs w:val="32"/>
          <w:lang w:val="en-US" w:eastAsia="zh-CN"/>
        </w:rPr>
        <w:t>5</w:t>
      </w:r>
      <w:r>
        <w:rPr>
          <w:rFonts w:eastAsia="仿宋_GB2312" w:cs="仿宋_GB2312" w:hint="eastAsia"/>
          <w:sz w:val="32"/>
          <w:szCs w:val="32"/>
        </w:rPr>
        <w:t>年度预算编制阶段，组织对</w:t>
      </w:r>
      <w:r>
        <w:rPr>
          <w:rFonts w:ascii="仿宋" w:eastAsia="仿宋" w:cs="仿宋_GB2312" w:hint="eastAsia"/>
          <w:sz w:val="32"/>
          <w:szCs w:val="32"/>
          <w:lang w:bidi="ar-SA"/>
        </w:rPr>
        <w:t>妇女儿童专项经费、“两纲”工作经费、“三八”国际妇女节活动经费、“亲情关爱草原阿妈”格桑花宣讲经费、家庭教育经费、</w:t>
      </w:r>
      <w:r>
        <w:rPr>
          <w:rFonts w:ascii="仿宋" w:eastAsia="仿宋" w:cs="仿宋_GB2312" w:hint="eastAsia"/>
          <w:sz w:val="32"/>
          <w:szCs w:val="32"/>
          <w:lang w:eastAsia="zh-CN" w:bidi="ar-SA"/>
        </w:rPr>
        <w:t>全州民生实事妇女关爱服务专项资金</w:t>
      </w:r>
      <w:r>
        <w:rPr>
          <w:rFonts w:ascii="仿宋" w:eastAsia="仿宋" w:cs="仿宋_GB2312" w:hint="eastAsia"/>
          <w:sz w:val="32"/>
          <w:szCs w:val="32"/>
          <w:lang w:bidi="ar-SA"/>
        </w:rPr>
        <w:t>、</w:t>
      </w:r>
      <w:r>
        <w:rPr>
          <w:rFonts w:ascii="仿宋" w:eastAsia="仿宋" w:cs="仿宋_GB2312" w:hint="eastAsia"/>
          <w:sz w:val="32"/>
          <w:szCs w:val="32"/>
          <w:lang w:eastAsia="zh-CN" w:bidi="ar-SA"/>
        </w:rPr>
        <w:t>四川省妇女儿童事业发展经费</w:t>
      </w:r>
      <w:r>
        <w:rPr>
          <w:rFonts w:ascii="仿宋" w:eastAsia="仿宋" w:cs="仿宋_GB2312" w:hint="eastAsia"/>
          <w:sz w:val="32"/>
          <w:szCs w:val="32"/>
          <w:lang w:bidi="ar-SA"/>
        </w:rPr>
        <w:t>、爱润阿坝主题晚会活动经费等</w:t>
      </w:r>
      <w:r>
        <w:rPr>
          <w:rFonts w:ascii="仿宋" w:eastAsia="仿宋" w:cs="仿宋_GB2312" w:hint="eastAsia"/>
          <w:sz w:val="32"/>
          <w:szCs w:val="32"/>
          <w:lang w:val="en-US" w:eastAsia="zh-CN" w:bidi="ar-SA"/>
        </w:rPr>
        <w:t>8</w:t>
      </w:r>
      <w:r>
        <w:rPr>
          <w:rFonts w:ascii="仿宋" w:eastAsia="仿宋" w:cs="仿宋_GB2312" w:hint="eastAsia"/>
          <w:sz w:val="32"/>
          <w:szCs w:val="32"/>
          <w:lang w:bidi="ar-SA"/>
        </w:rPr>
        <w:t>个项目</w:t>
      </w:r>
      <w:r>
        <w:rPr>
          <w:rFonts w:eastAsia="仿宋_GB2312" w:cs="仿宋_GB2312" w:hint="eastAsia"/>
          <w:sz w:val="32"/>
          <w:szCs w:val="32"/>
        </w:rPr>
        <w:t>开展了预算事前绩效评估，对</w:t>
      </w:r>
      <w:r>
        <w:rPr>
          <w:rFonts w:eastAsia="仿宋_GB2312" w:cs="仿宋_GB2312" w:hint="eastAsia"/>
          <w:sz w:val="32"/>
          <w:szCs w:val="32"/>
          <w:lang w:val="en-US" w:eastAsia="zh-CN"/>
        </w:rPr>
        <w:t>8</w:t>
      </w:r>
      <w:r>
        <w:rPr>
          <w:rFonts w:eastAsia="仿宋_GB2312" w:cs="仿宋_GB2312" w:hint="eastAsia"/>
          <w:sz w:val="32"/>
          <w:szCs w:val="32"/>
        </w:rPr>
        <w:t>个项目编制了绩效目标，预算执行过程中，选取</w:t>
      </w:r>
      <w:r>
        <w:rPr>
          <w:rFonts w:eastAsia="仿宋_GB2312" w:cs="仿宋_GB2312" w:hint="eastAsia"/>
          <w:sz w:val="32"/>
          <w:szCs w:val="32"/>
          <w:lang w:val="en-US" w:eastAsia="zh-CN"/>
        </w:rPr>
        <w:t>8</w:t>
      </w:r>
      <w:r>
        <w:rPr>
          <w:rFonts w:eastAsia="仿宋_GB2312" w:cs="仿宋_GB2312" w:hint="eastAsia"/>
          <w:sz w:val="32"/>
          <w:szCs w:val="32"/>
        </w:rPr>
        <w:t>个项目开展绩效监控。</w:t>
      </w:r>
    </w:p>
    <w:p>
      <w:pPr>
        <w:spacing w:line="600" w:lineRule="exact"/>
        <w:ind w:firstLine="640"/>
        <w:rPr>
          <w:rFonts w:eastAsia="仿宋_GB2312" w:cs="仿宋_GB2312" w:hint="eastAsia"/>
          <w:sz w:val="32"/>
          <w:szCs w:val="32"/>
          <w:lang w:eastAsia="zh-CN"/>
        </w:rPr>
      </w:pPr>
      <w:r>
        <w:rPr>
          <w:rFonts w:eastAsia="仿宋_GB2312" w:cs="仿宋_GB2312" w:hint="eastAsia"/>
          <w:sz w:val="32"/>
          <w:szCs w:val="32"/>
        </w:rPr>
        <w:t>形成</w:t>
      </w:r>
      <w:r>
        <w:rPr>
          <w:rFonts w:ascii="Times New Roman" w:eastAsia="仿宋_GB2312" w:cs="仿宋_GB2312" w:hAnsi="Times New Roman" w:hint="eastAsia"/>
          <w:sz w:val="32"/>
          <w:szCs w:val="32"/>
        </w:rPr>
        <w:t>20</w:t>
      </w:r>
      <w:r>
        <w:rPr>
          <w:rFonts w:ascii="Times New Roman" w:eastAsia="仿宋_GB2312" w:cs="仿宋_GB2312" w:hAnsi="Times New Roman" w:hint="eastAsia"/>
          <w:sz w:val="32"/>
          <w:szCs w:val="32"/>
          <w:lang w:val="en-US" w:eastAsia="zh-CN"/>
        </w:rPr>
        <w:t>2</w:t>
      </w:r>
      <w:r>
        <w:rPr>
          <w:rFonts w:eastAsia="仿宋_GB2312" w:cs="仿宋_GB2312" w:hint="eastAsia"/>
          <w:sz w:val="32"/>
          <w:szCs w:val="32"/>
          <w:lang w:val="en-US" w:eastAsia="zh-CN"/>
        </w:rPr>
        <w:t>5</w:t>
      </w:r>
      <w:r>
        <w:rPr>
          <w:rFonts w:ascii="Times New Roman" w:eastAsia="仿宋_GB2312" w:cs="仿宋_GB2312" w:hAnsi="Times New Roman" w:hint="eastAsia"/>
          <w:sz w:val="32"/>
          <w:szCs w:val="32"/>
        </w:rPr>
        <w:t>年</w:t>
      </w:r>
      <w:r>
        <w:rPr>
          <w:rFonts w:ascii="Times New Roman" w:eastAsia="仿宋_GB2312" w:cs="仿宋_GB2312" w:hAnsi="Times New Roman" w:hint="eastAsia"/>
          <w:sz w:val="32"/>
          <w:szCs w:val="32"/>
          <w:lang w:val="en-US" w:eastAsia="zh-CN"/>
        </w:rPr>
        <w:t>若尔盖县妇女联合会</w:t>
      </w:r>
      <w:r>
        <w:rPr>
          <w:rFonts w:ascii="Times New Roman" w:eastAsia="仿宋_GB2312" w:cs="仿宋_GB2312" w:hAnsi="Times New Roman" w:hint="eastAsia"/>
          <w:sz w:val="32"/>
          <w:szCs w:val="32"/>
        </w:rPr>
        <w:t>整</w:t>
      </w:r>
      <w:r>
        <w:rPr>
          <w:rFonts w:ascii="Times New Roman" w:eastAsia="仿宋_GB2312" w:cs="仿宋_GB2312" w:hAnsi="Times New Roman" w:hint="eastAsia"/>
          <w:sz w:val="32"/>
          <w:szCs w:val="32"/>
          <w:lang w:eastAsia="zh-CN"/>
        </w:rPr>
        <w:t>体</w:t>
      </w:r>
      <w:r>
        <w:rPr>
          <w:rFonts w:ascii="Times New Roman" w:eastAsia="仿宋_GB2312" w:cs="仿宋_GB2312" w:hAnsi="Times New Roman" w:hint="eastAsia"/>
          <w:sz w:val="32"/>
          <w:szCs w:val="32"/>
        </w:rPr>
        <w:t>支出绩效评价报告、</w:t>
      </w:r>
      <w:r>
        <w:rPr>
          <w:rFonts w:ascii="Times New Roman" w:eastAsia="仿宋_GB2312" w:cs="仿宋_GB2312" w:hAnsi="Times New Roman" w:hint="eastAsia"/>
          <w:sz w:val="32"/>
          <w:szCs w:val="32"/>
          <w:lang w:val="en-US" w:eastAsia="zh-CN"/>
        </w:rPr>
        <w:t>202</w:t>
      </w:r>
      <w:r>
        <w:rPr>
          <w:rFonts w:eastAsia="仿宋_GB2312" w:cs="仿宋_GB2312" w:hint="eastAsia"/>
          <w:sz w:val="32"/>
          <w:szCs w:val="32"/>
          <w:lang w:val="en-US" w:eastAsia="zh-CN"/>
        </w:rPr>
        <w:t>5</w:t>
      </w:r>
      <w:r>
        <w:rPr>
          <w:rFonts w:ascii="Times New Roman" w:eastAsia="仿宋_GB2312" w:cs="仿宋_GB2312" w:hAnsi="Times New Roman" w:hint="eastAsia"/>
          <w:sz w:val="32"/>
          <w:szCs w:val="32"/>
          <w:lang w:val="en-US" w:eastAsia="zh-CN"/>
        </w:rPr>
        <w:t>年</w:t>
      </w:r>
      <w:r>
        <w:rPr>
          <w:rFonts w:ascii="Times New Roman" w:eastAsia="仿宋_GB2312" w:cs="仿宋_GB2312" w:hAnsi="Times New Roman" w:hint="eastAsia"/>
          <w:sz w:val="32"/>
          <w:szCs w:val="32"/>
        </w:rPr>
        <w:t>若尔盖县妇女联合会</w:t>
      </w:r>
      <w:r>
        <w:rPr>
          <w:rFonts w:ascii="Times New Roman" w:eastAsia="仿宋_GB2312" w:cs="仿宋_GB2312" w:hAnsi="Times New Roman" w:hint="eastAsia"/>
          <w:sz w:val="32"/>
          <w:szCs w:val="32"/>
          <w:lang w:val="en-US" w:eastAsia="zh-CN"/>
        </w:rPr>
        <w:t>专项预算</w:t>
      </w:r>
      <w:r>
        <w:rPr>
          <w:rFonts w:ascii="Times New Roman" w:eastAsia="仿宋_GB2312" w:cs="仿宋_GB2312" w:hAnsi="Times New Roman" w:hint="eastAsia"/>
          <w:sz w:val="32"/>
          <w:szCs w:val="32"/>
        </w:rPr>
        <w:t>项目支出绩效评价报告</w:t>
      </w:r>
      <w:r>
        <w:rPr>
          <w:rFonts w:eastAsia="仿宋_GB2312" w:cs="仿宋_GB2312" w:hint="eastAsia"/>
          <w:sz w:val="32"/>
          <w:szCs w:val="32"/>
        </w:rPr>
        <w:t>，其中，</w:t>
      </w:r>
      <w:r>
        <w:rPr>
          <w:rFonts w:ascii="Times New Roman" w:eastAsia="仿宋_GB2312" w:cs="仿宋_GB2312" w:hAnsi="Times New Roman" w:hint="eastAsia"/>
          <w:sz w:val="32"/>
          <w:szCs w:val="32"/>
        </w:rPr>
        <w:t>20</w:t>
      </w:r>
      <w:r>
        <w:rPr>
          <w:rFonts w:ascii="Times New Roman" w:eastAsia="仿宋_GB2312" w:cs="仿宋_GB2312" w:hAnsi="Times New Roman" w:hint="eastAsia"/>
          <w:sz w:val="32"/>
          <w:szCs w:val="32"/>
          <w:lang w:val="en-US" w:eastAsia="zh-CN"/>
        </w:rPr>
        <w:t>2</w:t>
      </w:r>
      <w:r>
        <w:rPr>
          <w:rFonts w:eastAsia="仿宋_GB2312" w:cs="仿宋_GB2312" w:hint="eastAsia"/>
          <w:sz w:val="32"/>
          <w:szCs w:val="32"/>
          <w:lang w:val="en-US" w:eastAsia="zh-CN"/>
        </w:rPr>
        <w:t>5</w:t>
      </w:r>
      <w:r>
        <w:rPr>
          <w:rFonts w:ascii="Times New Roman" w:eastAsia="仿宋_GB2312" w:cs="仿宋_GB2312" w:hAnsi="Times New Roman" w:hint="eastAsia"/>
          <w:sz w:val="32"/>
          <w:szCs w:val="32"/>
        </w:rPr>
        <w:t>年</w:t>
      </w:r>
      <w:r>
        <w:rPr>
          <w:rFonts w:ascii="Times New Roman" w:eastAsia="仿宋_GB2312" w:cs="仿宋_GB2312" w:hAnsi="Times New Roman" w:hint="eastAsia"/>
          <w:sz w:val="32"/>
          <w:szCs w:val="32"/>
          <w:lang w:val="en-US" w:eastAsia="zh-CN"/>
        </w:rPr>
        <w:t>若尔盖县妇女联合会</w:t>
      </w:r>
      <w:r>
        <w:rPr>
          <w:rFonts w:ascii="Times New Roman" w:eastAsia="仿宋_GB2312" w:cs="仿宋_GB2312" w:hAnsi="Times New Roman" w:hint="eastAsia"/>
          <w:sz w:val="32"/>
          <w:szCs w:val="32"/>
        </w:rPr>
        <w:t>整</w:t>
      </w:r>
      <w:r>
        <w:rPr>
          <w:rFonts w:ascii="Times New Roman" w:eastAsia="仿宋_GB2312" w:cs="仿宋_GB2312" w:hAnsi="Times New Roman" w:hint="eastAsia"/>
          <w:sz w:val="32"/>
          <w:szCs w:val="32"/>
          <w:lang w:eastAsia="zh-CN"/>
        </w:rPr>
        <w:t>体</w:t>
      </w:r>
      <w:r>
        <w:rPr>
          <w:rFonts w:ascii="Times New Roman" w:eastAsia="仿宋_GB2312" w:cs="仿宋_GB2312" w:hAnsi="Times New Roman" w:hint="eastAsia"/>
          <w:sz w:val="32"/>
          <w:szCs w:val="32"/>
        </w:rPr>
        <w:t>支出绩效评价报告</w:t>
      </w:r>
      <w:r>
        <w:rPr>
          <w:rFonts w:eastAsia="仿宋_GB2312" w:cs="仿宋_GB2312" w:hint="eastAsia"/>
          <w:sz w:val="32"/>
          <w:szCs w:val="32"/>
        </w:rPr>
        <w:t>绩效自评得分为</w:t>
      </w:r>
      <w:r>
        <w:rPr>
          <w:rFonts w:eastAsia="仿宋_GB2312" w:cs="仿宋_GB2312" w:hint="eastAsia"/>
          <w:sz w:val="32"/>
          <w:szCs w:val="32"/>
          <w:lang w:val="en-US" w:eastAsia="zh-CN"/>
        </w:rPr>
        <w:t>92</w:t>
      </w:r>
      <w:r>
        <w:rPr>
          <w:rFonts w:eastAsia="仿宋_GB2312" w:cs="仿宋_GB2312" w:hint="eastAsia"/>
          <w:sz w:val="32"/>
          <w:szCs w:val="32"/>
        </w:rPr>
        <w:t>分</w:t>
      </w:r>
      <w:r>
        <w:rPr>
          <w:rFonts w:eastAsia="仿宋_GB2312" w:cs="仿宋_GB2312" w:hint="eastAsia"/>
          <w:sz w:val="32"/>
          <w:szCs w:val="32"/>
          <w:lang w:eastAsia="zh-CN"/>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绩效自评报告详见附件。</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jc w:val="center"/>
        <w:outlineLvl w:val="0"/>
        <w:rPr>
          <w:rFonts w:ascii="Times New Roman" w:eastAsia="黑体" w:hAnsi="Times New Roman" w:hint="eastAsia"/>
          <w:color w:val="auto"/>
          <w:sz w:val="44"/>
          <w:szCs w:val="44"/>
          <w:highlight w:val="auto"/>
        </w:rPr>
      </w:pPr>
      <w:bookmarkStart w:id="50" w:name="_Toc15396613"/>
      <w:bookmarkStart w:id="51" w:name="_Toc15377225"/>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50"/>
      <w:bookmarkEnd w:id="51"/>
    </w:p>
    <w:p>
      <w:pPr>
        <w:spacing w:line="600" w:lineRule="exact"/>
        <w:jc w:val="left"/>
        <w:rPr>
          <w:rFonts w:ascii="Times New Roman" w:hAnsi="Times New Roman"/>
          <w:b/>
          <w:color w:val="auto"/>
          <w:sz w:val="44"/>
          <w:szCs w:val="44"/>
          <w:highlight w:val="auto"/>
        </w:rPr>
      </w:pPr>
    </w:p>
    <w:p>
      <w:pPr>
        <w:spacing w:line="600" w:lineRule="exact"/>
        <w:ind w:firstLine="640"/>
        <w:rPr>
          <w:rFonts w:eastAsia="仿宋_GB2312" w:cs="仿宋_GB2312"/>
          <w:sz w:val="32"/>
          <w:szCs w:val="32"/>
        </w:rPr>
      </w:pPr>
      <w:bookmarkStart w:id="52" w:name="_Toc15377226"/>
      <w:r>
        <w:rPr>
          <w:rFonts w:eastAsia="仿宋_GB2312" w:cs="仿宋_GB2312" w:hint="eastAsia"/>
          <w:sz w:val="32"/>
          <w:szCs w:val="32"/>
        </w:rPr>
        <w:t>1.财政拨款收入：指单位从同级财政部门取得的财政预算资金。</w:t>
      </w:r>
    </w:p>
    <w:p>
      <w:pPr>
        <w:spacing w:line="600" w:lineRule="exact"/>
        <w:ind w:firstLine="640"/>
        <w:rPr>
          <w:rFonts w:eastAsia="仿宋_GB2312" w:cs="仿宋_GB2312"/>
          <w:sz w:val="32"/>
          <w:szCs w:val="32"/>
        </w:rPr>
      </w:pPr>
      <w:r>
        <w:rPr>
          <w:rFonts w:eastAsia="仿宋_GB2312" w:cs="仿宋_GB2312" w:hint="eastAsia"/>
          <w:sz w:val="32"/>
          <w:szCs w:val="32"/>
        </w:rPr>
        <w:t>2.事业收入：指事业单位开展专业业务活动及辅助活动取得的收入。</w:t>
      </w:r>
    </w:p>
    <w:p>
      <w:pPr>
        <w:spacing w:line="600" w:lineRule="exact"/>
        <w:ind w:firstLine="640"/>
        <w:rPr>
          <w:rFonts w:eastAsia="仿宋_GB2312" w:cs="仿宋_GB2312"/>
          <w:sz w:val="32"/>
          <w:szCs w:val="32"/>
        </w:rPr>
      </w:pPr>
      <w:r>
        <w:rPr>
          <w:rFonts w:eastAsia="仿宋_GB2312" w:cs="仿宋_GB2312" w:hint="eastAsia"/>
          <w:sz w:val="32"/>
          <w:szCs w:val="32"/>
        </w:rPr>
        <w:t>3.经营收入：指事业单位在专业业务活动及其辅助活动之外开展非独立核算经营活动取得的收入。</w:t>
      </w:r>
    </w:p>
    <w:p>
      <w:pPr>
        <w:spacing w:line="600" w:lineRule="exact"/>
        <w:ind w:firstLine="640"/>
        <w:rPr>
          <w:rFonts w:eastAsia="仿宋_GB2312" w:cs="仿宋_GB2312"/>
          <w:sz w:val="32"/>
          <w:szCs w:val="32"/>
        </w:rPr>
      </w:pPr>
      <w:r>
        <w:rPr>
          <w:rFonts w:eastAsia="仿宋_GB2312" w:cs="仿宋_GB2312" w:hint="eastAsia"/>
          <w:sz w:val="32"/>
          <w:szCs w:val="32"/>
        </w:rPr>
        <w:t xml:space="preserve">4.其他收入：指单位取得的除上述收入以外的各项收入。主要是（收入类型）等。 </w:t>
      </w:r>
    </w:p>
    <w:p>
      <w:pPr>
        <w:spacing w:line="600" w:lineRule="exact"/>
        <w:ind w:firstLine="640"/>
        <w:rPr>
          <w:rFonts w:eastAsia="仿宋_GB2312" w:cs="仿宋_GB2312"/>
          <w:sz w:val="32"/>
          <w:szCs w:val="32"/>
        </w:rPr>
      </w:pPr>
      <w:r>
        <w:rPr>
          <w:rFonts w:eastAsia="仿宋_GB2312" w:cs="仿宋_GB2312" w:hint="eastAsia"/>
          <w:sz w:val="32"/>
          <w:szCs w:val="32"/>
        </w:rPr>
        <w:t xml:space="preserve">5.使用非财政拨款结余（含专用结余）：指事业单位使用以前年度积累的非财政拨款结余弥补当年收支差额的金额。 </w:t>
      </w:r>
    </w:p>
    <w:p>
      <w:pPr>
        <w:spacing w:line="600" w:lineRule="exact"/>
        <w:ind w:firstLine="640"/>
        <w:rPr>
          <w:rFonts w:eastAsia="仿宋_GB2312" w:cs="仿宋_GB2312"/>
          <w:sz w:val="32"/>
          <w:szCs w:val="32"/>
        </w:rPr>
      </w:pPr>
      <w:r>
        <w:rPr>
          <w:rFonts w:eastAsia="仿宋_GB2312" w:cs="仿宋_GB2312" w:hint="eastAsia"/>
          <w:sz w:val="32"/>
          <w:szCs w:val="32"/>
        </w:rPr>
        <w:t xml:space="preserve">6.年初结转和结余：指以前年度尚未完成、结转到本年按有关规定继续使用的资金。 </w:t>
      </w:r>
    </w:p>
    <w:p>
      <w:pPr>
        <w:spacing w:line="600" w:lineRule="exact"/>
        <w:ind w:firstLine="640"/>
        <w:rPr>
          <w:rFonts w:eastAsia="仿宋_GB2312" w:cs="仿宋_GB2312"/>
          <w:sz w:val="32"/>
          <w:szCs w:val="32"/>
        </w:rPr>
      </w:pPr>
      <w:r>
        <w:rPr>
          <w:rFonts w:eastAsia="仿宋_GB2312" w:cs="仿宋_GB2312" w:hint="eastAsia"/>
          <w:sz w:val="32"/>
          <w:szCs w:val="32"/>
        </w:rPr>
        <w:t>7.结余分配：指事业单位按照会计制度规定缴纳的所得税、提取的专用结余以及转入非财政拨款结余的金额等。</w:t>
      </w:r>
    </w:p>
    <w:p>
      <w:pPr>
        <w:spacing w:line="600" w:lineRule="exact"/>
        <w:ind w:firstLine="640"/>
        <w:rPr>
          <w:rFonts w:eastAsia="仿宋_GB2312" w:cs="仿宋_GB2312"/>
          <w:sz w:val="32"/>
          <w:szCs w:val="32"/>
        </w:rPr>
      </w:pPr>
      <w:r>
        <w:rPr>
          <w:rFonts w:eastAsia="仿宋_GB2312" w:cs="仿宋_GB2312" w:hint="eastAsia"/>
          <w:sz w:val="32"/>
          <w:szCs w:val="32"/>
        </w:rPr>
        <w:t>8.年末结转和结余：指单位按有关规定结转到下年或以后年度继续使用的资金。</w:t>
      </w:r>
    </w:p>
    <w:p>
      <w:pPr>
        <w:spacing w:line="600" w:lineRule="exact"/>
        <w:ind w:firstLine="640"/>
        <w:rPr>
          <w:rFonts w:ascii="仿宋_GB2312" w:eastAsia="仿宋_GB2312" w:cs="仿宋_GB2312" w:hint="eastAsia"/>
          <w:sz w:val="32"/>
          <w:szCs w:val="32"/>
        </w:rPr>
      </w:pPr>
      <w:r>
        <w:rPr>
          <w:rFonts w:eastAsia="仿宋_GB2312" w:cs="仿宋_GB2312" w:hint="eastAsia"/>
          <w:sz w:val="32"/>
          <w:szCs w:val="32"/>
        </w:rPr>
        <w:t>9.一般公共服务</w:t>
      </w:r>
      <w:r>
        <w:rPr>
          <w:rFonts w:ascii="Times New Roman" w:eastAsia="仿宋_GB2312" w:cs="仿宋_GB2312" w:hAnsi="Times New Roman" w:hint="eastAsia"/>
          <w:sz w:val="32"/>
          <w:szCs w:val="32"/>
        </w:rPr>
        <w:t>2012901</w:t>
      </w:r>
      <w:r>
        <w:rPr>
          <w:rFonts w:eastAsia="仿宋_GB2312" w:cs="仿宋_GB2312" w:hint="eastAsia"/>
          <w:sz w:val="32"/>
          <w:szCs w:val="32"/>
        </w:rPr>
        <w:t>：指</w:t>
      </w:r>
      <w:r>
        <w:rPr>
          <w:rFonts w:ascii="仿宋_GB2312" w:eastAsia="仿宋_GB2312" w:cs="仿宋_GB2312" w:hint="eastAsia"/>
          <w:sz w:val="32"/>
          <w:szCs w:val="32"/>
        </w:rPr>
        <w:t>为保障机构正常运转、完成日常工作任务而发生的公用支出。</w:t>
      </w:r>
    </w:p>
    <w:p>
      <w:pPr>
        <w:ind w:firstLineChars="200"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lang w:val="en-US" w:eastAsia="zh-CN"/>
        </w:rPr>
        <w:t>0</w:t>
      </w:r>
      <w:r>
        <w:rPr>
          <w:rFonts w:eastAsia="仿宋_GB2312" w:cs="仿宋_GB2312" w:hint="eastAsia"/>
          <w:sz w:val="32"/>
          <w:szCs w:val="32"/>
        </w:rPr>
        <w:t>.社会保障和就业</w:t>
      </w:r>
      <w:r>
        <w:rPr>
          <w:rFonts w:ascii="Times New Roman" w:eastAsia="仿宋_GB2312" w:cs="仿宋_GB2312" w:hAnsi="Times New Roman" w:hint="eastAsia"/>
          <w:sz w:val="32"/>
          <w:szCs w:val="32"/>
        </w:rPr>
        <w:t>2080505</w:t>
      </w:r>
      <w:r>
        <w:rPr>
          <w:rFonts w:eastAsia="仿宋_GB2312" w:cs="仿宋_GB2312" w:hint="eastAsia"/>
          <w:sz w:val="32"/>
          <w:szCs w:val="32"/>
        </w:rPr>
        <w:t>：指</w:t>
      </w:r>
      <w:r>
        <w:rPr>
          <w:rFonts w:ascii="仿宋_GB2312" w:eastAsia="仿宋_GB2312" w:cs="仿宋_GB2312" w:hint="eastAsia"/>
          <w:sz w:val="32"/>
          <w:szCs w:val="32"/>
        </w:rPr>
        <w:t>养老保险、职业年金、工伤、失业、残保金等支出。</w:t>
      </w:r>
    </w:p>
    <w:p>
      <w:pPr>
        <w:ind w:firstLineChars="200"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lang w:val="en-US" w:eastAsia="zh-CN"/>
        </w:rPr>
        <w:t>1</w:t>
      </w:r>
      <w:r>
        <w:rPr>
          <w:rFonts w:eastAsia="仿宋_GB2312" w:cs="仿宋_GB2312" w:hint="eastAsia"/>
          <w:sz w:val="32"/>
          <w:szCs w:val="32"/>
        </w:rPr>
        <w:t>.卫生健康</w:t>
      </w:r>
      <w:r>
        <w:rPr>
          <w:rFonts w:ascii="仿宋" w:eastAsia="仿宋" w:hint="eastAsia"/>
          <w:b/>
          <w:bCs/>
          <w:sz w:val="32"/>
          <w:szCs w:val="32"/>
        </w:rPr>
        <w:t>2101101</w:t>
      </w:r>
      <w:r>
        <w:rPr>
          <w:rFonts w:eastAsia="仿宋_GB2312" w:cs="仿宋_GB2312" w:hint="eastAsia"/>
          <w:sz w:val="32"/>
          <w:szCs w:val="32"/>
        </w:rPr>
        <w:t>：指</w:t>
      </w:r>
      <w:r>
        <w:rPr>
          <w:rFonts w:ascii="仿宋_GB2312" w:eastAsia="仿宋_GB2312" w:cs="仿宋_GB2312" w:hint="eastAsia"/>
          <w:sz w:val="32"/>
          <w:szCs w:val="32"/>
        </w:rPr>
        <w:t>行政单位医疗、公务员医疗补助等支出。</w:t>
      </w:r>
    </w:p>
    <w:p>
      <w:pPr>
        <w:spacing w:line="600" w:lineRule="exact"/>
        <w:ind w:firstLine="640"/>
        <w:rPr>
          <w:rFonts w:ascii="仿宋_GB2312" w:eastAsia="仿宋_GB2312" w:cs="仿宋_GB2312" w:hint="eastAsia"/>
          <w:sz w:val="32"/>
          <w:szCs w:val="32"/>
          <w:lang w:eastAsia="zh-CN"/>
        </w:rPr>
      </w:pPr>
      <w:r>
        <w:rPr>
          <w:rFonts w:eastAsia="仿宋_GB2312" w:cs="仿宋_GB2312" w:hint="eastAsia"/>
          <w:sz w:val="32"/>
          <w:szCs w:val="32"/>
          <w:lang w:val="en-US" w:eastAsia="zh-CN"/>
        </w:rPr>
        <w:t>12</w:t>
      </w:r>
      <w:r>
        <w:rPr>
          <w:rFonts w:eastAsia="仿宋_GB2312" w:cs="仿宋_GB2312" w:hint="eastAsia"/>
          <w:sz w:val="32"/>
          <w:szCs w:val="32"/>
        </w:rPr>
        <w:t>.住房保障</w:t>
      </w:r>
      <w:r>
        <w:rPr>
          <w:rFonts w:ascii="仿宋" w:eastAsia="仿宋" w:hint="eastAsia"/>
          <w:b/>
          <w:bCs/>
          <w:sz w:val="32"/>
          <w:szCs w:val="32"/>
        </w:rPr>
        <w:t>2210201</w:t>
      </w:r>
      <w:r>
        <w:rPr>
          <w:rFonts w:eastAsia="仿宋_GB2312" w:cs="仿宋_GB2312" w:hint="eastAsia"/>
          <w:sz w:val="32"/>
          <w:szCs w:val="32"/>
        </w:rPr>
        <w:t>：指</w:t>
      </w:r>
      <w:r>
        <w:rPr>
          <w:rFonts w:ascii="仿宋_GB2312" w:eastAsia="仿宋_GB2312" w:cs="仿宋_GB2312" w:hint="eastAsia"/>
          <w:sz w:val="32"/>
          <w:szCs w:val="32"/>
        </w:rPr>
        <w:t>职工住房公积金支出</w:t>
      </w:r>
      <w:r>
        <w:rPr>
          <w:rFonts w:ascii="仿宋_GB2312" w:eastAsia="仿宋_GB2312" w:cs="仿宋_GB2312" w:hint="eastAsia"/>
          <w:sz w:val="32"/>
          <w:szCs w:val="32"/>
          <w:lang w:eastAsia="zh-CN"/>
        </w:rPr>
        <w:t>。</w:t>
      </w:r>
    </w:p>
    <w:p>
      <w:pPr>
        <w:spacing w:line="600" w:lineRule="exact"/>
        <w:ind w:firstLine="640"/>
        <w:rPr>
          <w:rFonts w:eastAsia="仿宋_GB2312" w:cs="仿宋_GB2312"/>
          <w:sz w:val="32"/>
          <w:szCs w:val="32"/>
        </w:rPr>
      </w:pPr>
      <w:r>
        <w:rPr>
          <w:rFonts w:eastAsia="仿宋_GB2312" w:cs="仿宋_GB2312" w:hint="eastAsia"/>
          <w:sz w:val="32"/>
          <w:szCs w:val="32"/>
          <w:lang w:val="en-US" w:eastAsia="zh-CN"/>
        </w:rPr>
        <w:t>13</w:t>
      </w:r>
      <w:r>
        <w:rPr>
          <w:rFonts w:eastAsia="仿宋_GB2312" w:cs="仿宋_GB2312" w:hint="eastAsia"/>
          <w:sz w:val="32"/>
          <w:szCs w:val="32"/>
        </w:rPr>
        <w:t>.基本支出：指为保障机构正常运转、完成日常工作任务而发生的人员支出和公用支出。</w:t>
      </w:r>
    </w:p>
    <w:p>
      <w:pPr>
        <w:spacing w:line="600" w:lineRule="exact"/>
        <w:ind w:firstLine="640"/>
        <w:rPr>
          <w:rFonts w:eastAsia="仿宋_GB2312" w:cs="仿宋_GB2312"/>
          <w:sz w:val="32"/>
          <w:szCs w:val="32"/>
        </w:rPr>
      </w:pPr>
      <w:r>
        <w:rPr>
          <w:rFonts w:eastAsia="仿宋_GB2312" w:cs="仿宋_GB2312" w:hint="eastAsia"/>
          <w:sz w:val="32"/>
          <w:szCs w:val="32"/>
          <w:lang w:val="en-US" w:eastAsia="zh-CN"/>
        </w:rPr>
        <w:t>14</w:t>
      </w:r>
      <w:r>
        <w:rPr>
          <w:rFonts w:eastAsia="仿宋_GB2312" w:cs="仿宋_GB2312" w:hint="eastAsia"/>
          <w:sz w:val="32"/>
          <w:szCs w:val="32"/>
        </w:rPr>
        <w:t xml:space="preserve">.项目支出：指在基本支出之外为完成特定行政任务和事业发展目标所发生的支出。 </w:t>
      </w:r>
    </w:p>
    <w:p>
      <w:pPr>
        <w:spacing w:line="600" w:lineRule="exact"/>
        <w:ind w:firstLine="640"/>
        <w:rPr>
          <w:rFonts w:eastAsia="仿宋_GB2312" w:cs="仿宋_GB2312"/>
          <w:sz w:val="32"/>
          <w:szCs w:val="32"/>
        </w:rPr>
      </w:pPr>
      <w:r>
        <w:rPr>
          <w:rFonts w:eastAsia="仿宋_GB2312" w:cs="仿宋_GB2312" w:hint="eastAsia"/>
          <w:sz w:val="32"/>
          <w:szCs w:val="32"/>
          <w:lang w:val="en-US" w:eastAsia="zh-CN"/>
        </w:rPr>
        <w:t>15</w:t>
      </w:r>
      <w:r>
        <w:rPr>
          <w:rFonts w:eastAsia="仿宋_GB2312" w:cs="仿宋_GB2312" w:hint="eastAsia"/>
          <w:sz w:val="32"/>
          <w:szCs w:val="32"/>
        </w:rPr>
        <w:t>.经营支出：指事业单位在专业业务活动及其辅助活动之外开展非独立核算经营活动发生的支出。</w:t>
      </w:r>
    </w:p>
    <w:p>
      <w:pPr>
        <w:spacing w:line="600" w:lineRule="exact"/>
        <w:ind w:firstLine="640"/>
        <w:rPr>
          <w:rFonts w:eastAsia="仿宋_GB2312" w:cs="仿宋_GB2312"/>
          <w:sz w:val="32"/>
          <w:szCs w:val="32"/>
        </w:rPr>
      </w:pPr>
      <w:r>
        <w:rPr>
          <w:rFonts w:eastAsia="仿宋_GB2312" w:cs="仿宋_GB2312" w:hint="eastAsia"/>
          <w:sz w:val="32"/>
          <w:szCs w:val="32"/>
          <w:lang w:val="en-US" w:eastAsia="zh-CN"/>
        </w:rPr>
        <w:t>16</w:t>
      </w:r>
      <w:r>
        <w:rPr>
          <w:rFonts w:eastAsia="仿宋_GB2312" w:cs="仿宋_GB2312" w:hint="eastAsia"/>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eastAsia="仿宋_GB2312" w:cs="仿宋_GB2312"/>
          <w:sz w:val="32"/>
          <w:szCs w:val="32"/>
        </w:rPr>
      </w:pPr>
      <w:r>
        <w:rPr>
          <w:rFonts w:eastAsia="仿宋_GB2312" w:cs="仿宋_GB2312" w:hint="eastAsia"/>
          <w:sz w:val="32"/>
          <w:szCs w:val="32"/>
          <w:lang w:val="en-US" w:eastAsia="zh-CN"/>
        </w:rPr>
        <w:t>17</w:t>
      </w:r>
      <w:r>
        <w:rPr>
          <w:rFonts w:eastAsia="仿宋_GB2312" w:cs="仿宋_GB2312"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1Char"/>
          <w:rFonts w:ascii="Times New Roman" w:eastAsia="黑体" w:hAnsi="Times New Roman" w:hint="eastAsia"/>
          <w:b w:val="0"/>
          <w:color w:val="auto"/>
          <w:lang w:eastAsia="zh-CN"/>
          <w:highlight w:val="auto"/>
        </w:rPr>
      </w:pPr>
      <w:r>
        <w:rPr>
          <w:rFonts w:ascii="Times New Roman" w:eastAsia="仿宋_GB2312" w:cs="仿宋_GB2312" w:hAnsi="Times New Roman" w:hint="eastAsia"/>
          <w:color w:val="auto"/>
          <w:kern w:val="2"/>
          <w:sz w:val="32"/>
          <w:szCs w:val="32"/>
          <w:lang w:val="en-US" w:eastAsia="zh-CN" w:bidi="ar-SA"/>
          <w:highlight w:val="auto"/>
        </w:rPr>
        <w:br w:type="page"/>
      </w:r>
      <w:bookmarkStart w:id="53" w:name="_Toc15396614"/>
      <w:r>
        <w:rPr>
          <w:rFonts w:ascii="Times New Roman" w:eastAsia="黑体" w:hAnsi="Times New Roman" w:hint="eastAsia"/>
          <w:color w:val="auto"/>
          <w:sz w:val="44"/>
          <w:szCs w:val="44"/>
          <w:highlight w:val="auto"/>
        </w:rPr>
        <w:t>第四部分</w:t>
      </w:r>
      <w:r>
        <w:rPr>
          <w:rFonts w:ascii="Times New Roman" w:eastAsia="黑体" w:hAnsi="Times New Roman"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 xml:space="preserve"> 附件</w:t>
      </w:r>
      <w:bookmarkEnd w:id="53"/>
    </w:p>
    <w:p>
      <w:pPr>
        <w:spacing w:line="600" w:lineRule="exact"/>
        <w:rPr>
          <w:rFonts w:eastAsia="仿宋_GB2312" w:cs="仿宋_GB2312" w:hint="eastAsia"/>
          <w:sz w:val="32"/>
          <w:szCs w:val="32"/>
          <w:lang w:val="en-US" w:eastAsia="zh-CN"/>
        </w:rPr>
      </w:pPr>
      <w:r>
        <w:rPr>
          <w:rFonts w:eastAsia="仿宋_GB2312" w:cs="仿宋_GB2312" w:hint="eastAsia"/>
          <w:sz w:val="32"/>
          <w:szCs w:val="32"/>
          <w:lang w:val="en-US" w:eastAsia="zh-CN"/>
        </w:rPr>
        <w:t>一、部门预算绩效评价报告</w:t>
      </w:r>
    </w:p>
    <w:p>
      <w:pPr>
        <w:spacing w:line="600" w:lineRule="exact"/>
        <w:rPr>
          <w:rFonts w:eastAsia="仿宋_GB2312" w:cs="仿宋_GB2312" w:hint="eastAsia"/>
          <w:sz w:val="32"/>
          <w:szCs w:val="32"/>
          <w:lang w:val="en-US" w:eastAsia="zh-CN"/>
        </w:rPr>
      </w:pPr>
      <w:r>
        <w:rPr>
          <w:rFonts w:eastAsia="仿宋_GB2312" w:cs="仿宋_GB2312" w:hint="eastAsia"/>
          <w:sz w:val="32"/>
          <w:szCs w:val="32"/>
          <w:lang w:val="en-US" w:eastAsia="zh-CN"/>
        </w:rPr>
        <w:t>二、专项预算项目绩效评价报告</w:t>
      </w:r>
    </w:p>
    <w:p>
      <w:pPr>
        <w:pStyle w:val="15"/>
        <w:rPr>
          <w:rFonts w:eastAsia="仿宋_GB2312" w:cs="仿宋_GB2312" w:hint="eastAsia"/>
          <w:sz w:val="32"/>
          <w:szCs w:val="32"/>
          <w:lang w:val="en-US" w:eastAsia="zh-CN"/>
        </w:rPr>
      </w:pPr>
    </w:p>
    <w:p>
      <w:pPr>
        <w:pStyle w:val="17"/>
        <w:rPr>
          <w:rFonts w:eastAsia="仿宋_GB2312" w:cs="仿宋_GB2312" w:hint="eastAsia"/>
          <w:sz w:val="32"/>
          <w:szCs w:val="32"/>
          <w:lang w:val="en-US" w:eastAsia="zh-CN"/>
        </w:rPr>
      </w:pPr>
    </w:p>
    <w:p>
      <w:pPr>
        <w:pStyle w:val="17"/>
        <w:rPr>
          <w:rFonts w:eastAsia="仿宋_GB2312" w:cs="仿宋_GB2312" w:hint="eastAsia"/>
          <w:sz w:val="32"/>
          <w:szCs w:val="32"/>
          <w:lang w:val="en-US" w:eastAsia="zh-CN"/>
        </w:rPr>
      </w:pPr>
    </w:p>
    <w:p>
      <w:pPr>
        <w:pStyle w:val="17"/>
        <w:rPr>
          <w:rFonts w:eastAsia="仿宋_GB2312" w:cs="仿宋_GB2312" w:hint="eastAsia"/>
          <w:sz w:val="32"/>
          <w:szCs w:val="32"/>
          <w:lang w:val="en-US" w:eastAsia="zh-CN"/>
        </w:rPr>
      </w:pPr>
    </w:p>
    <w:p>
      <w:pPr>
        <w:pStyle w:val="17"/>
        <w:rPr>
          <w:rFonts w:eastAsia="仿宋_GB2312" w:cs="仿宋_GB2312" w:hint="eastAsia"/>
          <w:sz w:val="32"/>
          <w:szCs w:val="32"/>
          <w:lang w:val="en-US" w:eastAsia="zh-CN"/>
        </w:rPr>
      </w:pPr>
    </w:p>
    <w:p>
      <w:pPr>
        <w:pStyle w:val="17"/>
        <w:rPr>
          <w:rFonts w:eastAsia="仿宋_GB2312" w:cs="仿宋_GB2312" w:hint="eastAsia"/>
          <w:sz w:val="32"/>
          <w:szCs w:val="32"/>
          <w:lang w:val="en-US" w:eastAsia="zh-CN"/>
        </w:rPr>
      </w:pPr>
    </w:p>
    <w:p>
      <w:pPr>
        <w:pStyle w:val="17"/>
        <w:rPr>
          <w:rFonts w:eastAsia="仿宋_GB2312" w:cs="仿宋_GB2312" w:hint="eastAsia"/>
          <w:sz w:val="32"/>
          <w:szCs w:val="32"/>
          <w:lang w:val="en-US" w:eastAsia="zh-CN"/>
        </w:rPr>
      </w:pPr>
    </w:p>
    <w:p>
      <w:pPr>
        <w:pStyle w:val="17"/>
        <w:rPr>
          <w:rFonts w:eastAsia="仿宋_GB2312" w:cs="仿宋_GB2312" w:hint="eastAsia"/>
          <w:sz w:val="32"/>
          <w:szCs w:val="32"/>
          <w:lang w:val="en-US" w:eastAsia="zh-CN"/>
        </w:rPr>
      </w:pPr>
    </w:p>
    <w:p>
      <w:pPr>
        <w:pStyle w:val="17"/>
        <w:rPr>
          <w:rFonts w:eastAsia="仿宋_GB2312" w:cs="仿宋_GB2312" w:hint="eastAsia"/>
          <w:sz w:val="32"/>
          <w:szCs w:val="32"/>
          <w:lang w:val="en-US" w:eastAsia="zh-CN"/>
        </w:rPr>
      </w:pPr>
    </w:p>
    <w:p>
      <w:pPr>
        <w:pStyle w:val="17"/>
        <w:rPr>
          <w:rFonts w:eastAsia="仿宋_GB2312" w:cs="仿宋_GB2312" w:hint="eastAsia"/>
          <w:sz w:val="32"/>
          <w:szCs w:val="32"/>
          <w:lang w:val="en-US" w:eastAsia="zh-CN"/>
        </w:rPr>
      </w:pPr>
    </w:p>
    <w:p>
      <w:pPr>
        <w:pStyle w:val="17"/>
        <w:rPr>
          <w:rFonts w:eastAsia="仿宋_GB2312" w:cs="仿宋_GB2312" w:hint="eastAsia"/>
          <w:sz w:val="32"/>
          <w:szCs w:val="32"/>
          <w:lang w:val="en-US" w:eastAsia="zh-CN"/>
        </w:rPr>
      </w:pPr>
    </w:p>
    <w:p>
      <w:pPr>
        <w:pStyle w:val="17"/>
        <w:ind w:leftChars="0" w:left="0" w:firstLineChars="0" w:firstLine="0"/>
        <w:rPr>
          <w:rFonts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pPr>
      <w:bookmarkStart w:id="54" w:name="_Toc15396618"/>
      <w:r>
        <w:rPr>
          <w:rFonts w:ascii="Times New Roman" w:eastAsia="仿宋_GB2312" w:cs="仿宋_GB2312" w:hAnsi="Times New Roman" w:hint="eastAsia"/>
          <w:b w:val="0"/>
          <w:bCs w:val="0"/>
          <w:kern w:val="0"/>
          <w:position w:val="0"/>
          <w:sz w:val="32"/>
          <w:szCs w:val="32"/>
          <w:lang w:val="en-US" w:eastAsia="zh-CN" w:bidi="ar-SA"/>
          <w:highlight w:val="auto"/>
        </w:rPr>
        <w:br w:type="page"/>
      </w:r>
    </w:p>
    <w:p>
      <w:pPr>
        <w:widowControl/>
        <w:jc w:val="center"/>
        <w:rPr>
          <w:rFonts w:ascii="Times New Roman" w:eastAsia="仿宋" w:hAnsi="Times New Roman" w:hint="eastAsia"/>
          <w:b w:val="0"/>
          <w:color w:val="auto"/>
          <w:highlight w:val="auto"/>
        </w:rPr>
      </w:pPr>
      <w:r>
        <w:rPr>
          <w:rFonts w:ascii="Times New Roman" w:eastAsia="黑体" w:hAnsi="Times New Roman" w:hint="eastAsia"/>
          <w:color w:val="auto"/>
          <w:sz w:val="44"/>
          <w:szCs w:val="44"/>
          <w:highlight w:val="auto"/>
        </w:rPr>
        <w:t>第</w:t>
      </w:r>
      <w:r>
        <w:rPr>
          <w:rStyle w:val="1Char"/>
          <w:rFonts w:ascii="Times New Roman" w:eastAsia="黑体" w:hAnsi="Times New Roman" w:hint="eastAsia"/>
          <w:b w:val="0"/>
          <w:color w:val="auto"/>
          <w:highlight w:val="auto"/>
        </w:rPr>
        <w:t>五部分 附表</w:t>
      </w:r>
      <w:bookmarkStart w:id="55" w:name="_Toc15396619"/>
      <w:bookmarkEnd w:id="52"/>
      <w:bookmarkEnd w:id="54"/>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bookmarkEnd w:id="55"/>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6" w:name="_Toc15396620"/>
      <w:r>
        <w:rPr>
          <w:rFonts w:ascii="Times New Roman" w:eastAsia="仿宋_GB2312" w:cs="仿宋_GB2312" w:hAnsi="Times New Roman" w:hint="eastAsia"/>
          <w:color w:val="auto"/>
          <w:sz w:val="32"/>
          <w:szCs w:val="32"/>
          <w:highlight w:val="auto"/>
        </w:rPr>
        <w:t>二、收入决算表</w:t>
      </w:r>
      <w:bookmarkEnd w:id="56"/>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7" w:name="_Toc15396621"/>
      <w:r>
        <w:rPr>
          <w:rFonts w:ascii="Times New Roman" w:eastAsia="仿宋_GB2312" w:cs="仿宋_GB2312" w:hAnsi="Times New Roman" w:hint="eastAsia"/>
          <w:color w:val="auto"/>
          <w:sz w:val="32"/>
          <w:szCs w:val="32"/>
          <w:highlight w:val="auto"/>
        </w:rPr>
        <w:t>三、支出决算表</w:t>
      </w:r>
      <w:bookmarkEnd w:id="57"/>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8" w:name="_Toc15396622"/>
      <w:r>
        <w:rPr>
          <w:rFonts w:ascii="Times New Roman" w:eastAsia="仿宋_GB2312" w:cs="仿宋_GB2312" w:hAnsi="Times New Roman" w:hint="eastAsia"/>
          <w:color w:val="auto"/>
          <w:sz w:val="32"/>
          <w:szCs w:val="32"/>
          <w:highlight w:val="auto"/>
        </w:rPr>
        <w:t>四、财政拨款收入支出决算总表</w:t>
      </w:r>
      <w:bookmarkEnd w:id="58"/>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9" w:name="_Toc15396623"/>
      <w:r>
        <w:rPr>
          <w:rFonts w:ascii="Times New Roman" w:eastAsia="仿宋_GB2312" w:cs="仿宋_GB2312" w:hAnsi="Times New Roman" w:hint="eastAsia"/>
          <w:color w:val="auto"/>
          <w:sz w:val="32"/>
          <w:szCs w:val="32"/>
          <w:highlight w:val="auto"/>
        </w:rPr>
        <w:t>五、财政拨款支出决算明细表</w:t>
      </w:r>
      <w:bookmarkStart w:id="60" w:name="_Toc15396624"/>
      <w:bookmarkEnd w:id="59"/>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bookmarkEnd w:id="60"/>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1" w:name="_Toc15396625"/>
      <w:r>
        <w:rPr>
          <w:rFonts w:ascii="Times New Roman" w:eastAsia="仿宋_GB2312" w:cs="仿宋_GB2312" w:hAnsi="Times New Roman" w:hint="eastAsia"/>
          <w:color w:val="auto"/>
          <w:sz w:val="32"/>
          <w:szCs w:val="32"/>
          <w:highlight w:val="auto"/>
        </w:rPr>
        <w:t>七、一般公共预算财政拨款支出决算明细表</w:t>
      </w:r>
      <w:bookmarkEnd w:id="61"/>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2" w:name="_Toc15396626"/>
      <w:r>
        <w:rPr>
          <w:rFonts w:ascii="Times New Roman" w:eastAsia="仿宋_GB2312" w:cs="仿宋_GB2312" w:hAnsi="Times New Roman" w:hint="eastAsia"/>
          <w:color w:val="auto"/>
          <w:sz w:val="32"/>
          <w:szCs w:val="32"/>
          <w:highlight w:val="auto"/>
        </w:rPr>
        <w:t>八、一般公共预算财政拨款基本支出决算表</w:t>
      </w:r>
      <w:bookmarkEnd w:id="62"/>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3" w:name="_Toc15396627"/>
      <w:r>
        <w:rPr>
          <w:rFonts w:ascii="Times New Roman" w:eastAsia="仿宋_GB2312" w:cs="仿宋_GB2312" w:hAnsi="Times New Roman" w:hint="eastAsia"/>
          <w:color w:val="auto"/>
          <w:sz w:val="32"/>
          <w:szCs w:val="32"/>
          <w:highlight w:val="auto"/>
        </w:rPr>
        <w:t>九、一般公共预算财政拨款项目支出决算表</w:t>
      </w:r>
      <w:bookmarkEnd w:id="63"/>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4" w:name="_Toc15396628"/>
      <w:r>
        <w:rPr>
          <w:rFonts w:ascii="Times New Roman" w:eastAsia="仿宋_GB2312" w:cs="仿宋_GB2312" w:hAnsi="Times New Roman" w:hint="eastAsia"/>
          <w:color w:val="auto"/>
          <w:sz w:val="32"/>
          <w:szCs w:val="32"/>
          <w:highlight w:val="auto"/>
        </w:rPr>
        <w:t>十、</w:t>
      </w:r>
      <w:bookmarkEnd w:id="64"/>
      <w:r>
        <w:rPr>
          <w:rFonts w:ascii="Times New Roman" w:eastAsia="仿宋_GB2312" w:cs="仿宋_GB2312" w:hAnsi="Times New Roman" w:hint="eastAsia"/>
          <w:color w:val="auto"/>
          <w:sz w:val="32"/>
          <w:szCs w:val="32"/>
          <w:highlight w:val="auto"/>
        </w:rPr>
        <w:t>政府性基金预算财政拨款收入支出决算表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5" w:name="_Toc15396629"/>
      <w:r>
        <w:rPr>
          <w:rFonts w:ascii="Times New Roman" w:eastAsia="仿宋_GB2312" w:cs="仿宋_GB2312" w:hAnsi="Times New Roman" w:hint="eastAsia"/>
          <w:color w:val="auto"/>
          <w:sz w:val="32"/>
          <w:szCs w:val="32"/>
          <w:highlight w:val="auto"/>
        </w:rPr>
        <w:t>十一、</w:t>
      </w:r>
      <w:bookmarkEnd w:id="65"/>
      <w:r>
        <w:rPr>
          <w:rFonts w:ascii="Times New Roman" w:eastAsia="仿宋_GB2312" w:cs="仿宋_GB2312" w:hAnsi="Times New Roman" w:hint="eastAsia"/>
          <w:color w:val="auto"/>
          <w:sz w:val="32"/>
          <w:szCs w:val="32"/>
          <w:highlight w:val="auto"/>
        </w:rPr>
        <w:t>国有资本经营预算</w:t>
      </w:r>
      <w:r>
        <w:rPr>
          <w:rFonts w:ascii="Times New Roman" w:eastAsia="仿宋_GB2312" w:cs="仿宋_GB2312" w:hAnsi="Times New Roman" w:hint="eastAsia"/>
          <w:color w:val="auto"/>
          <w:sz w:val="32"/>
          <w:szCs w:val="32"/>
          <w:lang w:eastAsia="zh-CN"/>
          <w:highlight w:val="auto"/>
        </w:rPr>
        <w:t>财政拨款收入</w:t>
      </w:r>
      <w:r>
        <w:rPr>
          <w:rFonts w:ascii="Times New Roman" w:eastAsia="仿宋_GB2312" w:cs="仿宋_GB2312" w:hAnsi="Times New Roman" w:hint="eastAsia"/>
          <w:color w:val="auto"/>
          <w:sz w:val="32"/>
          <w:szCs w:val="32"/>
          <w:highlight w:val="auto"/>
        </w:rPr>
        <w:t>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6" w:name="_Toc15396630"/>
      <w:r>
        <w:rPr>
          <w:rFonts w:ascii="Times New Roman" w:eastAsia="仿宋_GB2312" w:cs="仿宋_GB2312" w:hAnsi="Times New Roman" w:hint="eastAsia"/>
          <w:color w:val="auto"/>
          <w:sz w:val="32"/>
          <w:szCs w:val="32"/>
          <w:highlight w:val="auto"/>
        </w:rPr>
        <w:t>十二、</w:t>
      </w:r>
      <w:bookmarkEnd w:id="66"/>
      <w:r>
        <w:rPr>
          <w:rFonts w:ascii="Times New Roman" w:eastAsia="仿宋_GB2312" w:cs="仿宋_GB2312" w:hAnsi="Times New Roman" w:hint="eastAsia"/>
          <w:color w:val="auto"/>
          <w:sz w:val="32"/>
          <w:szCs w:val="32"/>
          <w:lang w:eastAsia="zh-CN"/>
          <w:highlight w:val="auto"/>
        </w:rPr>
        <w:t>国有资本经营预算财政拨款支出决算表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lang w:eastAsia="zh-CN"/>
          <w:highlight w:val="auto"/>
        </w:rPr>
      </w:pPr>
      <w:bookmarkStart w:id="67" w:name="_Toc15396631"/>
      <w:r>
        <w:rPr>
          <w:rFonts w:ascii="Times New Roman" w:eastAsia="仿宋_GB2312" w:cs="仿宋_GB2312" w:hAnsi="Times New Roman" w:hint="eastAsia"/>
          <w:color w:val="auto"/>
          <w:sz w:val="32"/>
          <w:szCs w:val="32"/>
          <w:highlight w:val="auto"/>
        </w:rPr>
        <w:t>十三、</w:t>
      </w:r>
      <w:bookmarkEnd w:id="67"/>
      <w:r>
        <w:rPr>
          <w:rFonts w:ascii="Times New Roman" w:eastAsia="仿宋_GB2312" w:cs="仿宋_GB2312" w:hAnsi="Times New Roman" w:hint="eastAsia"/>
          <w:color w:val="auto"/>
          <w:sz w:val="32"/>
          <w:szCs w:val="32"/>
          <w:lang w:eastAsia="zh-CN"/>
          <w:highlight w:val="auto"/>
        </w:rPr>
        <w:t>财政拨款“三公”经费支出决算表</w:t>
      </w:r>
    </w:p>
    <w:p>
      <w:pPr>
        <w:rPr>
          <w:rFonts w:ascii="Times New Roman" w:hAnsi="Times New Roman" w:hint="eastAsia"/>
          <w:lang w:eastAsia="zh-CN"/>
        </w:rPr>
      </w:pPr>
    </w:p>
    <w:sectPr>
      <w:footerReference w:type="default" r:id="rId4"/>
      <w:footerReference w:type="first" r:id="rId5"/>
      <w:pgSz w:w="11906" w:h="16838"/>
      <w:pgMar w:top="1440" w:right="1800" w:bottom="1440" w:left="1800" w:header="1134" w:footer="1134" w:gutter="0"/>
      <w:pgNumType w:fmt="numberInDash" w:start="1"/>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1"/>
    <w:family w:val="auto"/>
    <w:pitch w:val="variable"/>
    <w:sig w:usb0="E0002AFF" w:usb1="C0007841" w:usb2="00000009" w:usb3="00000000" w:csb0="400001FF" w:csb1="FFFF0000"/>
  </w:font>
  <w:font w:name="方正小标宋简体">
    <w:panose1 w:val="03000509000000000000"/>
    <w:charset w:val="86"/>
    <w:family w:val="script"/>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方正楷体_GB2312">
    <w:altName w:val="华文仿宋"/>
    <w:panose1 w:val="02000000000000000000"/>
    <w:charset w:val="86"/>
    <w:family w:val="auto"/>
    <w:pitch w:val="variable"/>
    <w:sig w:usb0="A00002BF" w:usb1="184F6CFA" w:usb2="00000012" w:usb3="00000000" w:csb0="00040001" w:csb1="00000000"/>
  </w:font>
  <w:font w:name="宋体">
    <w:panose1 w:val="02010600030101010101"/>
    <w:charset w:val="7A"/>
    <w:family w:val="auto"/>
    <w:pitch w:val="variable"/>
    <w:sig w:usb0="00000003" w:usb1="288F0000" w:usb2="00000006" w:usb3="00000000" w:csb0="00040001" w:csb1="00000000"/>
  </w:font>
  <w:font w:name="Arial">
    <w:panose1 w:val="020B0604020202020204"/>
    <w:charset w:val="01"/>
    <w:family w:val="swiss"/>
    <w:pitch w:val="variable"/>
    <w:sig w:usb0="E0002AFF" w:usb1="C0007843" w:usb2="00000009" w:usb3="00000000" w:csb0="400001FF" w:csb1="FFFF0000"/>
  </w:font>
  <w:font w:name="仿宋_GB2312">
    <w:panose1 w:val="02010609030101010101"/>
    <w:charset w:val="86"/>
    <w:family w:val="modern"/>
    <w:pitch w:val="variable"/>
    <w:sig w:usb0="00000001" w:usb1="080E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Cambria">
    <w:panose1 w:val="02040503050406030204"/>
    <w:charset w:val="00"/>
    <w:family w:val="roman"/>
    <w:pitch w:val="variable"/>
    <w:sig w:usb0="E00002FF" w:usb1="400004FF" w:usb2="00000000" w:usb3="00000000" w:csb0="2000019F" w:csb1="00000000"/>
  </w:font>
  <w:font w:name="Calibri">
    <w:panose1 w:val="020F0502020204030204"/>
    <w:charset w:val="00"/>
    <w:family w:val="swiss"/>
    <w:pitch w:val="variable"/>
    <w:sig w:usb0="E00002FF" w:usb1="4000ACFF" w:usb2="00000001" w:usb3="00000000" w:csb0="2000019F" w:csb1="00000000"/>
  </w:font>
  <w:font w:name="??">
    <w:altName w:val="Segoe Print"/>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jc w:val="center"/>
    </w:pPr>
  </w:p>
  <w:p>
    <w:pPr>
      <w:pStyle w:val="21"/>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jc w:val="center"/>
    </w:pPr>
    <w:r>
      <w:rPr>
        <w:sz w:val="18"/>
      </w:rPr>
      <mc:AlternateContent>
        <mc:Choice Requires="wps">
          <w:drawing>
            <wp:anchor distT="0" distB="0" distL="114298" distR="114298" simplePos="0" relativeHeight="24" behindDoc="0" locked="0" layoutInCell="1" hidden="0" allowOverlap="1">
              <wp:simplePos x="0" y="0"/>
              <wp:positionH relativeFrom="margin">
                <wp:align>center</wp:align>
              </wp:positionH>
              <wp:positionV relativeFrom="paragraph">
                <wp:posOffset>0</wp:posOffset>
              </wp:positionV>
              <wp:extent cx="237515" cy="139674"/>
              <wp:effectExtent l="0" t="0" r="0" b="0"/>
              <wp:wrapNone/>
              <wp:docPr id="1" name="文本框 15"/>
              <wp:cNvGraphicFramePr>
                <a:graphicFrameLocks noChangeAspect="0"/>
              </wp:cNvGraphicFramePr>
              <a:graphic>
                <a:graphicData uri="http://schemas.microsoft.com/office/word/2010/wordprocessingShape">
                  <wps:wsp>
                    <wps:cNvSpPr/>
                    <wps:spPr>
                      <a:xfrm rot="0">
                        <a:off x="0" y="0"/>
                        <a:ext cx="237515" cy="139674"/>
                      </a:xfrm>
                      <a:prstGeom prst="rect"/>
                      <a:noFill/>
                      <a:ln w="6350" cmpd="sng" cap="flat">
                        <a:noFill/>
                        <a:prstDash val="solid"/>
                        <a:round/>
                      </a:ln>
                    </wps:spPr>
                    <wps:txbx id="2">
                      <w:txbxContent>
                        <w:p>
                          <w:pPr>
                            <w:pStyle w:val="21"/>
                            <w:tabs>
                              <w:tab w:val="center" w:pos="4153"/>
                              <w:tab w:val="right" w:pos="8306"/>
                            </w:tabs>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type="#_x0000_t202" id="文本框 15 3" o:spid="_x0000_s3" filled="f" stroked="f" strokeweight="0.5pt" style="position:absolute;margin-left:0.0pt;margin-top:0.0pt;width:18.701994pt;height:10.997971pt;z-index:24;mso-position-horizontal:center;mso-position-horizontal-relative:margin;mso-position-vertical:absolute;mso-wrap-distance-left:8.999863pt;mso-wrap-distance-right:8.999863pt;mso-wrap-style:none;">
              <v:stroke color="#000000"/>
              <v:textbox id="854"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- 1 -</w:t>
                    </w:r>
                    <w:r>
                      <w:fldChar w:fldCharType="end"/>
                    </w:r>
                  </w:p>
                </w:txbxContent>
              </v:textbox>
            </v:shape>
          </w:pict>
        </mc:Fallback>
      </mc:AlternateContent>
    </w:r>
  </w:p>
  <w:p>
    <w:pPr>
      <w:pStyle w:val="21"/>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pPr>
    <w:r>
      <w:rPr>
        <w:sz w:val="18"/>
      </w:rPr>
      <mc:AlternateContent>
        <mc:Choice Requires="wps">
          <w:drawing>
            <wp:anchor distT="0" distB="0" distL="114298" distR="114298" simplePos="0" relativeHeight="23" behindDoc="0" locked="0" layoutInCell="1" hidden="0" allowOverlap="1">
              <wp:simplePos x="0" y="0"/>
              <wp:positionH relativeFrom="margin">
                <wp:align>center</wp:align>
              </wp:positionH>
              <wp:positionV relativeFrom="paragraph">
                <wp:posOffset>0</wp:posOffset>
              </wp:positionV>
              <wp:extent cx="179565" cy="139674"/>
              <wp:effectExtent l="0" t="0" r="0" b="0"/>
              <wp:wrapNone/>
              <wp:docPr id="4" name="文本框 6"/>
              <wp:cNvGraphicFramePr>
                <a:graphicFrameLocks noChangeAspect="0"/>
              </wp:cNvGraphicFramePr>
              <a:graphic>
                <a:graphicData uri="http://schemas.microsoft.com/office/word/2010/wordprocessingShape">
                  <wps:wsp>
                    <wps:cNvSpPr/>
                    <wps:spPr>
                      <a:xfrm rot="0">
                        <a:off x="0" y="0"/>
                        <a:ext cx="179565" cy="139674"/>
                      </a:xfrm>
                      <a:prstGeom prst="rect"/>
                      <a:noFill/>
                      <a:ln w="6350" cmpd="sng" cap="flat">
                        <a:noFill/>
                        <a:prstDash val="solid"/>
                        <a:round/>
                      </a:ln>
                    </wps:spPr>
                    <wps:txbx id="5">
                      <w:txbxContent>
                        <w:p>
                          <w:pPr>
                            <w:pStyle w:val="21"/>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type="#_x0000_t202" id="文本框 6 6" o:spid="_x0000_s6" filled="f" stroked="f" strokeweight="0.5pt" style="position:absolute;margin-left:0.0pt;margin-top:0.0pt;width:14.139006pt;height:10.998005pt;z-index:23;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21"/>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2"/>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FBDAECE1"/>
    <w:multiLevelType w:val="singleLevel"/>
    <w:tmpl w:val="FBDAECE1"/>
    <w:lvl w:ilvl="0">
      <w:start w:val="1"/>
      <w:numFmt w:val="chineseCounting"/>
      <w:lvlRestart w:val="0"/>
      <w:suff w:val="nothing"/>
      <w:lvlText w:val="%1、"/>
      <w:lvlJc w:val="left"/>
      <w:pPr>
        <w:tabs>
          <w:tab w:val="num" w:pos="0"/>
        </w:tabs>
        <w:ind w:left="0" w:hanging="0"/>
      </w:pPr>
      <w:rPr>
        <w:rFonts w:hint="eastAsia"/>
      </w:rPr>
    </w:lvl>
  </w:abstractNum>
  <w:abstractNum w:abstractNumId="1">
    <w:nsid w:val="623C4DEE"/>
    <w:multiLevelType w:val="singleLevel"/>
    <w:tmpl w:val="623C4DEE"/>
    <w:lvl w:ilvl="0">
      <w:start w:val="1"/>
      <w:numFmt w:val="decimal"/>
      <w:lvlRestart w:val="0"/>
      <w:lvlText w:val="%1."/>
      <w:lvlJc w:val="left"/>
      <w:pPr>
        <w:tabs>
          <w:tab w:val="num" w:pos="0"/>
        </w:tabs>
        <w:ind w:left="0" w:hanging="0"/>
      </w:p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note text"/>
    <w:basedOn w:val="0"/>
    <w:next w:val="17"/>
    <w:pPr>
      <w:snapToGrid w:val="0"/>
      <w:jc w:val="left"/>
    </w:pPr>
    <w:rPr>
      <w:sz w:val="18"/>
      <w:szCs w:val="18"/>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pPr>
      <w:ind w:firstLineChars="200" w:firstLine="200"/>
    </w:pPr>
  </w:style>
  <w:style w:type="paragraph" w:styleId="18">
    <w:name w:val="Body Text"/>
    <w:basedOn w:val="0"/>
    <w:pPr>
      <w:spacing w:beforeLines="30" w:before="30"/>
    </w:pPr>
    <w:rPr>
      <w:rFonts w:ascii="仿宋_GB2312" w:eastAsia="仿宋_GB2312"/>
      <w:kern w:val="0"/>
      <w:sz w:val="30"/>
    </w:rPr>
  </w:style>
  <w:style w:type="paragraph" w:styleId="19">
    <w:name w:val="toc 3"/>
    <w:basedOn w:val="0"/>
    <w:next w:val="0"/>
    <w:pPr>
      <w:tabs>
        <w:tab w:val="right" w:leader="dot" w:pos="8296"/>
      </w:tabs>
      <w:ind w:leftChars="400" w:left="400"/>
    </w:pPr>
  </w:style>
  <w:style w:type="paragraph" w:styleId="20">
    <w:name w:val="Balloon Text"/>
    <w:basedOn w:val="0"/>
    <w:rPr>
      <w:sz w:val="18"/>
      <w:szCs w:val="18"/>
    </w:rPr>
  </w:style>
  <w:style w:type="paragraph" w:styleId="21">
    <w:name w:val="footer"/>
    <w:basedOn w:val="0"/>
    <w:pPr>
      <w:tabs>
        <w:tab w:val="center" w:pos="4153"/>
        <w:tab w:val="right" w:pos="8306"/>
      </w:tabs>
      <w:snapToGrid w:val="0"/>
      <w:jc w:val="left"/>
    </w:pPr>
    <w:rPr>
      <w:rFonts w:ascii="Calibri" w:hAnsi="Calibri"/>
      <w:kern w:val="0"/>
      <w:sz w:val="18"/>
      <w:szCs w:val="18"/>
    </w:rPr>
  </w:style>
  <w:style w:type="paragraph" w:styleId="22">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3">
    <w:name w:val="toc 1"/>
    <w:basedOn w:val="0"/>
    <w:next w:val="0"/>
    <w:pPr>
      <w:tabs>
        <w:tab w:val="right" w:leader="dot" w:pos="8296"/>
      </w:tabs>
      <w:spacing w:before="93"/>
      <w:jc w:val="center"/>
    </w:pPr>
    <w:rPr>
      <w:rFonts w:ascii="仿宋" w:eastAsia="仿宋"/>
      <w:sz w:val="28"/>
      <w:szCs w:val="28"/>
    </w:rPr>
  </w:style>
  <w:style w:type="paragraph" w:styleId="24">
    <w:name w:val="toc 2"/>
    <w:basedOn w:val="0"/>
    <w:next w:val="0"/>
    <w:pPr>
      <w:tabs>
        <w:tab w:val="right" w:leader="dot" w:pos="8296"/>
      </w:tabs>
      <w:ind w:leftChars="200" w:left="200"/>
    </w:pPr>
  </w:style>
  <w:style w:type="character" w:styleId="25">
    <w:name w:val="Strong"/>
    <w:basedOn w:val="10"/>
    <w:rPr>
      <w:b/>
    </w:rPr>
  </w:style>
  <w:style w:type="character" w:styleId="26">
    <w:name w:val="Hyperlink"/>
    <w:basedOn w:val="10"/>
    <w:rPr>
      <w:color w:val="0000FF"/>
      <w:u w:val="single"/>
    </w:rPr>
  </w:style>
  <w:style w:type="paragraph" w:customStyle="1" w:styleId="27">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28">
    <w:name w:val="Header Char"/>
    <w:basedOn w:val="10"/>
    <w:rPr>
      <w:rFonts w:ascii="Times New Roman" w:hAnsi="Times New Roman"/>
      <w:sz w:val="18"/>
      <w:szCs w:val="18"/>
    </w:rPr>
  </w:style>
  <w:style w:type="character" w:customStyle="1" w:styleId="29">
    <w:name w:val="Footer Char"/>
    <w:basedOn w:val="10"/>
    <w:rPr>
      <w:rFonts w:ascii="Times New Roman" w:hAnsi="Times New Roman"/>
      <w:sz w:val="18"/>
      <w:szCs w:val="18"/>
    </w:rPr>
  </w:style>
  <w:style w:type="character" w:customStyle="1" w:styleId="30">
    <w:name w:val="Body Text Char"/>
    <w:basedOn w:val="10"/>
    <w:rPr>
      <w:rFonts w:ascii="Times New Roman" w:hAnsi="Times New Roman"/>
      <w:szCs w:val="24"/>
    </w:rPr>
  </w:style>
  <w:style w:type="paragraph" w:customStyle="1" w:styleId="31">
    <w:name w:val="Default"/>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4">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5">
    <w:name w:val="四号正文"/>
    <w:basedOn w:val="0"/>
    <w:pPr>
      <w:spacing w:line="360" w:lineRule="auto"/>
    </w:pPr>
    <w:rPr>
      <w:rFonts w:ascii="??" w:eastAsia="宋体" w:hAnsi="??"/>
      <w:color w:val="000000"/>
      <w:kern w:val="0"/>
      <w:sz w:val="28"/>
      <w:szCs w:val="21"/>
      <w:lang w:val="zh-CN"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image" Target="media/8.png"/><Relationship Id="rId7" Type="http://schemas.openxmlformats.org/officeDocument/2006/relationships/image" Target="media/11.png"/><Relationship Id="rId8" Type="http://schemas.openxmlformats.org/officeDocument/2006/relationships/image" Target="media/14.png"/><Relationship Id="rId9" Type="http://schemas.openxmlformats.org/officeDocument/2006/relationships/image" Target="media/17.png"/><Relationship Id="rId10" Type="http://schemas.openxmlformats.org/officeDocument/2006/relationships/image" Target="media/20.png"/><Relationship Id="rId11" Type="http://schemas.openxmlformats.org/officeDocument/2006/relationships/image" Target="media/23.png"/><Relationship Id="rId12" Type="http://schemas.openxmlformats.org/officeDocument/2006/relationships/styles" Target="styles.xml"/><Relationship Id="rId13" Type="http://schemas.openxmlformats.org/officeDocument/2006/relationships/numbering" Target="numbering.xml"/><Relationship Id="rId14" Type="http://schemas.openxmlformats.org/officeDocument/2006/relationships/fontTable" Target="fontTable.xml"/></Relationships>
</file>

<file path=docProps/app.xml><?xml version="1.0" encoding="utf-8"?>
<Properties xmlns="http://schemas.openxmlformats.org/officeDocument/2006/extended-properties">
  <Template>Normal.eit</Template>
  <TotalTime>12</TotalTime>
  <Application>Yozo_Office</Application>
  <Pages>17</Pages>
  <Words>4663</Words>
  <Characters>5052</Characters>
  <Lines>307</Lines>
  <Paragraphs>134</Paragraphs>
  <CharactersWithSpaces>5111</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SC</cp:lastModifiedBy>
  <cp:revision>32</cp:revision>
  <cp:lastPrinted>2026-08-03T09:27:00Z</cp:lastPrinted>
  <dcterms:created xsi:type="dcterms:W3CDTF">2020-08-08T17:49:00Z</dcterms:created>
  <dcterms:modified xsi:type="dcterms:W3CDTF">2026-10-26T08:13:51Z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eyJoZGlkIjoiZWFlMmNmNThjMzI1ZjY4YzkzYTJkYzdkYzMyMWVhYTIiLCJ1c2VySWQiOiI1MjczMTg1NzcifQ==</vt:lpwstr>
  </property>
</Properties>
</file>