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D2FD0B">
      <w:pPr>
        <w:pStyle w:val="4"/>
        <w:jc w:val="center"/>
        <w:rPr>
          <w:rFonts w:hint="eastAsia" w:ascii="Times New Roman" w:hAnsi="Times New Roman" w:eastAsia="方正小标宋简体" w:cs="Times New Roman"/>
          <w:color w:val="auto"/>
          <w:kern w:val="2"/>
          <w:sz w:val="44"/>
          <w:szCs w:val="44"/>
          <w:highlight w:val="none"/>
          <w:lang w:val="en-US" w:eastAsia="zh-CN" w:bidi="ar-SA"/>
        </w:rPr>
      </w:pPr>
      <w:bookmarkStart w:id="0" w:name="_Toc15377426"/>
      <w:bookmarkStart w:id="1" w:name="_Toc15396598"/>
      <w:bookmarkStart w:id="2" w:name="_Toc15377194"/>
      <w:bookmarkStart w:id="3" w:name="_Toc15396476"/>
      <w:bookmarkStart w:id="4" w:name="_Toc15378442"/>
      <w:r>
        <w:rPr>
          <w:rFonts w:hint="eastAsia" w:ascii="Times New Roman" w:eastAsia="方正小标宋简体" w:cs="Times New Roman"/>
          <w:color w:val="auto"/>
          <w:kern w:val="2"/>
          <w:sz w:val="44"/>
          <w:szCs w:val="44"/>
          <w:highlight w:val="none"/>
          <w:lang w:val="en-US" w:eastAsia="zh-CN" w:bidi="ar-SA"/>
        </w:rPr>
        <w:t>2025年度</w:t>
      </w:r>
      <w:r>
        <w:rPr>
          <w:rFonts w:hint="eastAsia" w:ascii="Times New Roman" w:hAnsi="Times New Roman" w:eastAsia="方正小标宋简体" w:cs="Times New Roman"/>
          <w:color w:val="auto"/>
          <w:kern w:val="2"/>
          <w:sz w:val="44"/>
          <w:szCs w:val="44"/>
          <w:highlight w:val="none"/>
          <w:lang w:val="en-US" w:eastAsia="zh-CN" w:bidi="ar-SA"/>
        </w:rPr>
        <w:t>四川省</w:t>
      </w:r>
      <w:bookmarkStart w:id="5" w:name="_Toc15306268"/>
      <w:r>
        <w:rPr>
          <w:rFonts w:hint="eastAsia" w:ascii="Times New Roman" w:hAnsi="Times New Roman" w:eastAsia="方正小标宋简体" w:cs="Times New Roman"/>
          <w:b w:val="0"/>
          <w:bCs w:val="0"/>
          <w:color w:val="auto"/>
          <w:kern w:val="2"/>
          <w:sz w:val="44"/>
          <w:szCs w:val="44"/>
          <w:highlight w:val="none"/>
          <w:lang w:val="en-US" w:eastAsia="zh-CN" w:bidi="ar-SA"/>
        </w:rPr>
        <w:t>阿坝州若尔盖县住房和城乡建设局</w:t>
      </w:r>
      <w:r>
        <w:rPr>
          <w:rFonts w:hint="eastAsia" w:ascii="Times New Roman" w:eastAsia="方正小标宋简体" w:cs="Times New Roman"/>
          <w:b w:val="0"/>
          <w:bCs w:val="0"/>
          <w:color w:val="auto"/>
          <w:kern w:val="2"/>
          <w:sz w:val="44"/>
          <w:szCs w:val="44"/>
          <w:highlight w:val="none"/>
          <w:lang w:val="en-US" w:eastAsia="zh-CN" w:bidi="ar-SA"/>
        </w:rPr>
        <w:t>（汇总）</w:t>
      </w:r>
      <w:r>
        <w:rPr>
          <w:rFonts w:hint="eastAsia" w:ascii="Times New Roman" w:hAnsi="Times New Roman" w:eastAsia="方正小标宋简体" w:cs="Times New Roman"/>
          <w:color w:val="auto"/>
          <w:kern w:val="2"/>
          <w:sz w:val="44"/>
          <w:szCs w:val="44"/>
          <w:highlight w:val="none"/>
          <w:lang w:val="en-US" w:eastAsia="zh-CN" w:bidi="ar-SA"/>
        </w:rPr>
        <w:t>部门决算</w:t>
      </w:r>
      <w:bookmarkEnd w:id="0"/>
      <w:bookmarkEnd w:id="1"/>
      <w:bookmarkEnd w:id="2"/>
      <w:bookmarkEnd w:id="3"/>
      <w:bookmarkEnd w:id="4"/>
      <w:bookmarkEnd w:id="5"/>
    </w:p>
    <w:p w14:paraId="6D0B4198">
      <w:pPr>
        <w:widowControl/>
        <w:jc w:val="center"/>
        <w:rPr>
          <w:rFonts w:hint="eastAsia" w:ascii="Times New Roman" w:hAnsi="Times New Roman" w:eastAsia="黑体"/>
          <w:color w:val="auto"/>
          <w:sz w:val="48"/>
          <w:szCs w:val="48"/>
          <w:highlight w:val="none"/>
        </w:rPr>
      </w:pPr>
    </w:p>
    <w:p w14:paraId="5EB0EC4A">
      <w:pPr>
        <w:widowControl/>
        <w:jc w:val="center"/>
        <w:rPr>
          <w:rFonts w:hint="eastAsia" w:ascii="Times New Roman" w:hAnsi="Times New Roman" w:eastAsia="黑体"/>
          <w:color w:val="auto"/>
          <w:sz w:val="48"/>
          <w:szCs w:val="48"/>
          <w:highlight w:val="none"/>
        </w:rPr>
      </w:pPr>
    </w:p>
    <w:p w14:paraId="0FC41C5A">
      <w:pPr>
        <w:widowControl/>
        <w:jc w:val="center"/>
        <w:rPr>
          <w:rFonts w:hint="eastAsia" w:ascii="Times New Roman" w:hAnsi="Times New Roman" w:eastAsia="黑体"/>
          <w:color w:val="auto"/>
          <w:sz w:val="48"/>
          <w:szCs w:val="48"/>
          <w:highlight w:val="none"/>
        </w:rPr>
      </w:pPr>
    </w:p>
    <w:p w14:paraId="38DB950E">
      <w:pPr>
        <w:widowControl/>
        <w:jc w:val="center"/>
        <w:rPr>
          <w:rFonts w:hint="eastAsia" w:ascii="Times New Roman" w:hAnsi="Times New Roman" w:eastAsia="黑体"/>
          <w:color w:val="auto"/>
          <w:sz w:val="48"/>
          <w:szCs w:val="48"/>
          <w:highlight w:val="none"/>
        </w:rPr>
      </w:pPr>
    </w:p>
    <w:p w14:paraId="2FEF60FD">
      <w:pPr>
        <w:widowControl/>
        <w:jc w:val="center"/>
        <w:rPr>
          <w:rFonts w:hint="eastAsia" w:ascii="Times New Roman" w:hAnsi="Times New Roman" w:eastAsia="黑体"/>
          <w:color w:val="auto"/>
          <w:sz w:val="48"/>
          <w:szCs w:val="48"/>
          <w:highlight w:val="none"/>
        </w:rPr>
      </w:pPr>
    </w:p>
    <w:p w14:paraId="19EFB547">
      <w:pPr>
        <w:widowControl/>
        <w:jc w:val="center"/>
        <w:rPr>
          <w:rFonts w:hint="eastAsia" w:ascii="Times New Roman" w:hAnsi="Times New Roman" w:eastAsia="黑体"/>
          <w:color w:val="auto"/>
          <w:sz w:val="48"/>
          <w:szCs w:val="48"/>
          <w:highlight w:val="none"/>
        </w:rPr>
      </w:pPr>
    </w:p>
    <w:p w14:paraId="00E46155">
      <w:pPr>
        <w:widowControl/>
        <w:jc w:val="center"/>
        <w:rPr>
          <w:rFonts w:hint="eastAsia" w:ascii="Times New Roman" w:hAnsi="Times New Roman" w:eastAsia="黑体"/>
          <w:color w:val="auto"/>
          <w:sz w:val="48"/>
          <w:szCs w:val="48"/>
          <w:highlight w:val="none"/>
        </w:rPr>
      </w:pPr>
    </w:p>
    <w:p w14:paraId="66056C3E">
      <w:pPr>
        <w:widowControl/>
        <w:jc w:val="center"/>
        <w:rPr>
          <w:rFonts w:hint="eastAsia" w:ascii="Times New Roman" w:hAnsi="Times New Roman" w:eastAsia="黑体"/>
          <w:color w:val="auto"/>
          <w:sz w:val="48"/>
          <w:szCs w:val="48"/>
          <w:highlight w:val="none"/>
        </w:rPr>
      </w:pPr>
    </w:p>
    <w:p w14:paraId="7A9CC5D7">
      <w:pPr>
        <w:widowControl/>
        <w:jc w:val="center"/>
        <w:rPr>
          <w:rFonts w:hint="eastAsia" w:ascii="Times New Roman" w:hAnsi="Times New Roman" w:eastAsia="黑体"/>
          <w:color w:val="auto"/>
          <w:sz w:val="48"/>
          <w:szCs w:val="48"/>
          <w:highlight w:val="none"/>
        </w:rPr>
      </w:pPr>
    </w:p>
    <w:p w14:paraId="6D6267ED">
      <w:pPr>
        <w:widowControl/>
        <w:jc w:val="center"/>
        <w:rPr>
          <w:rFonts w:hint="eastAsia" w:ascii="Times New Roman" w:hAnsi="Times New Roman" w:eastAsia="黑体"/>
          <w:color w:val="auto"/>
          <w:sz w:val="48"/>
          <w:szCs w:val="48"/>
          <w:highlight w:val="none"/>
        </w:rPr>
      </w:pPr>
    </w:p>
    <w:p w14:paraId="1EA646B9">
      <w:pPr>
        <w:widowControl/>
        <w:jc w:val="center"/>
        <w:rPr>
          <w:rFonts w:hint="eastAsia" w:ascii="Times New Roman" w:hAnsi="Times New Roman" w:eastAsia="黑体"/>
          <w:color w:val="auto"/>
          <w:sz w:val="48"/>
          <w:szCs w:val="48"/>
          <w:highlight w:val="none"/>
        </w:rPr>
      </w:pPr>
    </w:p>
    <w:p w14:paraId="072C8008">
      <w:pPr>
        <w:widowControl/>
        <w:jc w:val="center"/>
        <w:rPr>
          <w:rFonts w:hint="eastAsia" w:ascii="Times New Roman" w:hAnsi="Times New Roman" w:eastAsia="黑体"/>
          <w:color w:val="auto"/>
          <w:sz w:val="48"/>
          <w:szCs w:val="48"/>
          <w:highlight w:val="none"/>
        </w:rPr>
      </w:pPr>
    </w:p>
    <w:p w14:paraId="39EC5D72">
      <w:pPr>
        <w:widowControl/>
        <w:jc w:val="center"/>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已经保密审查、内容审定，同意对外公开</w:t>
      </w:r>
    </w:p>
    <w:p w14:paraId="4B3A0D08">
      <w:pPr>
        <w:widowControl/>
        <w:jc w:val="center"/>
        <w:rPr>
          <w:rFonts w:hint="eastAsia" w:ascii="Times New Roman" w:hAnsi="Times New Roman" w:eastAsia="黑体"/>
          <w:color w:val="auto"/>
          <w:sz w:val="48"/>
          <w:szCs w:val="48"/>
          <w:highlight w:val="none"/>
        </w:rPr>
      </w:pPr>
    </w:p>
    <w:p w14:paraId="347CAE46">
      <w:pPr>
        <w:widowControl/>
        <w:jc w:val="center"/>
        <w:rPr>
          <w:rFonts w:hint="eastAsia" w:ascii="Times New Roman" w:hAnsi="Times New Roman" w:eastAsia="黑体"/>
          <w:color w:val="auto"/>
          <w:sz w:val="48"/>
          <w:szCs w:val="48"/>
          <w:highlight w:val="none"/>
        </w:rPr>
      </w:pPr>
    </w:p>
    <w:p w14:paraId="5BCD669A">
      <w:pPr>
        <w:widowControl/>
        <w:jc w:val="center"/>
        <w:rPr>
          <w:rFonts w:hint="eastAsia" w:ascii="Times New Roman" w:hAnsi="Times New Roman" w:eastAsia="黑体"/>
          <w:color w:val="auto"/>
          <w:sz w:val="48"/>
          <w:szCs w:val="48"/>
          <w:highlight w:val="none"/>
        </w:rPr>
      </w:pPr>
    </w:p>
    <w:p w14:paraId="50CBC7A1">
      <w:pPr>
        <w:widowControl/>
        <w:jc w:val="center"/>
        <w:rPr>
          <w:rFonts w:hint="eastAsia" w:ascii="Times New Roman" w:hAnsi="Times New Roman" w:eastAsia="黑体"/>
          <w:color w:val="auto"/>
          <w:sz w:val="48"/>
          <w:szCs w:val="48"/>
          <w:highlight w:val="none"/>
        </w:rPr>
      </w:pPr>
    </w:p>
    <w:p w14:paraId="516B3A2D">
      <w:pPr>
        <w:widowControl/>
        <w:jc w:val="center"/>
        <w:rPr>
          <w:rFonts w:hint="eastAsia" w:ascii="Times New Roman" w:hAnsi="Times New Roman" w:eastAsia="黑体"/>
          <w:color w:val="auto"/>
          <w:sz w:val="48"/>
          <w:szCs w:val="48"/>
          <w:highlight w:val="none"/>
        </w:rPr>
      </w:pPr>
    </w:p>
    <w:p w14:paraId="006AB1FB">
      <w:pPr>
        <w:widowControl/>
        <w:jc w:val="center"/>
        <w:rPr>
          <w:rFonts w:hint="eastAsia" w:ascii="Times New Roman" w:hAnsi="Times New Roman" w:eastAsia="黑体"/>
          <w:color w:val="auto"/>
          <w:sz w:val="48"/>
          <w:szCs w:val="48"/>
          <w:highlight w:val="none"/>
        </w:rPr>
      </w:pPr>
    </w:p>
    <w:p w14:paraId="31EE009D">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6F040FF0">
      <w:pPr>
        <w:widowControl/>
        <w:jc w:val="center"/>
        <w:rPr>
          <w:rFonts w:ascii="Times New Roman" w:hAnsi="Times New Roman" w:eastAsia="黑体" w:cstheme="minorBidi"/>
          <w:color w:val="auto"/>
          <w:sz w:val="28"/>
          <w:szCs w:val="28"/>
          <w:highlight w:val="none"/>
        </w:rPr>
      </w:pPr>
    </w:p>
    <w:p w14:paraId="42B6D3E1">
      <w:pPr>
        <w:pStyle w:val="8"/>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10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10 </w:t>
      </w:r>
      <w:r>
        <w:rPr>
          <w:rFonts w:hint="eastAsia" w:ascii="Times New Roman" w:hAnsi="Times New Roman" w:eastAsia="仿宋_GB2312" w:cs="仿宋_GB2312"/>
          <w:color w:val="auto"/>
          <w:sz w:val="32"/>
          <w:szCs w:val="32"/>
          <w:highlight w:val="none"/>
        </w:rPr>
        <w:t>日</w:t>
      </w:r>
    </w:p>
    <w:p w14:paraId="6086C931">
      <w:pPr>
        <w:rPr>
          <w:rFonts w:ascii="Times New Roman" w:hAnsi="Times New Roman"/>
          <w:color w:val="auto"/>
          <w:highlight w:val="none"/>
        </w:rPr>
      </w:pPr>
    </w:p>
    <w:p w14:paraId="6A78AE06">
      <w:pPr>
        <w:pStyle w:val="8"/>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14:paraId="176938A0">
      <w:pPr>
        <w:pStyle w:val="9"/>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p>
    <w:p w14:paraId="279C770C">
      <w:pPr>
        <w:pStyle w:val="9"/>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p>
    <w:p w14:paraId="5E9CA305">
      <w:pPr>
        <w:pStyle w:val="8"/>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14:paraId="05B018E1">
      <w:pPr>
        <w:pStyle w:val="9"/>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14:paraId="5013AC86">
      <w:pPr>
        <w:pStyle w:val="9"/>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14:paraId="51C1F683">
      <w:pPr>
        <w:pStyle w:val="9"/>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14:paraId="31EDD860">
      <w:pPr>
        <w:pStyle w:val="9"/>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14:paraId="1B1D76D6">
      <w:pPr>
        <w:pStyle w:val="9"/>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14:paraId="7BC23653">
      <w:pPr>
        <w:pStyle w:val="9"/>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14:paraId="5DA69114">
      <w:pPr>
        <w:pStyle w:val="9"/>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14:paraId="567754CF">
      <w:pPr>
        <w:pStyle w:val="9"/>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14:paraId="6869678D">
      <w:pPr>
        <w:pStyle w:val="9"/>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14:paraId="482AF9B3">
      <w:pPr>
        <w:pStyle w:val="9"/>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14:paraId="7861723B">
      <w:pPr>
        <w:pStyle w:val="8"/>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14:paraId="39F94F7B">
      <w:pPr>
        <w:pStyle w:val="8"/>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14:paraId="401DD77D">
      <w:pPr>
        <w:pStyle w:val="8"/>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14:paraId="582C0AB0">
      <w:pPr>
        <w:pStyle w:val="9"/>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14:paraId="22A64FC4">
      <w:pPr>
        <w:pStyle w:val="9"/>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14:paraId="70F60025">
      <w:pPr>
        <w:pStyle w:val="9"/>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14:paraId="2560E84A">
      <w:pPr>
        <w:pStyle w:val="9"/>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14:paraId="51BCAC02">
      <w:pPr>
        <w:pStyle w:val="9"/>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14:paraId="2CE7B20C">
      <w:pPr>
        <w:pStyle w:val="9"/>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14:paraId="6CD954D4">
      <w:pPr>
        <w:pStyle w:val="9"/>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14:paraId="2E803084">
      <w:pPr>
        <w:pStyle w:val="9"/>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14:paraId="1D6E43DC">
      <w:pPr>
        <w:pStyle w:val="9"/>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14:paraId="3CE1DE97">
      <w:pPr>
        <w:pStyle w:val="9"/>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14:paraId="06A57745">
      <w:pPr>
        <w:pStyle w:val="9"/>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14:paraId="33F1599A">
      <w:pPr>
        <w:pStyle w:val="9"/>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14:paraId="641053BC">
      <w:pPr>
        <w:pStyle w:val="9"/>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14:paraId="1629BBE7">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6" w:name="_Toc15396599"/>
      <w:bookmarkStart w:id="7" w:name="_Toc15377196"/>
      <w:r>
        <w:rPr>
          <w:rFonts w:hint="eastAsia" w:ascii="Times New Roman" w:hAnsi="Times New Roman" w:eastAsia="仿宋_GB2312" w:cs="仿宋_GB2312"/>
          <w:b/>
          <w:color w:val="auto"/>
          <w:sz w:val="32"/>
          <w:szCs w:val="32"/>
          <w:highlight w:val="none"/>
        </w:rPr>
        <w:br w:type="page"/>
      </w:r>
    </w:p>
    <w:p w14:paraId="1FC95B84">
      <w:pPr>
        <w:pStyle w:val="2"/>
        <w:jc w:val="center"/>
        <w:rPr>
          <w:rStyle w:val="13"/>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13"/>
          <w:rFonts w:hint="eastAsia" w:ascii="Times New Roman" w:hAnsi="Times New Roman" w:eastAsia="方正小标宋简体" w:cs="方正小标宋简体"/>
          <w:b w:val="0"/>
          <w:bCs w:val="0"/>
          <w:color w:val="auto"/>
          <w:highlight w:val="none"/>
        </w:rPr>
        <w:t>部门概况</w:t>
      </w:r>
      <w:bookmarkEnd w:id="6"/>
      <w:bookmarkEnd w:id="7"/>
    </w:p>
    <w:p w14:paraId="1543B214">
      <w:pPr>
        <w:widowControl/>
        <w:jc w:val="left"/>
        <w:rPr>
          <w:rFonts w:ascii="Times New Roman" w:hAnsi="Times New Roman" w:eastAsia="黑体"/>
          <w:color w:val="auto"/>
          <w:sz w:val="32"/>
          <w:szCs w:val="32"/>
          <w:highlight w:val="none"/>
        </w:rPr>
      </w:pPr>
    </w:p>
    <w:p w14:paraId="55B7466C">
      <w:pPr>
        <w:widowControl/>
        <w:spacing w:line="560" w:lineRule="exact"/>
        <w:rPr>
          <w:rFonts w:hint="eastAsia" w:ascii="宋体" w:eastAsia="宋体" w:cs="宋体"/>
          <w:b/>
          <w:bCs/>
          <w:kern w:val="0"/>
          <w:sz w:val="32"/>
          <w:szCs w:val="32"/>
          <w:lang w:bidi="ar-SA"/>
        </w:rPr>
      </w:pPr>
      <w:bookmarkStart w:id="8" w:name="_Toc15396600"/>
      <w:bookmarkStart w:id="9" w:name="_Toc15377197"/>
      <w:r>
        <w:rPr>
          <w:rFonts w:hint="eastAsia" w:ascii="Times New Roman" w:hAnsi="Times New Roman" w:eastAsia="黑体"/>
          <w:b w:val="0"/>
          <w:color w:val="auto"/>
          <w:highlight w:val="none"/>
        </w:rPr>
        <w:t>一、</w:t>
      </w:r>
      <w:bookmarkEnd w:id="8"/>
      <w:bookmarkEnd w:id="9"/>
      <w:r>
        <w:rPr>
          <w:rFonts w:hint="eastAsia" w:ascii="Times New Roman" w:hAnsi="Times New Roman" w:eastAsia="黑体"/>
          <w:b w:val="0"/>
          <w:color w:val="auto"/>
          <w:highlight w:val="none"/>
          <w:lang w:eastAsia="zh-CN"/>
        </w:rPr>
        <w:t>部门职责</w:t>
      </w:r>
      <w:r>
        <w:rPr>
          <w:rFonts w:hint="eastAsia" w:ascii="宋体" w:eastAsia="宋体" w:cs="宋体"/>
          <w:b/>
          <w:bCs/>
          <w:kern w:val="0"/>
          <w:sz w:val="32"/>
          <w:szCs w:val="32"/>
          <w:lang w:bidi="ar-SA"/>
        </w:rPr>
        <w:t>1、办公室（财务室）</w:t>
      </w:r>
    </w:p>
    <w:p w14:paraId="5C23EA46">
      <w:pPr>
        <w:widowControl/>
        <w:spacing w:line="560" w:lineRule="exact"/>
        <w:ind w:firstLine="640" w:firstLineChars="200"/>
        <w:rPr>
          <w:rFonts w:hint="eastAsia" w:ascii="仿宋" w:eastAsia="仿宋" w:cs="Times New Roman"/>
          <w:kern w:val="0"/>
          <w:sz w:val="32"/>
          <w:szCs w:val="32"/>
          <w:lang w:val="en-US" w:eastAsia="zh-CN" w:bidi="ar-SA"/>
        </w:rPr>
      </w:pPr>
      <w:r>
        <w:rPr>
          <w:rFonts w:hint="eastAsia" w:ascii="仿宋" w:eastAsia="仿宋" w:cs="Times New Roman"/>
          <w:kern w:val="0"/>
          <w:sz w:val="32"/>
          <w:szCs w:val="32"/>
          <w:lang w:val="en-US" w:eastAsia="zh-CN" w:bidi="ar-SA"/>
        </w:rPr>
        <w:t>负责局机关政务协调、文电处理、政务信息、机要、安全、保密、文书档案管理；并按规定指导全县城乡建设档案工作。负责重要综合性会议的组织协调、新闻宣传、目标管理、外事、信访工作；负责重要文件、会议决议、领导指示的督办工作，协调各股、室、站、队、所开展业务工作。协调组织相关股、室、站、队办理人大代表建议、政协委员提案。负责局机关人事管理工作，负责本局退休人员的管理；承担局机关和直属事业单位的机构编制管理和人事劳资工作。负责局机关社会治安综合治理和维护稳定工作，开展精神文明建设活动，协助局机关支部开展理论学习。综合管理中央和省、州级财政用于住房城乡建设系统的各专项资金；协调、指导和监督住房和城乡建设领域财税、价格政策的落实；负责局行政机关和直属事业单位的财务及国有资产的监督管理。行业普法和法治宣传教育工作。负责住房和城乡建设志的编撰工作。负责综合协调住房和城乡规划建设系统行政审批以及行政复议、诉讼、信访等工作。</w:t>
      </w:r>
    </w:p>
    <w:p w14:paraId="169E6E01">
      <w:pPr>
        <w:widowControl/>
        <w:rPr>
          <w:rFonts w:hint="eastAsia" w:ascii="仿宋" w:eastAsia="仿宋" w:cs="Times New Roman"/>
          <w:kern w:val="0"/>
          <w:sz w:val="32"/>
          <w:szCs w:val="32"/>
          <w:lang w:val="en-US" w:eastAsia="zh-CN" w:bidi="ar-SA"/>
        </w:rPr>
      </w:pPr>
      <w:r>
        <w:rPr>
          <w:rFonts w:hint="eastAsia" w:ascii="仿宋" w:eastAsia="仿宋" w:cs="Times New Roman"/>
          <w:kern w:val="0"/>
          <w:sz w:val="32"/>
          <w:szCs w:val="32"/>
          <w:lang w:val="en-US" w:eastAsia="zh-CN" w:bidi="ar-SA"/>
        </w:rPr>
        <w:t>会计个人工作：做好预算会计工作，及时准确报送财务报表，负责财务预决算的编制，审核、编制经费总预决算。做好记账凭证的编制，账簿登记及票据的保管工作。</w:t>
      </w:r>
    </w:p>
    <w:p w14:paraId="1D9D76BB">
      <w:pPr>
        <w:widowControl/>
        <w:rPr>
          <w:rFonts w:hint="eastAsia" w:ascii="仿宋" w:eastAsia="仿宋" w:cs="Times New Roman"/>
          <w:kern w:val="0"/>
          <w:sz w:val="32"/>
          <w:szCs w:val="32"/>
          <w:lang w:val="en-US" w:eastAsia="zh-CN" w:bidi="ar-SA"/>
        </w:rPr>
      </w:pPr>
      <w:r>
        <w:rPr>
          <w:rFonts w:hint="eastAsia" w:ascii="仿宋" w:eastAsia="仿宋" w:cs="Times New Roman"/>
          <w:kern w:val="0"/>
          <w:sz w:val="32"/>
          <w:szCs w:val="32"/>
          <w:lang w:val="en-US" w:eastAsia="zh-CN" w:bidi="ar-SA"/>
        </w:rPr>
        <w:t>出纳个人工作：负责日常款项的划拨和费用的报销工作，做好项目报账资料的审核工作。严格报账程序。</w:t>
      </w:r>
    </w:p>
    <w:p w14:paraId="57337372">
      <w:pPr>
        <w:widowControl/>
        <w:spacing w:line="560" w:lineRule="exact"/>
        <w:ind w:firstLine="643" w:firstLineChars="200"/>
        <w:rPr>
          <w:rFonts w:hint="eastAsia" w:ascii="宋体" w:eastAsia="宋体" w:cs="宋体"/>
          <w:b/>
          <w:bCs/>
          <w:kern w:val="0"/>
          <w:sz w:val="32"/>
          <w:szCs w:val="32"/>
          <w:lang w:bidi="ar-SA"/>
        </w:rPr>
      </w:pPr>
      <w:r>
        <w:rPr>
          <w:rFonts w:hint="eastAsia" w:ascii="宋体" w:eastAsia="宋体" w:cs="宋体"/>
          <w:b/>
          <w:bCs/>
          <w:kern w:val="0"/>
          <w:sz w:val="32"/>
          <w:szCs w:val="32"/>
          <w:lang w:bidi="ar-SA"/>
        </w:rPr>
        <w:t>2、建设管理股</w:t>
      </w:r>
    </w:p>
    <w:p w14:paraId="53B987D3">
      <w:pPr>
        <w:widowControl/>
        <w:ind w:firstLine="640" w:firstLineChars="200"/>
        <w:rPr>
          <w:rFonts w:hint="eastAsia" w:ascii="仿宋" w:eastAsia="仿宋" w:cs="Times New Roman"/>
          <w:kern w:val="0"/>
          <w:sz w:val="32"/>
          <w:szCs w:val="32"/>
          <w:lang w:val="en-US" w:eastAsia="zh-CN" w:bidi="ar-SA"/>
        </w:rPr>
      </w:pPr>
      <w:r>
        <w:rPr>
          <w:rFonts w:hint="eastAsia" w:ascii="仿宋" w:eastAsia="仿宋" w:cs="Times New Roman"/>
          <w:kern w:val="0"/>
          <w:sz w:val="32"/>
          <w:szCs w:val="32"/>
          <w:lang w:val="en-US" w:eastAsia="zh-CN" w:bidi="ar-SA"/>
        </w:rPr>
        <w:t>负责城乡建设许可行政审批工作; 负责拟订城乡建设行政许可事项审查（审核）的政策、规定、标准、规程细则；指导城乡基础设施建设、城乡管理和市政、公用事业、环卫事业的发展；拟订城乡建设、环境综合治理、市政公用事业、环卫事业的发展战略、中长期规划、产业政策、技术标准和村镇建设的发展战略及政策，并监督实施；负责建制镇的供水、排水、节水、燃气、热力、市政设施（城镇道路、桥梁、河道、路灯等）、市容环境卫生、垃圾处理、防汛排涝、城镇雕塑的监督管理工作；负责城镇污水处理设施和管网配套建设及运营监督管理工作；指导城镇市容环境综合治理工作。指导和管理全县乡镇和村庄建设工作；指导农村住房建设、建设工程质量安全管理、危房改造；组织村镇建设试点工作，指导和管理全县重点镇的建设。监督执行招标代理、建筑施工、工程监理、工程检测、工程担保等市场准入与清算管理的规章制度；负责建设工程施工许可、工程质量和施工安全、工程竣工验收备案的监督检查，参与工程重大质量、安全事故的调查处理；负责县外入县建设类企业及个人执业行为的监督管理；配合相关部门开展房屋建筑和市政基础设施工程项目招投标活动的监督。负责指导建筑行业诚信体系建设；组织实施建筑活动监督执法；负责城建档案收集、立卷、归档、整理和管理工作，指导全县建造师和建筑施工企业执业人员资格管理。指导农村建筑工匠培训和管理。管理勘察设计市场；指导城镇勘察、城镇地下空间规划及开发利用工作；拟订行业科技发展和建筑节能规划及相关技术政策并组织实施。</w:t>
      </w:r>
    </w:p>
    <w:p w14:paraId="2E3E3571">
      <w:pPr>
        <w:widowControl/>
        <w:spacing w:line="540" w:lineRule="exact"/>
        <w:ind w:firstLine="643" w:firstLineChars="200"/>
        <w:rPr>
          <w:rFonts w:hint="eastAsia" w:ascii="宋体" w:eastAsia="宋体" w:cs="宋体"/>
          <w:b/>
          <w:bCs/>
          <w:kern w:val="0"/>
          <w:sz w:val="32"/>
          <w:szCs w:val="32"/>
          <w:lang w:bidi="ar-SA"/>
        </w:rPr>
      </w:pPr>
      <w:r>
        <w:rPr>
          <w:rFonts w:hint="eastAsia" w:ascii="宋体" w:eastAsia="宋体" w:cs="宋体"/>
          <w:b/>
          <w:bCs/>
          <w:kern w:val="0"/>
          <w:sz w:val="32"/>
          <w:szCs w:val="32"/>
          <w:lang w:bidi="ar-SA"/>
        </w:rPr>
        <w:t>3、住房保障股</w:t>
      </w:r>
    </w:p>
    <w:p w14:paraId="2BE815C1">
      <w:pPr>
        <w:widowControl/>
        <w:ind w:firstLine="640" w:firstLineChars="200"/>
        <w:rPr>
          <w:rFonts w:hint="eastAsia" w:ascii="仿宋" w:eastAsia="仿宋" w:cs="Times New Roman"/>
          <w:kern w:val="0"/>
          <w:sz w:val="32"/>
          <w:szCs w:val="32"/>
          <w:lang w:val="en-US" w:eastAsia="zh-CN" w:bidi="ar-SA"/>
        </w:rPr>
      </w:pPr>
      <w:r>
        <w:rPr>
          <w:rFonts w:hint="eastAsia" w:ascii="仿宋" w:eastAsia="仿宋" w:cs="Times New Roman"/>
          <w:kern w:val="0"/>
          <w:sz w:val="32"/>
          <w:szCs w:val="32"/>
          <w:lang w:val="en-US" w:eastAsia="zh-CN" w:bidi="ar-SA"/>
        </w:rPr>
        <w:t>拟订全县住房政策、规章制度并组织实施；指导全县住房建设和住房制度改革；组织编制全县保障性住房建设规划、住房保障发展规划和年度计划并监督实施，拟订全县房地产市场监督管理和稳定住房价格的政策、措施并监督执行；指导城镇土地使用权有偿转让和开发利用工作；拟订房地产业的发展规划、产业政策和规章制度；提出进城定居农民的住房政策建议以及农房产权产籍管理工作；拟订商品住宅发展规划；组织拟订城镇住宅建设、房地产开发、房屋征收拆迁、房地产交易、房屋权属管理、房屋面积管理、房地产中介、物业管理、房屋安全鉴定等工作的规章制度并监督实施；负责规定范围内的房屋产权确权登记发证；组织建设并管理全县房屋权属信息系统。</w:t>
      </w:r>
    </w:p>
    <w:p w14:paraId="7C58C0FD">
      <w:pPr>
        <w:pStyle w:val="10"/>
        <w:ind w:left="0" w:leftChars="0" w:firstLine="321" w:firstLineChars="100"/>
        <w:rPr>
          <w:rFonts w:hint="eastAsia" w:ascii="宋体" w:eastAsia="宋体" w:cs="宋体"/>
          <w:b/>
          <w:bCs/>
          <w:kern w:val="0"/>
          <w:sz w:val="32"/>
          <w:szCs w:val="32"/>
          <w:lang w:bidi="ar-SA"/>
        </w:rPr>
      </w:pPr>
      <w:r>
        <w:rPr>
          <w:rFonts w:hint="eastAsia" w:ascii="宋体" w:eastAsia="宋体" w:cs="宋体"/>
          <w:b/>
          <w:bCs/>
          <w:kern w:val="0"/>
          <w:sz w:val="32"/>
          <w:szCs w:val="32"/>
          <w:lang w:bidi="ar-SA"/>
        </w:rPr>
        <w:t>4、村镇股</w:t>
      </w:r>
    </w:p>
    <w:p w14:paraId="15B7E3D4">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eastAsia" w:ascii="仿宋" w:eastAsia="仿宋" w:cs="Times New Roman"/>
          <w:kern w:val="0"/>
          <w:sz w:val="32"/>
          <w:szCs w:val="32"/>
          <w:lang w:val="en-US" w:eastAsia="zh-CN" w:bidi="ar-SA"/>
        </w:rPr>
        <w:t>指导乡镇和村庄建设工作；拟订村镇建设发展战略和政策并监督实施；组织村镇建设相关试点工作，指导全县小城镇建设、传统村落建设工作；指导乡村建筑风貌引导、保护利用乡土建筑文化等工作；指导农村住房建设、危旧房改造及农房建设管理人才培训等工作；承担历史文化名镇、名村的审核报批、保护和监督管理有关工作。</w:t>
      </w:r>
    </w:p>
    <w:p w14:paraId="2ED1A179">
      <w:pPr>
        <w:pStyle w:val="3"/>
        <w:rPr>
          <w:rStyle w:val="14"/>
          <w:rFonts w:hint="eastAsia" w:ascii="Times New Roman" w:hAnsi="Times New Roman" w:eastAsia="黑体"/>
          <w:b w:val="0"/>
          <w:bCs w:val="0"/>
          <w:color w:val="auto"/>
          <w:highlight w:val="none"/>
          <w:lang w:eastAsia="zh-CN"/>
        </w:rPr>
      </w:pPr>
    </w:p>
    <w:p w14:paraId="45CDF4C0">
      <w:pPr>
        <w:pStyle w:val="3"/>
        <w:rPr>
          <w:rStyle w:val="14"/>
          <w:rFonts w:ascii="Times New Roman" w:hAnsi="Times New Roman"/>
          <w:b w:val="0"/>
          <w:bCs w:val="0"/>
          <w:color w:val="auto"/>
          <w:highlight w:val="none"/>
        </w:rPr>
      </w:pPr>
      <w:bookmarkStart w:id="10" w:name="_Toc15396601"/>
      <w:bookmarkStart w:id="11" w:name="_Toc15377200"/>
      <w:r>
        <w:rPr>
          <w:rFonts w:hint="eastAsia" w:ascii="Times New Roman" w:hAnsi="Times New Roman" w:eastAsia="黑体"/>
          <w:b w:val="0"/>
          <w:color w:val="auto"/>
          <w:highlight w:val="none"/>
        </w:rPr>
        <w:t>二、机</w:t>
      </w:r>
      <w:r>
        <w:rPr>
          <w:rStyle w:val="14"/>
          <w:rFonts w:hint="eastAsia" w:ascii="Times New Roman" w:hAnsi="Times New Roman" w:eastAsia="黑体"/>
          <w:b w:val="0"/>
          <w:bCs w:val="0"/>
          <w:color w:val="auto"/>
          <w:highlight w:val="none"/>
        </w:rPr>
        <w:t>构设置</w:t>
      </w:r>
      <w:bookmarkEnd w:id="10"/>
      <w:bookmarkEnd w:id="11"/>
    </w:p>
    <w:p w14:paraId="715BBFB2">
      <w:pPr>
        <w:ind w:firstLine="800" w:firstLineChars="250"/>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阿坝州若尔盖县住房和城乡建设局</w:t>
      </w:r>
      <w:r>
        <w:rPr>
          <w:rFonts w:hint="eastAsia" w:ascii="Times New Roman" w:hAnsi="Times New Roman" w:eastAsia="仿宋_GB2312" w:cs="仿宋_GB2312"/>
          <w:color w:val="auto"/>
          <w:sz w:val="32"/>
          <w:szCs w:val="32"/>
          <w:highlight w:val="none"/>
        </w:rPr>
        <w:t>下属二级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eastAsia" w:eastAsia="仿宋_GB2312" w:cs="仿宋_GB2312"/>
          <w:color w:val="auto"/>
          <w:sz w:val="32"/>
          <w:szCs w:val="32"/>
          <w:highlight w:val="none"/>
          <w:lang w:val="en-US" w:eastAsia="zh-CN"/>
        </w:rPr>
        <w:t>3</w:t>
      </w:r>
      <w:r>
        <w:rPr>
          <w:rFonts w:hint="eastAsia" w:ascii="Times New Roman" w:hAnsi="Times New Roman" w:eastAsia="仿宋_GB2312" w:cs="仿宋_GB2312"/>
          <w:color w:val="auto"/>
          <w:sz w:val="32"/>
          <w:szCs w:val="32"/>
          <w:highlight w:val="none"/>
        </w:rPr>
        <w:t>个，其中行政单位</w:t>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个，参照公务员法管理的事业单位</w:t>
      </w:r>
      <w:r>
        <w:rPr>
          <w:rFonts w:hint="eastAsia" w:eastAsia="仿宋_GB2312" w:cs="仿宋_GB2312"/>
          <w:bCs/>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个，其他事业单位</w:t>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w:t>
      </w:r>
    </w:p>
    <w:p w14:paraId="0B0258C1">
      <w:pPr>
        <w:pStyle w:val="4"/>
        <w:adjustRightInd w:val="0"/>
        <w:snapToGrid w:val="0"/>
        <w:spacing w:before="93" w:line="600" w:lineRule="exact"/>
        <w:ind w:firstLine="672" w:firstLineChars="210"/>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纳入</w:t>
      </w:r>
      <w:r>
        <w:rPr>
          <w:rFonts w:hint="eastAsia" w:ascii="仿宋_GB2312" w:hAnsi="仿宋_GB2312" w:eastAsia="仿宋_GB2312" w:cs="仿宋_GB2312"/>
          <w:color w:val="auto"/>
          <w:sz w:val="32"/>
          <w:szCs w:val="32"/>
          <w:highlight w:val="none"/>
        </w:rPr>
        <w:t>阿坝州若尔盖县住房和城乡建设局</w:t>
      </w:r>
      <w:r>
        <w:rPr>
          <w:rFonts w:hint="eastAsia" w:ascii="Times New Roman"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rPr>
        <w:t>部门决算编制范围的二级预算单位包括：</w:t>
      </w:r>
    </w:p>
    <w:p w14:paraId="5F590111">
      <w:pPr>
        <w:widowControl/>
        <w:ind w:firstLine="640" w:firstLineChars="200"/>
        <w:rPr>
          <w:rFonts w:hint="eastAsia" w:ascii="仿宋" w:eastAsia="仿宋" w:cs="Times New Roman"/>
          <w:kern w:val="0"/>
          <w:sz w:val="32"/>
          <w:szCs w:val="32"/>
          <w:lang w:val="en-US" w:eastAsia="zh-CN" w:bidi="ar-SA"/>
        </w:rPr>
      </w:pPr>
      <w:r>
        <w:rPr>
          <w:rFonts w:hint="eastAsia" w:ascii="仿宋" w:eastAsia="仿宋" w:cs="Times New Roman"/>
          <w:kern w:val="0"/>
          <w:sz w:val="32"/>
          <w:szCs w:val="32"/>
          <w:lang w:val="en-US" w:eastAsia="zh-CN" w:bidi="ar-SA"/>
        </w:rPr>
        <w:t>1.若尔盖县住房和城乡建设局（本级）</w:t>
      </w:r>
    </w:p>
    <w:p w14:paraId="735E0E04">
      <w:pPr>
        <w:widowControl/>
        <w:ind w:firstLine="640" w:firstLineChars="200"/>
        <w:rPr>
          <w:rFonts w:hint="eastAsia" w:ascii="仿宋" w:eastAsia="仿宋" w:cs="Times New Roman"/>
          <w:kern w:val="0"/>
          <w:sz w:val="32"/>
          <w:szCs w:val="32"/>
          <w:lang w:val="en-US" w:eastAsia="zh-CN" w:bidi="ar-SA"/>
        </w:rPr>
      </w:pPr>
      <w:r>
        <w:rPr>
          <w:rFonts w:hint="eastAsia" w:ascii="仿宋" w:eastAsia="仿宋" w:cs="Times New Roman"/>
          <w:kern w:val="0"/>
          <w:sz w:val="32"/>
          <w:szCs w:val="32"/>
          <w:lang w:val="en-US" w:eastAsia="zh-CN" w:bidi="ar-SA"/>
        </w:rPr>
        <w:t>2.若尔盖县建设工程质量安全监督站（事业）</w:t>
      </w:r>
    </w:p>
    <w:p w14:paraId="62FF9BB7">
      <w:pPr>
        <w:pStyle w:val="4"/>
        <w:adjustRightInd w:val="0"/>
        <w:snapToGrid w:val="0"/>
        <w:spacing w:before="93" w:line="600" w:lineRule="exact"/>
        <w:ind w:firstLine="640" w:firstLineChars="200"/>
        <w:rPr>
          <w:rFonts w:hint="eastAsia" w:ascii="Times New Roman" w:hAnsi="Times New Roman" w:eastAsia="仿宋_GB2312" w:cs="仿宋_GB2312"/>
          <w:color w:val="auto"/>
          <w:sz w:val="32"/>
          <w:szCs w:val="32"/>
          <w:highlight w:val="none"/>
        </w:rPr>
      </w:pPr>
      <w:r>
        <w:rPr>
          <w:rFonts w:hint="eastAsia" w:ascii="仿宋" w:eastAsia="仿宋" w:cs="Times New Roman"/>
          <w:kern w:val="0"/>
          <w:sz w:val="32"/>
          <w:szCs w:val="32"/>
          <w:lang w:val="en-US" w:eastAsia="zh-CN" w:bidi="ar-SA"/>
        </w:rPr>
        <w:t>3.若尔盖县住房和城乡建设综合行政执法大队（参公）</w:t>
      </w:r>
    </w:p>
    <w:p w14:paraId="2AC31008">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2215C4D2">
      <w:pPr>
        <w:pStyle w:val="2"/>
        <w:jc w:val="center"/>
        <w:rPr>
          <w:rFonts w:hint="eastAsia" w:ascii="Times New Roman" w:hAnsi="Times New Roman" w:eastAsia="方正小标宋简体" w:cs="方正小标宋简体"/>
          <w:b w:val="0"/>
          <w:color w:val="auto"/>
          <w:highlight w:val="none"/>
        </w:rPr>
      </w:pPr>
      <w:bookmarkStart w:id="12" w:name="_Toc15396602"/>
      <w:bookmarkStart w:id="13"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2"/>
      <w:bookmarkEnd w:id="13"/>
    </w:p>
    <w:p w14:paraId="787DD24B">
      <w:pPr>
        <w:rPr>
          <w:rFonts w:ascii="Times New Roman" w:hAnsi="Times New Roman"/>
          <w:color w:val="auto"/>
          <w:highlight w:val="none"/>
        </w:rPr>
      </w:pPr>
    </w:p>
    <w:p w14:paraId="64E74140">
      <w:pPr>
        <w:pStyle w:val="15"/>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14"/>
          <w:rFonts w:hint="eastAsia" w:ascii="Times New Roman" w:hAnsi="Times New Roman" w:eastAsia="黑体"/>
          <w:b w:val="0"/>
          <w:color w:val="auto"/>
          <w:highlight w:val="none"/>
        </w:rPr>
      </w:pPr>
      <w:bookmarkStart w:id="14" w:name="_Toc15396603"/>
      <w:bookmarkStart w:id="15"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14"/>
          <w:rFonts w:hint="eastAsia" w:ascii="Times New Roman" w:hAnsi="Times New Roman" w:eastAsia="黑体"/>
          <w:b w:val="0"/>
          <w:color w:val="auto"/>
          <w:highlight w:val="none"/>
        </w:rPr>
        <w:t>入支出决算总体情况说明</w:t>
      </w:r>
      <w:bookmarkEnd w:id="14"/>
      <w:bookmarkEnd w:id="15"/>
    </w:p>
    <w:p w14:paraId="66D588D3">
      <w:pPr>
        <w:pStyle w:val="15"/>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41154.52</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5737.03</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16.20</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eastAsia="zh-CN"/>
        </w:rPr>
        <w:t>新增政府基金专项债券项目投入，项目规模增加。</w:t>
      </w:r>
    </w:p>
    <w:p w14:paraId="26D73F24">
      <w:pPr>
        <w:pStyle w:val="15"/>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drawing>
          <wp:anchor distT="0" distB="0" distL="114300" distR="114300" simplePos="0" relativeHeight="251660288" behindDoc="0" locked="0" layoutInCell="1" allowOverlap="1">
            <wp:simplePos x="0" y="0"/>
            <wp:positionH relativeFrom="column">
              <wp:posOffset>278130</wp:posOffset>
            </wp:positionH>
            <wp:positionV relativeFrom="paragraph">
              <wp:posOffset>147320</wp:posOffset>
            </wp:positionV>
            <wp:extent cx="5256530" cy="2988310"/>
            <wp:effectExtent l="5080" t="4445" r="15240" b="17145"/>
            <wp:wrapTopAndBottom/>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anchor>
        </w:drawing>
      </w:r>
    </w:p>
    <w:p w14:paraId="46B3F741">
      <w:pPr>
        <w:pStyle w:val="15"/>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2C078E0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p>
    <w:p w14:paraId="15D76FA1">
      <w:pPr>
        <w:pStyle w:val="15"/>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6" w:name="_Toc15377206"/>
      <w:bookmarkStart w:id="17" w:name="_Toc15396604"/>
      <w:r>
        <w:rPr>
          <w:rFonts w:hint="eastAsia" w:ascii="Times New Roman" w:hAnsi="Times New Roman" w:eastAsia="黑体"/>
          <w:color w:val="auto"/>
          <w:sz w:val="32"/>
          <w:szCs w:val="32"/>
          <w:highlight w:val="none"/>
          <w:lang w:eastAsia="zh-CN"/>
        </w:rPr>
        <w:t>二、收入决算情况说明</w:t>
      </w:r>
      <w:bookmarkEnd w:id="16"/>
      <w:bookmarkEnd w:id="17"/>
    </w:p>
    <w:p w14:paraId="63C405F3">
      <w:pPr>
        <w:pStyle w:val="15"/>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31779.63</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23679.63</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74.51</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8100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25.48</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（注：仅罗列本部门涉及的收入）</w:t>
      </w:r>
    </w:p>
    <w:p w14:paraId="70F6D701">
      <w:pPr>
        <w:pStyle w:val="15"/>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drawing>
          <wp:anchor distT="0" distB="0" distL="114300" distR="114300" simplePos="0" relativeHeight="251661312" behindDoc="0" locked="0" layoutInCell="1" allowOverlap="1">
            <wp:simplePos x="0" y="0"/>
            <wp:positionH relativeFrom="column">
              <wp:posOffset>135255</wp:posOffset>
            </wp:positionH>
            <wp:positionV relativeFrom="paragraph">
              <wp:posOffset>156845</wp:posOffset>
            </wp:positionV>
            <wp:extent cx="5256530" cy="2988310"/>
            <wp:effectExtent l="5080" t="4445" r="15240" b="17145"/>
            <wp:wrapTopAndBottom/>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anchor>
        </w:drawing>
      </w:r>
    </w:p>
    <w:p w14:paraId="25E89FB3">
      <w:pPr>
        <w:pStyle w:val="15"/>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p>
    <w:p w14:paraId="3A4E5C61">
      <w:pPr>
        <w:ind w:firstLine="800" w:firstLineChars="250"/>
        <w:rPr>
          <w:rFonts w:hint="eastAsia" w:ascii="Times New Roman" w:hAnsi="Times New Roman" w:eastAsia="仿宋_GB2312" w:cs="仿宋_GB2312"/>
          <w:color w:val="auto"/>
          <w:sz w:val="32"/>
          <w:szCs w:val="32"/>
          <w:highlight w:val="none"/>
          <w:lang w:eastAsia="zh-CN"/>
        </w:rPr>
      </w:pPr>
    </w:p>
    <w:p w14:paraId="2E998306">
      <w:pPr>
        <w:pStyle w:val="15"/>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14"/>
          <w:rFonts w:hint="eastAsia" w:ascii="Times New Roman" w:hAnsi="Times New Roman" w:eastAsia="黑体"/>
          <w:b w:val="0"/>
          <w:color w:val="auto"/>
          <w:highlight w:val="none"/>
        </w:rPr>
      </w:pPr>
      <w:bookmarkStart w:id="18" w:name="_Toc15377207"/>
      <w:bookmarkStart w:id="19"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14"/>
          <w:rFonts w:hint="eastAsia" w:ascii="Times New Roman" w:hAnsi="Times New Roman" w:eastAsia="黑体"/>
          <w:b w:val="0"/>
          <w:color w:val="auto"/>
          <w:highlight w:val="none"/>
        </w:rPr>
        <w:t>出决算情况说明</w:t>
      </w:r>
      <w:bookmarkEnd w:id="18"/>
      <w:bookmarkEnd w:id="19"/>
    </w:p>
    <w:p w14:paraId="6DE4CF11">
      <w:pPr>
        <w:pStyle w:val="15"/>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41154.52</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730.61</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1.77</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40423.91</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98.22</w:t>
      </w:r>
      <w:r>
        <w:rPr>
          <w:rFonts w:hint="eastAsia" w:ascii="Times New Roman" w:hAnsi="Times New Roman"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p>
    <w:p w14:paraId="3C88002E">
      <w:pPr>
        <w:pStyle w:val="15"/>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drawing>
          <wp:anchor distT="0" distB="0" distL="114300" distR="114300" simplePos="0" relativeHeight="251662336" behindDoc="0" locked="0" layoutInCell="1" allowOverlap="1">
            <wp:simplePos x="0" y="0"/>
            <wp:positionH relativeFrom="column">
              <wp:posOffset>116205</wp:posOffset>
            </wp:positionH>
            <wp:positionV relativeFrom="paragraph">
              <wp:posOffset>-10831830</wp:posOffset>
            </wp:positionV>
            <wp:extent cx="5256530" cy="2988310"/>
            <wp:effectExtent l="5080" t="4445" r="15240" b="17145"/>
            <wp:wrapTopAndBottom/>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p>
    <w:p w14:paraId="3E0C3393">
      <w:pPr>
        <w:pStyle w:val="15"/>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（图3：支出决算结构图）（饼状图）</w:t>
      </w:r>
    </w:p>
    <w:p w14:paraId="7F1B3082">
      <w:pPr>
        <w:ind w:firstLine="800" w:firstLineChars="250"/>
        <w:rPr>
          <w:rFonts w:hint="eastAsia" w:ascii="Times New Roman" w:hAnsi="Times New Roman" w:eastAsia="仿宋_GB2312" w:cs="仿宋_GB2312"/>
          <w:color w:val="auto"/>
          <w:sz w:val="32"/>
          <w:szCs w:val="32"/>
          <w:highlight w:val="none"/>
          <w:lang w:eastAsia="zh-CN"/>
        </w:rPr>
      </w:pPr>
    </w:p>
    <w:p w14:paraId="38085C08">
      <w:pPr>
        <w:spacing w:line="600" w:lineRule="exact"/>
        <w:ind w:firstLine="640" w:firstLineChars="200"/>
        <w:outlineLvl w:val="1"/>
        <w:rPr>
          <w:rStyle w:val="14"/>
          <w:rFonts w:ascii="Times New Roman" w:hAnsi="Times New Roman" w:eastAsia="黑体"/>
          <w:b w:val="0"/>
          <w:color w:val="auto"/>
          <w:highlight w:val="none"/>
        </w:rPr>
      </w:pPr>
      <w:bookmarkStart w:id="20" w:name="_Toc15377208"/>
      <w:bookmarkStart w:id="21" w:name="_Toc15396606"/>
      <w:r>
        <w:rPr>
          <w:rFonts w:hint="eastAsia" w:eastAsia="仿宋_GB2312" w:cs="仿宋_GB2312"/>
          <w:color w:val="auto"/>
          <w:sz w:val="32"/>
          <w:szCs w:val="32"/>
          <w:highlight w:val="none"/>
          <w:lang w:eastAsia="zh-CN"/>
        </w:rPr>
        <w:drawing>
          <wp:anchor distT="0" distB="0" distL="114300" distR="114300" simplePos="0" relativeHeight="251663360" behindDoc="0" locked="0" layoutInCell="1" allowOverlap="1">
            <wp:simplePos x="0" y="0"/>
            <wp:positionH relativeFrom="column">
              <wp:posOffset>71755</wp:posOffset>
            </wp:positionH>
            <wp:positionV relativeFrom="paragraph">
              <wp:posOffset>2312670</wp:posOffset>
            </wp:positionV>
            <wp:extent cx="5256530" cy="2988310"/>
            <wp:effectExtent l="5080" t="4445" r="15240" b="17145"/>
            <wp:wrapTopAndBottom/>
            <wp:docPr id="12"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r>
        <w:rPr>
          <w:rFonts w:hint="eastAsia" w:ascii="Times New Roman" w:hAnsi="Times New Roman" w:eastAsia="黑体"/>
          <w:color w:val="auto"/>
          <w:sz w:val="32"/>
          <w:szCs w:val="32"/>
          <w:highlight w:val="none"/>
        </w:rPr>
        <w:t>四、财</w:t>
      </w:r>
      <w:r>
        <w:rPr>
          <w:rStyle w:val="14"/>
          <w:rFonts w:hint="eastAsia" w:ascii="Times New Roman" w:hAnsi="Times New Roman" w:eastAsia="黑体"/>
          <w:b w:val="0"/>
          <w:color w:val="auto"/>
          <w:highlight w:val="none"/>
        </w:rPr>
        <w:t>政拨款收入支出决算总体情况说明</w:t>
      </w:r>
      <w:bookmarkEnd w:id="20"/>
      <w:bookmarkEnd w:id="21"/>
    </w:p>
    <w:p w14:paraId="05B0928F">
      <w:pPr>
        <w:spacing w:line="600" w:lineRule="exact"/>
        <w:ind w:firstLine="640"/>
        <w:rPr>
          <w:rFonts w:hint="eastAsia" w:eastAsia="仿宋_GB2312" w:cs="仿宋_GB2312"/>
          <w:color w:val="auto"/>
          <w:sz w:val="32"/>
          <w:szCs w:val="32"/>
          <w:highlight w:val="none"/>
          <w:lang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41154.52</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eastAsia="仿宋_GB2312" w:cs="仿宋_GB2312"/>
          <w:color w:val="auto"/>
          <w:kern w:val="2"/>
          <w:sz w:val="32"/>
          <w:szCs w:val="32"/>
          <w:highlight w:val="none"/>
          <w:lang w:val="en-US" w:eastAsia="zh-CN" w:bidi="ar-SA"/>
        </w:rPr>
        <w:t>5737.03</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16.20</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sz w:val="32"/>
          <w:szCs w:val="32"/>
          <w:highlight w:val="none"/>
          <w:lang w:eastAsia="zh-CN"/>
        </w:rPr>
        <w:t>新增政府基金专项债券项目投入，项目</w:t>
      </w:r>
      <w:r>
        <w:rPr>
          <w:rFonts w:hint="eastAsia" w:eastAsia="仿宋_GB2312" w:cs="仿宋_GB2312"/>
          <w:color w:val="auto"/>
          <w:sz w:val="32"/>
          <w:szCs w:val="32"/>
          <w:highlight w:val="none"/>
          <w:lang w:val="en-US" w:eastAsia="zh-CN"/>
        </w:rPr>
        <w:t>规模</w:t>
      </w:r>
      <w:bookmarkStart w:id="62" w:name="_GoBack"/>
      <w:bookmarkEnd w:id="62"/>
      <w:r>
        <w:rPr>
          <w:rFonts w:hint="eastAsia" w:eastAsia="仿宋_GB2312" w:cs="仿宋_GB2312"/>
          <w:color w:val="auto"/>
          <w:sz w:val="32"/>
          <w:szCs w:val="32"/>
          <w:highlight w:val="none"/>
          <w:lang w:eastAsia="zh-CN"/>
        </w:rPr>
        <w:t>增加。</w:t>
      </w:r>
    </w:p>
    <w:p w14:paraId="79B9CDC0">
      <w:pPr>
        <w:pStyle w:val="4"/>
        <w:rPr>
          <w:rFonts w:hint="eastAsia"/>
          <w:lang w:val="en-US" w:eastAsia="zh-CN"/>
        </w:rPr>
      </w:pPr>
    </w:p>
    <w:p w14:paraId="7281CFEE">
      <w:pPr>
        <w:pStyle w:val="4"/>
        <w:rPr>
          <w:rFonts w:hint="eastAsia"/>
          <w:lang w:val="en-US" w:eastAsia="zh-CN"/>
        </w:rPr>
      </w:pPr>
    </w:p>
    <w:p w14:paraId="11389638">
      <w:pPr>
        <w:pStyle w:val="4"/>
        <w:rPr>
          <w:rFonts w:hint="eastAsia"/>
          <w:lang w:val="en-US" w:eastAsia="zh-CN"/>
        </w:rPr>
      </w:pPr>
    </w:p>
    <w:p w14:paraId="64637EC1">
      <w:pPr>
        <w:pStyle w:val="4"/>
        <w:rPr>
          <w:rFonts w:hint="eastAsia"/>
          <w:lang w:val="en-US" w:eastAsia="zh-CN"/>
        </w:rPr>
      </w:pPr>
    </w:p>
    <w:p w14:paraId="1F3B30FE">
      <w:pPr>
        <w:pStyle w:val="4"/>
        <w:rPr>
          <w:rFonts w:hint="eastAsia"/>
          <w:lang w:val="en-US" w:eastAsia="zh-CN"/>
        </w:rPr>
      </w:pPr>
    </w:p>
    <w:p w14:paraId="355D95BE">
      <w:pPr>
        <w:pStyle w:val="4"/>
        <w:rPr>
          <w:rFonts w:hint="eastAsia"/>
          <w:lang w:val="en-US" w:eastAsia="zh-CN"/>
        </w:rPr>
      </w:pPr>
    </w:p>
    <w:p w14:paraId="63396C5A">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5261B36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730852E">
      <w:pPr>
        <w:spacing w:line="600" w:lineRule="exact"/>
        <w:ind w:firstLine="640" w:firstLineChars="200"/>
        <w:outlineLvl w:val="1"/>
        <w:rPr>
          <w:rStyle w:val="14"/>
          <w:rFonts w:ascii="Times New Roman" w:hAnsi="Times New Roman" w:eastAsia="黑体"/>
          <w:b w:val="0"/>
          <w:color w:val="auto"/>
          <w:highlight w:val="none"/>
        </w:rPr>
      </w:pPr>
      <w:bookmarkStart w:id="22" w:name="_Toc15377209"/>
      <w:bookmarkStart w:id="23"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14"/>
          <w:rFonts w:hint="eastAsia" w:ascii="Times New Roman" w:hAnsi="Times New Roman" w:eastAsia="黑体"/>
          <w:b w:val="0"/>
          <w:color w:val="auto"/>
          <w:highlight w:val="none"/>
        </w:rPr>
        <w:t>般公共预算财政拨款支出决算情况说明</w:t>
      </w:r>
      <w:bookmarkEnd w:id="22"/>
      <w:bookmarkEnd w:id="23"/>
    </w:p>
    <w:p w14:paraId="4D1AB9A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4"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4"/>
    </w:p>
    <w:p w14:paraId="7B620246">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33054.52</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80.31</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年度相比，一般公共预算财政拨款支出减少</w:t>
      </w:r>
      <w:r>
        <w:rPr>
          <w:rFonts w:hint="eastAsia" w:eastAsia="仿宋_GB2312" w:cs="仿宋_GB2312"/>
          <w:color w:val="auto"/>
          <w:kern w:val="2"/>
          <w:sz w:val="32"/>
          <w:szCs w:val="32"/>
          <w:highlight w:val="none"/>
          <w:lang w:val="en-US" w:eastAsia="zh-CN" w:bidi="ar-SA"/>
        </w:rPr>
        <w:t>2362.97</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6.67</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公共预算项目减少。</w:t>
      </w:r>
    </w:p>
    <w:p w14:paraId="364F8499">
      <w:pPr>
        <w:pStyle w:val="4"/>
        <w:rPr>
          <w:rFonts w:hint="eastAsia"/>
          <w:lang w:val="en-US" w:eastAsia="zh-CN"/>
        </w:rPr>
      </w:pPr>
      <w:r>
        <w:rPr>
          <w:rFonts w:hint="eastAsia"/>
          <w:lang w:val="en-US" w:eastAsia="zh-CN"/>
        </w:rPr>
        <w:drawing>
          <wp:inline distT="0" distB="0" distL="114300" distR="114300">
            <wp:extent cx="5256530" cy="2988310"/>
            <wp:effectExtent l="5080" t="4445" r="15240" b="17145"/>
            <wp:docPr id="13"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1D9106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02ADE03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08C8EC3">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5"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5"/>
    </w:p>
    <w:p w14:paraId="08DDA14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33054.52</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74.84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0.23</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97.89</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0.30</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36.25</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0.11</w:t>
      </w:r>
      <w:r>
        <w:rPr>
          <w:rFonts w:hint="eastAsia" w:ascii="Times New Roman" w:hAnsi="Times New Roman" w:eastAsia="仿宋_GB2312" w:cs="仿宋_GB2312"/>
          <w:color w:val="auto"/>
          <w:kern w:val="2"/>
          <w:sz w:val="32"/>
          <w:szCs w:val="32"/>
          <w:highlight w:val="none"/>
          <w:lang w:val="en-US" w:eastAsia="zh-CN" w:bidi="ar-SA"/>
        </w:rPr>
        <w:t>%；节能环保支出8308.68万元，占25.14%；城乡社区支出20824.33万元，占63.00%；农林水支出3275.31万元，占9.91%；住房保障支出</w:t>
      </w:r>
      <w:r>
        <w:rPr>
          <w:rFonts w:hint="eastAsia" w:eastAsia="仿宋_GB2312" w:cs="仿宋_GB2312"/>
          <w:color w:val="auto"/>
          <w:kern w:val="2"/>
          <w:sz w:val="32"/>
          <w:szCs w:val="32"/>
          <w:highlight w:val="none"/>
          <w:lang w:val="en-US" w:eastAsia="zh-CN" w:bidi="ar-SA"/>
        </w:rPr>
        <w:t>437.22</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1.32</w:t>
      </w:r>
      <w:r>
        <w:rPr>
          <w:rFonts w:hint="eastAsia" w:ascii="Times New Roman" w:hAnsi="Times New Roman" w:eastAsia="仿宋_GB2312" w:cs="仿宋_GB2312"/>
          <w:color w:val="auto"/>
          <w:kern w:val="2"/>
          <w:sz w:val="32"/>
          <w:szCs w:val="32"/>
          <w:highlight w:val="none"/>
          <w:lang w:val="en-US" w:eastAsia="zh-CN" w:bidi="ar-SA"/>
        </w:rPr>
        <w:t>%；</w:t>
      </w:r>
    </w:p>
    <w:p w14:paraId="519DF69E">
      <w:pPr>
        <w:spacing w:line="600" w:lineRule="exact"/>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（注：仅罗列本部门涉及的全部功能分类科目，至类级）</w:t>
      </w:r>
    </w:p>
    <w:p w14:paraId="0CC89132">
      <w:pPr>
        <w:pStyle w:val="4"/>
        <w:rPr>
          <w:rFonts w:hint="eastAsia"/>
          <w:lang w:val="en-US" w:eastAsia="zh-CN"/>
        </w:rPr>
      </w:pPr>
      <w:r>
        <w:rPr>
          <w:rFonts w:hint="eastAsia"/>
          <w:lang w:val="en-US" w:eastAsia="zh-CN"/>
        </w:rPr>
        <w:drawing>
          <wp:inline distT="0" distB="0" distL="114300" distR="114300">
            <wp:extent cx="5256530" cy="2988310"/>
            <wp:effectExtent l="5080" t="4445" r="15240" b="17145"/>
            <wp:docPr id="15"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BD2A3C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34BD82B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19DB4EB">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6"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26"/>
    </w:p>
    <w:p w14:paraId="3B289FD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27" w:name="_Toc15377213"/>
      <w:bookmarkStart w:id="28" w:name="_Toc15378460"/>
      <w:bookmarkStart w:id="29" w:name="_Toc15377444"/>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33054.52</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27"/>
      <w:bookmarkEnd w:id="28"/>
      <w:bookmarkEnd w:id="29"/>
    </w:p>
    <w:p w14:paraId="1BA4C8D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1.一般公共服务支出（类）社会工作事务（款）专项业务（项）：支出决算为74.84万元，完成预算100%。决算数等于预算数的主要原因是按照年初预算完成本年度支出，决算数来源于实际支出。</w:t>
      </w:r>
    </w:p>
    <w:p w14:paraId="2A507B4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2.社会保障和就业支出（类）行政事业单位养老支出（款）机关事业单位基本养老保险缴费支出（项）: 支出决算为66.44万元，完成预算100%。决算数等于预算数的主要原因是按照年初预算完成本年度支出，决算数来源于实际支出。</w:t>
      </w:r>
    </w:p>
    <w:p w14:paraId="3F11A7D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社会保障和就业支出（类）行政事业单位养老支出（款）机关事业单位职业年金缴费支出（项）:支出决算为31.45万元，完成预算100%。决算数等于预算数的主要原因是按照年初预算完成本年度支出，决算数来源于实际支出。</w:t>
      </w:r>
    </w:p>
    <w:p w14:paraId="46C6588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4.卫生健康支出（类）行政事业单位医疗（款）行政单位医疗（项）:支出决算为19.71万元，完成预算100%。决算数等于预算数的主要原因是按照年初预算完成本年度支出，决算数来源于实际支出。</w:t>
      </w:r>
    </w:p>
    <w:p w14:paraId="6C6A791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5.卫生健康支出（类）行政事业单位医疗（款）事业单位医疗（项）:支出决算为10.06万元，完成预算100%。决算数等于预算数的主要原因是按照年初预算完成本年度支出，决算数来源于实际支出。</w:t>
      </w:r>
    </w:p>
    <w:p w14:paraId="7F632CE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6.卫生健康支出（类）行政事业单位医疗（款）公务员医疗补助（项）:支出决算为4.30万元，完成预算100%。决算数等于预算数的主要原因是按照年初预算完成本年度支出，决算数来源于实际支出。</w:t>
      </w:r>
    </w:p>
    <w:p w14:paraId="22608D3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7.卫生健康支出（类）行政事业单位医疗（款）其他行政事业单位医疗支出（项）:支出决算为2.18万元，完成预算100%。决算数等于预算数的主要原因是按照年初预算完成本年度支出，决算数来源于实际支出。</w:t>
      </w:r>
    </w:p>
    <w:p w14:paraId="73240B5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8.节能环保支出（类）污染防治（款）水体（项）: 支出决算为902.30万元，完成预算100%。决算数等于预算数的主要原因是按照年初预算完成本年度支出，决算数来源于实际支出。</w:t>
      </w:r>
    </w:p>
    <w:p w14:paraId="2B44D92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9.节能环保支出（类）自然生态保护（款）生态保护（项）: 支出决算为7406.38万元，完成预算100%。决算数等于预算数的主要原因是按照年初预算完成本年度支出，决算数来源于实际支出。</w:t>
      </w:r>
    </w:p>
    <w:p w14:paraId="7C66A8B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10.城乡社区支出（类）城乡社区管理事务（款）行政运行（项）：支出决算为366.34万元，完成预算100%。决算数等于预算数的主要原因是按照年初预算完成本年度支出，决算数来源于实际支出。</w:t>
      </w:r>
    </w:p>
    <w:p w14:paraId="02F1663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11.城乡社区支出（类）城乡社区管理事务（款）城管执法（项）：支出决算为74.88万元，完成预算100%。决算数等于预算数的主要原因是按照年初预算完成本年度支出，决算数来源于实际支出。</w:t>
      </w:r>
    </w:p>
    <w:p w14:paraId="3350878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12.城乡社区支出（类）城乡社区管理事务（款）其他城乡社区管理事务支出（项）：支出决算为228.52万元，完成预算100%。决算数等于预算数的主要原因是按照年初预算完成本年度支出，决算数来源于实际支出。</w:t>
      </w:r>
    </w:p>
    <w:p w14:paraId="01C5F67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13.城乡社区支出（类）城乡社区规划与管理（款）城乡社区规划与管理（项）：支出决算为7.90万元，完成预算100%。决算数等于预算数的主要原因是按照年初预算完成本年度支出，决算数来源于实际支出。</w:t>
      </w:r>
    </w:p>
    <w:p w14:paraId="6DD62C4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14.城乡社区支出（类）城乡社区公共设施（款）小城镇基础设施建设（项）：支出决算为1149.96万元，完成预算100%。决算数等于预算数的主要原因是按照年初预算完成本年度支出，决算数来源于实际支出。</w:t>
      </w:r>
    </w:p>
    <w:p w14:paraId="041FA63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15.城乡社区支出（类）城乡社区公共设施（款）其他城乡社区公共设施支出（项）：支出决算为17661.88万元，完成预算100%。决算数等于预算数的主要原因是按照年初预算完成本年度支出，决算数来源于实际支出。</w:t>
      </w:r>
    </w:p>
    <w:p w14:paraId="7F83B76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16.城乡社区支出（类）其他城乡社区支出（款）其他城乡社区支出（项）：支出决算为1334.85万元，完成预算100%。决算数等于预算数的主要原因是按照年初预算完成本年度支出，决算数来源于实际支出。</w:t>
      </w:r>
    </w:p>
    <w:p w14:paraId="08CFA4C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17.农林水支出（类）巩固拓展脱贫攻坚成果衔接乡村振兴（款）农村基础设施建设（项）：支出决算为424.83万元，完成预算100%。决算数等于预算数的主要原因是按照年初预算完成本年度支出，决算数来源于实际支出。</w:t>
      </w:r>
    </w:p>
    <w:p w14:paraId="0745AF7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18.农林水支出（类）巩固拓展脱贫攻坚成果衔接乡村振兴（款）生产发展（项）：支出决算为2850.48万元，完成预算100%。决算数等于预算数的主要原因是按照年初预算完成本年度支出，决算数来源于实际支出。</w:t>
      </w:r>
    </w:p>
    <w:p w14:paraId="4BC15B1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19.住房保障支出（类）保障性安居工程支出（款）农村危房改造（项）：支出决算为31.56万元，完成预算100%。决算数等于预算数的主要原因是按照年初预算完成本年度支出，决算数来源于实际支出。</w:t>
      </w:r>
    </w:p>
    <w:p w14:paraId="09BB183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20.住房保障支出（类）保障性安居工程支出（款）老旧小区改造（项）：支出决算为353.34万元，完成预算100%。决算数等于预算数的主要原因是按照年初预算完成本年度支出，决算数来源于实际支出。</w:t>
      </w:r>
    </w:p>
    <w:p w14:paraId="052D58A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21.住房保障支出（类）住房改革支出（款）住房公积金（项）：支出决算为52.32万元，完成预算100%。决算数等于预算数的主要原因是按照年初预算完成本年度支出，决算数来源于实际支出。</w:t>
      </w:r>
    </w:p>
    <w:p w14:paraId="079B9F4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37DBF60">
      <w:pPr>
        <w:tabs>
          <w:tab w:val="right" w:pos="8306"/>
        </w:tabs>
        <w:spacing w:line="600" w:lineRule="exact"/>
        <w:ind w:firstLine="640"/>
        <w:outlineLvl w:val="1"/>
        <w:rPr>
          <w:rStyle w:val="14"/>
          <w:rFonts w:ascii="Times New Roman" w:hAnsi="Times New Roman"/>
          <w:color w:val="auto"/>
          <w:highlight w:val="none"/>
        </w:rPr>
      </w:pPr>
      <w:bookmarkStart w:id="30" w:name="_Toc15396608"/>
      <w:bookmarkStart w:id="31"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14"/>
          <w:rFonts w:hint="eastAsia" w:ascii="Times New Roman" w:hAnsi="Times New Roman" w:eastAsia="黑体"/>
          <w:b w:val="0"/>
          <w:color w:val="auto"/>
          <w:highlight w:val="none"/>
        </w:rPr>
        <w:t>般公共预算财政拨款基本支出决算情况说明</w:t>
      </w:r>
      <w:bookmarkEnd w:id="30"/>
      <w:bookmarkEnd w:id="31"/>
      <w:r>
        <w:rPr>
          <w:rStyle w:val="14"/>
          <w:rFonts w:ascii="Times New Roman" w:hAnsi="Times New Roman" w:eastAsia="黑体"/>
          <w:b w:val="0"/>
          <w:color w:val="auto"/>
          <w:highlight w:val="none"/>
        </w:rPr>
        <w:tab/>
      </w:r>
    </w:p>
    <w:p w14:paraId="68DD113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730.61</w:t>
      </w:r>
      <w:r>
        <w:rPr>
          <w:rFonts w:hint="eastAsia" w:ascii="Times New Roman" w:hAnsi="Times New Roman" w:eastAsia="仿宋_GB2312" w:cs="仿宋_GB2312"/>
          <w:color w:val="auto"/>
          <w:kern w:val="2"/>
          <w:sz w:val="32"/>
          <w:szCs w:val="32"/>
          <w:highlight w:val="none"/>
          <w:lang w:val="en-US" w:eastAsia="zh-CN" w:bidi="ar-SA"/>
        </w:rPr>
        <w:t>万元，其中：</w:t>
      </w:r>
    </w:p>
    <w:p w14:paraId="33C6935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682.97</w:t>
      </w:r>
      <w:r>
        <w:rPr>
          <w:rFonts w:hint="eastAsia" w:ascii="Times New Roman" w:hAnsi="Times New Roman" w:eastAsia="仿宋_GB2312" w:cs="仿宋_GB2312"/>
          <w:color w:val="auto"/>
          <w:kern w:val="2"/>
          <w:sz w:val="32"/>
          <w:szCs w:val="32"/>
          <w:highlight w:val="none"/>
          <w:lang w:val="en-US" w:eastAsia="zh-CN" w:bidi="ar-SA"/>
        </w:rPr>
        <w:t>万元，主要包括：基本工资130.28万元、津贴补贴157.89万元、奖金98.86万元、绩效工资82.17万元、机关事业单位基本养老保险缴费66.44万元、职业年金缴费31.45万元、职工基本医疗保险缴费29.77万元、公务员医疗补助缴费6.48万元、其他社会保障缴费1.77万元、医疗费2.15万元、住房公积金52.32万元、生活补助22.93万元、医疗费补助0.46万元、奖励金0万元。</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47.63</w:t>
      </w:r>
      <w:r>
        <w:rPr>
          <w:rFonts w:hint="eastAsia" w:ascii="Times New Roman" w:hAnsi="Times New Roman" w:eastAsia="仿宋_GB2312" w:cs="仿宋_GB2312"/>
          <w:color w:val="auto"/>
          <w:kern w:val="2"/>
          <w:sz w:val="32"/>
          <w:szCs w:val="32"/>
          <w:highlight w:val="none"/>
          <w:lang w:val="en-US" w:eastAsia="zh-CN" w:bidi="ar-SA"/>
        </w:rPr>
        <w:t>万元，主要包括：办公费9.06万元、水费0.40万元、电费1.24万元、邮电费0.50万元、差旅费5.10万元、工会经费5.44万元、福利费10.03万元、公务用车运行维护费10.00万元、维修费0.20万元、劳务费1.20万元、其他商品和服务支出4.47万元。</w:t>
      </w:r>
    </w:p>
    <w:p w14:paraId="03D81C35">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（注：仅罗列本部门实际支出涉及的经济分类科目）</w:t>
      </w:r>
    </w:p>
    <w:p w14:paraId="79617F7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6F340A4">
      <w:pPr>
        <w:spacing w:line="600" w:lineRule="exact"/>
        <w:ind w:firstLine="640"/>
        <w:outlineLvl w:val="1"/>
        <w:rPr>
          <w:rStyle w:val="14"/>
          <w:rFonts w:ascii="Times New Roman" w:hAnsi="Times New Roman" w:eastAsia="黑体"/>
          <w:b w:val="0"/>
          <w:color w:val="auto"/>
          <w:highlight w:val="none"/>
        </w:rPr>
      </w:pPr>
      <w:bookmarkStart w:id="32" w:name="_Toc15377215"/>
      <w:bookmarkStart w:id="33" w:name="_Toc15396609"/>
      <w:r>
        <w:rPr>
          <w:rFonts w:hint="eastAsia" w:ascii="Times New Roman" w:hAnsi="Times New Roman" w:eastAsia="黑体"/>
          <w:color w:val="auto"/>
          <w:sz w:val="32"/>
          <w:szCs w:val="32"/>
          <w:highlight w:val="none"/>
        </w:rPr>
        <w:t>七、</w:t>
      </w:r>
      <w:r>
        <w:rPr>
          <w:rStyle w:val="14"/>
          <w:rFonts w:hint="eastAsia" w:ascii="Times New Roman" w:hAnsi="Times New Roman" w:eastAsia="黑体"/>
          <w:b w:val="0"/>
          <w:color w:val="auto"/>
          <w:highlight w:val="none"/>
        </w:rPr>
        <w:t>财政拨款</w:t>
      </w:r>
      <w:r>
        <w:rPr>
          <w:rStyle w:val="14"/>
          <w:rFonts w:hint="eastAsia" w:ascii="Times New Roman" w:hAnsi="Times New Roman" w:eastAsia="黑体"/>
          <w:color w:val="auto"/>
          <w:highlight w:val="none"/>
        </w:rPr>
        <w:t>“</w:t>
      </w:r>
      <w:r>
        <w:rPr>
          <w:rStyle w:val="14"/>
          <w:rFonts w:hint="eastAsia" w:ascii="Times New Roman" w:hAnsi="Times New Roman" w:eastAsia="黑体"/>
          <w:b w:val="0"/>
          <w:color w:val="auto"/>
          <w:highlight w:val="none"/>
        </w:rPr>
        <w:t>三公”经费支出决算情况说明</w:t>
      </w:r>
      <w:bookmarkEnd w:id="32"/>
      <w:bookmarkEnd w:id="33"/>
    </w:p>
    <w:p w14:paraId="669E234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4"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4"/>
    </w:p>
    <w:p w14:paraId="3E671162">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10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%，较上年度增加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%。决算数</w:t>
      </w:r>
      <w:r>
        <w:rPr>
          <w:rFonts w:hint="eastAsia" w:eastAsia="仿宋_GB2312" w:cs="仿宋_GB2312"/>
          <w:color w:val="auto"/>
          <w:kern w:val="2"/>
          <w:sz w:val="32"/>
          <w:szCs w:val="32"/>
          <w:highlight w:val="none"/>
          <w:lang w:val="en-US" w:eastAsia="zh-CN" w:bidi="ar-SA"/>
        </w:rPr>
        <w:t>与</w:t>
      </w:r>
      <w:r>
        <w:rPr>
          <w:rFonts w:hint="eastAsia" w:ascii="Times New Roman" w:hAnsi="Times New Roman" w:eastAsia="仿宋_GB2312" w:cs="仿宋_GB2312"/>
          <w:color w:val="auto"/>
          <w:kern w:val="2"/>
          <w:sz w:val="32"/>
          <w:szCs w:val="32"/>
          <w:highlight w:val="none"/>
          <w:lang w:val="en-US" w:eastAsia="zh-CN" w:bidi="ar-SA"/>
        </w:rPr>
        <w:t>预算数持平</w:t>
      </w:r>
    </w:p>
    <w:p w14:paraId="46F47A1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5"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5"/>
    </w:p>
    <w:p w14:paraId="3DDEE5F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ascii="仿宋_GB2312" w:hAnsi="仿宋_GB2312" w:eastAsia="仿宋_GB2312" w:cs="仿宋_GB2312"/>
          <w:sz w:val="32"/>
          <w:szCs w:val="32"/>
        </w:rPr>
        <w:t>10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14:paraId="1649BE00">
      <w:pPr>
        <w:pStyle w:val="4"/>
        <w:rPr>
          <w:rFonts w:hint="eastAsia"/>
          <w:lang w:val="en-US" w:eastAsia="zh-CN"/>
        </w:rPr>
      </w:pPr>
      <w:r>
        <w:rPr>
          <w:rFonts w:hint="eastAsia"/>
          <w:lang w:val="en-US" w:eastAsia="zh-CN"/>
        </w:rPr>
        <w:drawing>
          <wp:inline distT="0" distB="0" distL="114300" distR="114300">
            <wp:extent cx="5256530" cy="2988310"/>
            <wp:effectExtent l="5080" t="4445" r="15240" b="17145"/>
            <wp:docPr id="14"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1D38C5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14:paraId="1A95DE39">
      <w:pPr>
        <w:numPr>
          <w:ilvl w:val="0"/>
          <w:numId w:val="1"/>
        </w:num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因公出国（境）经费支出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人。因公出国（境）支出决算比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45989A91">
      <w:pPr>
        <w:numPr>
          <w:ilvl w:val="0"/>
          <w:numId w:val="0"/>
        </w:numPr>
        <w:spacing w:line="600" w:lineRule="exact"/>
        <w:ind w:firstLine="643"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10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00E1E0F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环卫车1</w:t>
      </w:r>
      <w:r>
        <w:rPr>
          <w:rFonts w:hint="eastAsia" w:ascii="Times New Roman" w:hAnsi="Times New Roman" w:eastAsia="仿宋_GB2312" w:cs="仿宋_GB2312"/>
          <w:color w:val="auto"/>
          <w:kern w:val="2"/>
          <w:sz w:val="32"/>
          <w:szCs w:val="32"/>
          <w:highlight w:val="none"/>
          <w:lang w:val="en-US" w:eastAsia="zh-CN" w:bidi="ar-SA"/>
        </w:rPr>
        <w:t>辆。</w:t>
      </w:r>
    </w:p>
    <w:p w14:paraId="6D508E2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ascii="仿宋_GB2312" w:hAnsi="仿宋_GB2312" w:eastAsia="仿宋_GB2312" w:cs="仿宋_GB2312"/>
          <w:sz w:val="32"/>
          <w:szCs w:val="32"/>
        </w:rPr>
        <w:t>10</w:t>
      </w:r>
      <w:r>
        <w:rPr>
          <w:rFonts w:hint="eastAsia" w:ascii="Times New Roman" w:hAnsi="Times New Roman" w:eastAsia="仿宋_GB2312" w:cs="仿宋_GB2312"/>
          <w:color w:val="auto"/>
          <w:kern w:val="2"/>
          <w:sz w:val="32"/>
          <w:szCs w:val="32"/>
          <w:highlight w:val="none"/>
          <w:lang w:val="en-US" w:eastAsia="zh-CN" w:bidi="ar-SA"/>
        </w:rPr>
        <w:t>万元。主要用于</w:t>
      </w:r>
      <w:r>
        <w:rPr>
          <w:rFonts w:ascii="Times New Roman" w:hAnsi="Times New Roman" w:eastAsia="仿宋"/>
          <w:b w:val="0"/>
          <w:color w:val="000000"/>
          <w:sz w:val="32"/>
        </w:rPr>
        <w:t>城乡建设巡查、项目现场督查、应急处置</w:t>
      </w:r>
      <w:r>
        <w:rPr>
          <w:rFonts w:hint="eastAsia" w:ascii="Times New Roman" w:hAnsi="Times New Roman" w:eastAsia="仿宋"/>
          <w:b w:val="0"/>
          <w:color w:val="000000"/>
          <w:sz w:val="32"/>
          <w:lang w:eastAsia="zh-CN"/>
        </w:rPr>
        <w:t>等</w:t>
      </w:r>
      <w:r>
        <w:rPr>
          <w:rFonts w:hint="eastAsia" w:ascii="Times New Roman" w:hAnsi="Times New Roman" w:eastAsia="仿宋_GB2312" w:cs="仿宋_GB2312"/>
          <w:color w:val="auto"/>
          <w:kern w:val="2"/>
          <w:sz w:val="32"/>
          <w:szCs w:val="32"/>
          <w:highlight w:val="none"/>
          <w:lang w:val="en-US" w:eastAsia="zh-CN" w:bidi="ar-SA"/>
        </w:rPr>
        <w:t>所需的公务用车燃料费、维修费、过路过桥费、保险费等支出。</w:t>
      </w:r>
    </w:p>
    <w:p w14:paraId="2EE9FA8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*%。其中：</w:t>
      </w:r>
    </w:p>
    <w:p w14:paraId="7E481D3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万元。国内公务接待</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14:paraId="2E5B5BC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万元，。外事接待</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14:paraId="3B6F666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6" w:name="_Toc15377218"/>
      <w:bookmarkStart w:id="37" w:name="_Toc15396610"/>
    </w:p>
    <w:p w14:paraId="787A9FFB">
      <w:pPr>
        <w:spacing w:line="600" w:lineRule="exact"/>
        <w:ind w:firstLine="640"/>
        <w:outlineLvl w:val="1"/>
        <w:rPr>
          <w:rStyle w:val="14"/>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14"/>
          <w:rFonts w:hint="eastAsia" w:ascii="Times New Roman" w:hAnsi="Times New Roman" w:eastAsia="黑体"/>
          <w:b w:val="0"/>
          <w:color w:val="auto"/>
          <w:highlight w:val="none"/>
        </w:rPr>
        <w:t>政府性基金预算支出决算情况说明</w:t>
      </w:r>
      <w:bookmarkEnd w:id="36"/>
      <w:bookmarkEnd w:id="37"/>
    </w:p>
    <w:p w14:paraId="446C006B">
      <w:pPr>
        <w:numPr>
          <w:ilvl w:val="0"/>
          <w:numId w:val="0"/>
        </w:numPr>
        <w:spacing w:line="600" w:lineRule="exact"/>
        <w:ind w:left="630" w:leftChars="0"/>
        <w:outlineLvl w:val="1"/>
        <w:rPr>
          <w:rFonts w:ascii="Times New Roman" w:hAnsi="Times New Roman" w:eastAsia="仿宋"/>
          <w:b w:val="0"/>
          <w:color w:val="000000"/>
          <w:sz w:val="32"/>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rPr>
        <w:t>8100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19.68</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年度相比，政府性基金预算财政拨款支出增加</w:t>
      </w:r>
      <w:r>
        <w:rPr>
          <w:rFonts w:hint="eastAsia" w:eastAsia="仿宋_GB2312" w:cs="仿宋_GB2312"/>
          <w:color w:val="auto"/>
          <w:kern w:val="2"/>
          <w:sz w:val="32"/>
          <w:szCs w:val="32"/>
          <w:highlight w:val="none"/>
          <w:lang w:val="en-US" w:eastAsia="zh-CN" w:bidi="ar-SA"/>
        </w:rPr>
        <w:t>8100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ascii="Times New Roman" w:hAnsi="Times New Roman" w:eastAsia="仿宋"/>
          <w:b w:val="0"/>
          <w:color w:val="000000"/>
          <w:sz w:val="32"/>
        </w:rPr>
        <w:t>本年度新增专项债券资金，用于其他地方自行试点项目收益专项债券收入安排的支出6800万元、其他政府性基金债务收入安排的支出1300万元，主要用于城乡基础设施建设。</w:t>
      </w:r>
      <w:bookmarkStart w:id="38" w:name="_Toc15396611"/>
      <w:bookmarkStart w:id="39" w:name="_Toc15377219"/>
    </w:p>
    <w:p w14:paraId="1B2CCE02">
      <w:pPr>
        <w:numPr>
          <w:ilvl w:val="0"/>
          <w:numId w:val="0"/>
        </w:numPr>
        <w:spacing w:line="600" w:lineRule="exact"/>
        <w:ind w:left="630" w:leftChars="0" w:firstLine="640" w:firstLineChars="200"/>
        <w:outlineLvl w:val="1"/>
        <w:rPr>
          <w:rStyle w:val="14"/>
          <w:rFonts w:ascii="Times New Roman" w:hAnsi="Times New Roman" w:eastAsia="黑体"/>
          <w:b w:val="0"/>
          <w:color w:val="auto"/>
          <w:highlight w:val="none"/>
        </w:rPr>
      </w:pPr>
      <w:r>
        <w:rPr>
          <w:rStyle w:val="14"/>
          <w:rFonts w:hint="eastAsia" w:ascii="Times New Roman" w:hAnsi="Times New Roman" w:eastAsia="黑体"/>
          <w:b w:val="0"/>
          <w:color w:val="auto"/>
          <w:highlight w:val="none"/>
          <w:lang w:eastAsia="zh-CN"/>
        </w:rPr>
        <w:t>九、</w:t>
      </w:r>
      <w:r>
        <w:rPr>
          <w:rStyle w:val="14"/>
          <w:rFonts w:hint="eastAsia" w:ascii="Times New Roman" w:hAnsi="Times New Roman" w:eastAsia="黑体"/>
          <w:b w:val="0"/>
          <w:color w:val="auto"/>
          <w:highlight w:val="none"/>
        </w:rPr>
        <w:t>国有资本经营预算支出决算情况说明</w:t>
      </w:r>
      <w:bookmarkEnd w:id="38"/>
      <w:bookmarkEnd w:id="39"/>
    </w:p>
    <w:p w14:paraId="44AD38B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，无变化。</w:t>
      </w:r>
    </w:p>
    <w:p w14:paraId="5F76A47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217B78C">
      <w:pPr>
        <w:numPr>
          <w:ilvl w:val="0"/>
          <w:numId w:val="0"/>
        </w:numPr>
        <w:spacing w:line="600" w:lineRule="exact"/>
        <w:ind w:left="630" w:leftChars="0"/>
        <w:outlineLvl w:val="1"/>
        <w:rPr>
          <w:rStyle w:val="14"/>
          <w:rFonts w:hint="eastAsia" w:ascii="Times New Roman" w:hAnsi="Times New Roman" w:eastAsia="黑体"/>
          <w:b w:val="0"/>
          <w:color w:val="auto"/>
          <w:highlight w:val="none"/>
        </w:rPr>
      </w:pPr>
      <w:bookmarkStart w:id="40" w:name="_Toc15396612"/>
      <w:bookmarkStart w:id="41" w:name="_Toc15377221"/>
      <w:r>
        <w:rPr>
          <w:rStyle w:val="14"/>
          <w:rFonts w:hint="eastAsia" w:ascii="Times New Roman" w:hAnsi="Times New Roman" w:eastAsia="黑体"/>
          <w:b w:val="0"/>
          <w:color w:val="auto"/>
          <w:highlight w:val="none"/>
          <w:lang w:eastAsia="zh-CN"/>
        </w:rPr>
        <w:t>十、</w:t>
      </w:r>
      <w:r>
        <w:rPr>
          <w:rStyle w:val="14"/>
          <w:rFonts w:hint="eastAsia" w:ascii="Times New Roman" w:hAnsi="Times New Roman" w:eastAsia="黑体"/>
          <w:b w:val="0"/>
          <w:color w:val="auto"/>
          <w:highlight w:val="none"/>
        </w:rPr>
        <w:t>其他重要事项的情况说明</w:t>
      </w:r>
      <w:bookmarkEnd w:id="40"/>
      <w:bookmarkEnd w:id="41"/>
    </w:p>
    <w:p w14:paraId="06159EC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2" w:name="_Toc15377222"/>
      <w:r>
        <w:rPr>
          <w:rFonts w:hint="eastAsia" w:ascii="Times New Roman" w:hAnsi="Times New Roman" w:eastAsia="楷体_GB2312" w:cs="楷体_GB2312"/>
          <w:b/>
          <w:color w:val="auto"/>
          <w:sz w:val="32"/>
          <w:szCs w:val="32"/>
          <w:highlight w:val="none"/>
        </w:rPr>
        <w:t>（一）机关运行经费支出情况</w:t>
      </w:r>
      <w:bookmarkEnd w:id="42"/>
    </w:p>
    <w:p w14:paraId="1447877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阿坝州若尔盖县住房和城乡建设局</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35.66</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年度减少</w:t>
      </w:r>
      <w:r>
        <w:rPr>
          <w:rFonts w:hint="eastAsia" w:eastAsia="仿宋_GB2312" w:cs="仿宋_GB2312"/>
          <w:color w:val="auto"/>
          <w:kern w:val="2"/>
          <w:sz w:val="32"/>
          <w:szCs w:val="32"/>
          <w:highlight w:val="none"/>
          <w:lang w:val="en-US" w:eastAsia="zh-CN" w:bidi="ar-SA"/>
        </w:rPr>
        <w:t>0.23</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0.64</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厉行勤俭节约，严控机关运行经费开支。</w:t>
      </w:r>
    </w:p>
    <w:p w14:paraId="7604FDB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BAF5FE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3" w:name="_Toc15377223"/>
      <w:r>
        <w:rPr>
          <w:rFonts w:hint="eastAsia" w:ascii="Times New Roman" w:hAnsi="Times New Roman" w:eastAsia="楷体_GB2312" w:cs="楷体_GB2312"/>
          <w:b/>
          <w:color w:val="auto"/>
          <w:sz w:val="32"/>
          <w:szCs w:val="32"/>
          <w:highlight w:val="none"/>
        </w:rPr>
        <w:t>（二）政府采购支出情况</w:t>
      </w:r>
      <w:bookmarkEnd w:id="43"/>
    </w:p>
    <w:p w14:paraId="43AB7CF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阿坝州若尔盖县住房和城乡建设局（本级）</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886.66</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886.66</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ascii="仿宋_GB2312" w:eastAsia="仿宋_GB2312" w:cs="仿宋_GB2312"/>
          <w:sz w:val="32"/>
          <w:szCs w:val="32"/>
          <w:lang w:val="en-US" w:eastAsia="zh-CN" w:bidi="ar-SA"/>
        </w:rPr>
        <w:t>占政府采购支出总额的100%，</w:t>
      </w:r>
      <w:r>
        <w:rPr>
          <w:rFonts w:ascii="Times New Roman" w:hAnsi="Times New Roman" w:eastAsia="仿宋"/>
          <w:b w:val="0"/>
          <w:color w:val="000000"/>
          <w:sz w:val="32"/>
        </w:rPr>
        <w:t>主要用于城乡基础设施建设项目。</w:t>
      </w:r>
      <w:r>
        <w:rPr>
          <w:rFonts w:hint="eastAsia" w:ascii="Times New Roman" w:hAnsi="Times New Roman" w:eastAsia="仿宋_GB2312" w:cs="仿宋_GB2312"/>
          <w:color w:val="auto"/>
          <w:kern w:val="2"/>
          <w:sz w:val="32"/>
          <w:szCs w:val="32"/>
          <w:highlight w:val="none"/>
          <w:lang w:val="en-US" w:eastAsia="zh-CN" w:bidi="ar-SA"/>
        </w:rPr>
        <w:t>政府采购服务支出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万元。授予中小企业合同金额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p>
    <w:p w14:paraId="63E1767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98E216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4" w:name="_Toc15377224"/>
      <w:r>
        <w:rPr>
          <w:rFonts w:hint="eastAsia" w:ascii="Times New Roman" w:hAnsi="Times New Roman" w:eastAsia="楷体_GB2312" w:cs="楷体_GB2312"/>
          <w:b/>
          <w:color w:val="auto"/>
          <w:sz w:val="32"/>
          <w:szCs w:val="32"/>
          <w:highlight w:val="none"/>
        </w:rPr>
        <w:t>（三）国有资产占有使用情况</w:t>
      </w:r>
      <w:bookmarkEnd w:id="44"/>
    </w:p>
    <w:p w14:paraId="608F9B6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阿坝州若尔盖县住房和城乡建设局</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4</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4</w:t>
      </w:r>
      <w:r>
        <w:rPr>
          <w:rFonts w:hint="eastAsia" w:ascii="Times New Roman" w:hAnsi="Times New Roman" w:eastAsia="仿宋_GB2312" w:cs="仿宋_GB2312"/>
          <w:color w:val="auto"/>
          <w:kern w:val="2"/>
          <w:sz w:val="32"/>
          <w:szCs w:val="32"/>
          <w:highlight w:val="none"/>
          <w:lang w:val="en-US" w:eastAsia="zh-CN" w:bidi="ar-SA"/>
        </w:rPr>
        <w:t>辆，其他用车主要是用于</w:t>
      </w:r>
      <w:r>
        <w:rPr>
          <w:rFonts w:ascii="Times New Roman" w:hAnsi="Times New Roman" w:eastAsia="仿宋"/>
          <w:b w:val="0"/>
          <w:color w:val="000000"/>
          <w:sz w:val="32"/>
        </w:rPr>
        <w:t>城乡建设巡查、项目督查、下乡业务工作等</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台（套）。</w:t>
      </w:r>
    </w:p>
    <w:p w14:paraId="1FD80F2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9389BC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3A88E72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ascii="仿宋_GB2312" w:eastAsia="仿宋_GB2312" w:cs="仿宋_GB2312"/>
          <w:color w:val="auto"/>
          <w:kern w:val="2"/>
          <w:sz w:val="32"/>
          <w:szCs w:val="32"/>
          <w:highlight w:val="none"/>
          <w:lang w:val="en-US" w:eastAsia="zh-CN" w:bidi="ar-SA"/>
        </w:rPr>
        <w:t>本单位</w:t>
      </w:r>
      <w:r>
        <w:rPr>
          <w:rFonts w:hint="eastAsia" w:ascii="Times New Roman" w:hAnsi="Times New Roman" w:eastAsia="仿宋_GB2312" w:cs="仿宋_GB2312"/>
          <w:color w:val="auto"/>
          <w:kern w:val="2"/>
          <w:sz w:val="32"/>
          <w:szCs w:val="32"/>
          <w:highlight w:val="none"/>
          <w:lang w:val="en-US" w:eastAsia="zh-CN" w:bidi="ar-SA"/>
        </w:rPr>
        <w:t>在2025年度，组织对若尔盖县集镇供水管网建设项目等</w:t>
      </w:r>
      <w:r>
        <w:rPr>
          <w:rFonts w:hint="eastAsia" w:eastAsia="仿宋_GB2312" w:cs="仿宋_GB2312"/>
          <w:color w:val="auto"/>
          <w:kern w:val="2"/>
          <w:sz w:val="32"/>
          <w:szCs w:val="32"/>
          <w:highlight w:val="none"/>
          <w:lang w:val="en-US" w:eastAsia="zh-CN" w:bidi="ar-SA"/>
        </w:rPr>
        <w:t>62</w:t>
      </w:r>
      <w:r>
        <w:rPr>
          <w:rFonts w:hint="eastAsia" w:ascii="Times New Roman" w:hAnsi="Times New Roman" w:eastAsia="仿宋_GB2312" w:cs="仿宋_GB2312"/>
          <w:color w:val="auto"/>
          <w:kern w:val="2"/>
          <w:sz w:val="32"/>
          <w:szCs w:val="32"/>
          <w:highlight w:val="none"/>
          <w:lang w:val="en-US" w:eastAsia="zh-CN" w:bidi="ar-SA"/>
        </w:rPr>
        <w:t>个项目开展了事前绩效评估，对</w:t>
      </w:r>
      <w:r>
        <w:rPr>
          <w:rFonts w:hint="eastAsia" w:eastAsia="仿宋_GB2312" w:cs="仿宋_GB2312"/>
          <w:color w:val="auto"/>
          <w:kern w:val="2"/>
          <w:sz w:val="32"/>
          <w:szCs w:val="32"/>
          <w:highlight w:val="none"/>
          <w:lang w:val="en-US" w:eastAsia="zh-CN" w:bidi="ar-SA"/>
        </w:rPr>
        <w:t>62</w:t>
      </w:r>
      <w:r>
        <w:rPr>
          <w:rFonts w:hint="eastAsia" w:ascii="Times New Roman" w:hAnsi="Times New Roman" w:eastAsia="仿宋_GB2312" w:cs="仿宋_GB2312"/>
          <w:color w:val="auto"/>
          <w:kern w:val="2"/>
          <w:sz w:val="32"/>
          <w:szCs w:val="32"/>
          <w:highlight w:val="none"/>
          <w:lang w:val="en-US" w:eastAsia="zh-CN" w:bidi="ar-SA"/>
        </w:rPr>
        <w:t>个项目编制了绩效目标</w:t>
      </w:r>
      <w:r>
        <w:rPr>
          <w:rFonts w:hint="eastAsia" w:eastAsia="仿宋_GB2312" w:cs="仿宋_GB2312"/>
          <w:color w:val="auto"/>
          <w:kern w:val="2"/>
          <w:sz w:val="32"/>
          <w:szCs w:val="32"/>
          <w:highlight w:val="none"/>
          <w:lang w:val="en-US" w:eastAsia="zh-CN" w:bidi="ar-SA"/>
        </w:rPr>
        <w:t>。</w:t>
      </w:r>
    </w:p>
    <w:p w14:paraId="11CE852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组织对2025年度一般公共预算、政府性基金预算、国有资本经营预算、社会保险基金预算以及资本资产、债券资金等全面开展绩效自评，形成若尔盖县达扎寺镇供水管网提升改造建设项目部门预算绩效自评报告、若尔盖县达扎寺镇供水管网提升改造建设项目等专项预算项目绩效自评报告，若尔盖县达扎寺镇供水管网提升改造建设项目部门预算绩效自评得分为</w:t>
      </w:r>
      <w:r>
        <w:rPr>
          <w:rFonts w:hint="eastAsia" w:eastAsia="仿宋_GB2312" w:cs="仿宋_GB2312"/>
          <w:color w:val="auto"/>
          <w:kern w:val="2"/>
          <w:sz w:val="32"/>
          <w:szCs w:val="32"/>
          <w:highlight w:val="none"/>
          <w:lang w:val="en-US" w:eastAsia="zh-CN" w:bidi="ar-SA"/>
        </w:rPr>
        <w:t>96</w:t>
      </w:r>
      <w:r>
        <w:rPr>
          <w:rFonts w:hint="eastAsia" w:ascii="Times New Roman" w:hAnsi="Times New Roman" w:eastAsia="仿宋_GB2312" w:cs="仿宋_GB2312"/>
          <w:color w:val="auto"/>
          <w:kern w:val="2"/>
          <w:sz w:val="32"/>
          <w:szCs w:val="32"/>
          <w:highlight w:val="none"/>
          <w:lang w:val="en-US" w:eastAsia="zh-CN" w:bidi="ar-SA"/>
        </w:rPr>
        <w:t>分，绩效自评综述</w:t>
      </w:r>
      <w:r>
        <w:rPr>
          <w:rFonts w:hint="eastAsia" w:ascii="仿宋_GB2312" w:eastAsia="仿宋_GB2312" w:cs="仿宋_GB2312"/>
          <w:color w:val="auto"/>
          <w:kern w:val="2"/>
          <w:sz w:val="32"/>
          <w:szCs w:val="32"/>
          <w:highlight w:val="none"/>
          <w:lang w:val="en-US" w:eastAsia="zh-CN" w:bidi="ar-SA"/>
        </w:rPr>
        <w:t>整体绩效评价较好</w:t>
      </w:r>
      <w:r>
        <w:rPr>
          <w:rFonts w:hint="eastAsia" w:ascii="Times New Roman" w:hAnsi="Times New Roman" w:eastAsia="仿宋_GB2312" w:cs="仿宋_GB2312"/>
          <w:color w:val="auto"/>
          <w:kern w:val="2"/>
          <w:sz w:val="32"/>
          <w:szCs w:val="32"/>
          <w:highlight w:val="none"/>
          <w:lang w:val="en-US" w:eastAsia="zh-CN" w:bidi="ar-SA"/>
        </w:rPr>
        <w:t>。</w:t>
      </w:r>
    </w:p>
    <w:p w14:paraId="3A6E8CB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29EE67F">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5" w:name="_Toc15396613"/>
      <w:bookmarkStart w:id="46" w:name="_Toc15377225"/>
    </w:p>
    <w:p w14:paraId="27517107">
      <w:pPr>
        <w:numPr>
          <w:ilvl w:val="0"/>
          <w:numId w:val="0"/>
        </w:numPr>
        <w:spacing w:line="600" w:lineRule="exact"/>
        <w:jc w:val="center"/>
        <w:outlineLvl w:val="0"/>
        <w:rPr>
          <w:rFonts w:hint="eastAsia" w:ascii="Times New Roman" w:hAnsi="Times New Roman" w:eastAsia="黑体"/>
          <w:color w:val="auto"/>
          <w:sz w:val="44"/>
          <w:szCs w:val="44"/>
          <w:highlight w:val="none"/>
        </w:rPr>
      </w:pPr>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5"/>
      <w:bookmarkEnd w:id="46"/>
    </w:p>
    <w:p w14:paraId="45AE8C7D">
      <w:pPr>
        <w:spacing w:line="600" w:lineRule="exact"/>
        <w:jc w:val="left"/>
        <w:rPr>
          <w:rFonts w:ascii="Times New Roman" w:hAnsi="Times New Roman"/>
          <w:b/>
          <w:color w:val="auto"/>
          <w:sz w:val="44"/>
          <w:szCs w:val="44"/>
          <w:highlight w:val="none"/>
        </w:rPr>
      </w:pPr>
    </w:p>
    <w:p w14:paraId="0E865BD3">
      <w:pPr>
        <w:spacing w:before="0" w:after="0" w:line="560" w:lineRule="exact"/>
        <w:ind w:firstLine="640" w:firstLineChars="200"/>
      </w:pPr>
      <w:r>
        <w:rPr>
          <w:rFonts w:ascii="Times New Roman" w:hAnsi="Times New Roman" w:eastAsia="仿宋"/>
          <w:b w:val="0"/>
          <w:color w:val="000000"/>
          <w:sz w:val="32"/>
        </w:rPr>
        <w:t>1.财政拨款收入：指单位从同级财政部门取得的财政预算资金。</w:t>
      </w:r>
    </w:p>
    <w:p w14:paraId="7036AC78">
      <w:pPr>
        <w:spacing w:before="0" w:after="0" w:line="560" w:lineRule="exact"/>
        <w:ind w:firstLine="640" w:firstLineChars="200"/>
      </w:pPr>
      <w:r>
        <w:rPr>
          <w:rFonts w:ascii="Times New Roman" w:hAnsi="Times New Roman" w:eastAsia="仿宋"/>
          <w:b w:val="0"/>
          <w:color w:val="000000"/>
          <w:sz w:val="32"/>
        </w:rPr>
        <w:t>2.事业收入：指事业单位开展专业业务活动及辅助活动取得的收入。</w:t>
      </w:r>
    </w:p>
    <w:p w14:paraId="711FEFAF">
      <w:pPr>
        <w:spacing w:before="0" w:after="0" w:line="560" w:lineRule="exact"/>
        <w:ind w:firstLine="640" w:firstLineChars="200"/>
      </w:pPr>
      <w:r>
        <w:rPr>
          <w:rFonts w:ascii="Times New Roman" w:hAnsi="Times New Roman" w:eastAsia="仿宋"/>
          <w:b w:val="0"/>
          <w:color w:val="000000"/>
          <w:sz w:val="32"/>
        </w:rPr>
        <w:t>3.经营收入：指事业单位在专业业务活动及其辅助活动之外开展非独立核算经营活动取得的收入。</w:t>
      </w:r>
    </w:p>
    <w:p w14:paraId="1DA3799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ascii="Times New Roman" w:hAnsi="Times New Roman" w:eastAsia="仿宋"/>
          <w:b w:val="0"/>
          <w:color w:val="000000"/>
          <w:sz w:val="32"/>
        </w:rPr>
        <w:t>4.其他收入：指单位取得的除上述收入以外的各项收入。</w:t>
      </w:r>
      <w:r>
        <w:rPr>
          <w:rFonts w:hint="eastAsia" w:ascii="Times New Roman" w:hAnsi="Times New Roman" w:eastAsia="仿宋_GB2312" w:cs="仿宋_GB2312"/>
          <w:color w:val="auto"/>
          <w:kern w:val="2"/>
          <w:sz w:val="32"/>
          <w:szCs w:val="32"/>
          <w:highlight w:val="none"/>
          <w:lang w:val="en-US" w:eastAsia="zh-CN" w:bidi="ar-SA"/>
        </w:rPr>
        <w:t xml:space="preserve"> </w:t>
      </w:r>
    </w:p>
    <w:p w14:paraId="20D6340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081192A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14:paraId="6FCD9C3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5010E8E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14:paraId="47D6A871">
      <w:pPr>
        <w:pStyle w:val="16"/>
        <w:pageBreakBefore w:val="0"/>
        <w:widowControl w:val="0"/>
        <w:kinsoku/>
        <w:wordWrap/>
        <w:overflowPunct/>
        <w:topLinePunct w:val="0"/>
        <w:autoSpaceDE w:val="0"/>
        <w:autoSpaceDN w:val="0"/>
        <w:bidi w:val="0"/>
        <w:adjustRightInd w:val="0"/>
        <w:snapToGrid/>
        <w:spacing w:line="540" w:lineRule="exact"/>
        <w:ind w:firstLine="640" w:firstLineChars="200"/>
        <w:textAlignment w:val="auto"/>
        <w:rPr>
          <w:rFonts w:hint="eastAsia" w:ascii="仿宋_GB2312" w:eastAsia="仿宋_GB2312"/>
          <w:sz w:val="32"/>
          <w:szCs w:val="32"/>
          <w:lang w:eastAsia="zh-CN"/>
        </w:rPr>
      </w:pPr>
      <w:r>
        <w:rPr>
          <w:rFonts w:hint="eastAsia" w:ascii="仿宋_GB2312" w:eastAsia="仿宋_GB2312" w:cs="黑体"/>
          <w:color w:val="auto"/>
          <w:sz w:val="32"/>
          <w:szCs w:val="32"/>
          <w:lang w:val="en-US" w:eastAsia="zh-CN" w:bidi="ar-SA"/>
        </w:rPr>
        <w:t>9.</w:t>
      </w:r>
      <w:r>
        <w:rPr>
          <w:rFonts w:hint="eastAsia" w:ascii="仿宋_GB2312" w:eastAsia="仿宋_GB2312"/>
          <w:sz w:val="32"/>
          <w:szCs w:val="32"/>
        </w:rPr>
        <w:t>一般公共服务</w:t>
      </w:r>
      <w:r>
        <w:rPr>
          <w:rFonts w:hint="eastAsia" w:ascii="仿宋_GB2312" w:eastAsia="仿宋_GB2312"/>
          <w:sz w:val="32"/>
          <w:szCs w:val="32"/>
          <w:lang w:val="en-US" w:eastAsia="zh-CN"/>
        </w:rPr>
        <w:t>201</w:t>
      </w:r>
      <w:r>
        <w:rPr>
          <w:rFonts w:hint="eastAsia" w:ascii="仿宋_GB2312" w:eastAsia="仿宋_GB2312"/>
          <w:sz w:val="32"/>
          <w:szCs w:val="32"/>
        </w:rPr>
        <w:t>（类）</w:t>
      </w:r>
      <w:r>
        <w:rPr>
          <w:rFonts w:hint="eastAsia" w:ascii="仿宋_GB2312" w:eastAsia="仿宋_GB2312"/>
          <w:sz w:val="32"/>
          <w:szCs w:val="32"/>
          <w:lang w:val="en-US" w:eastAsia="zh-CN"/>
        </w:rPr>
        <w:t>03</w:t>
      </w:r>
      <w:r>
        <w:rPr>
          <w:rFonts w:hint="eastAsia" w:ascii="仿宋_GB2312" w:eastAsia="仿宋_GB2312"/>
          <w:sz w:val="32"/>
          <w:szCs w:val="32"/>
        </w:rPr>
        <w:t>（款）</w:t>
      </w:r>
      <w:r>
        <w:rPr>
          <w:rFonts w:hint="eastAsia" w:ascii="仿宋_GB2312" w:eastAsia="仿宋_GB2312"/>
          <w:sz w:val="32"/>
          <w:szCs w:val="32"/>
          <w:lang w:val="en-US" w:eastAsia="zh-CN"/>
        </w:rPr>
        <w:t>01</w:t>
      </w:r>
      <w:r>
        <w:rPr>
          <w:rFonts w:hint="eastAsia" w:ascii="仿宋_GB2312" w:eastAsia="仿宋_GB2312"/>
          <w:sz w:val="32"/>
          <w:szCs w:val="32"/>
        </w:rPr>
        <w:t>（项）</w:t>
      </w:r>
      <w:r>
        <w:rPr>
          <w:rFonts w:hint="eastAsia" w:ascii="仿宋_GB2312" w:eastAsia="仿宋_GB2312"/>
          <w:sz w:val="32"/>
          <w:szCs w:val="32"/>
          <w:lang w:eastAsia="zh-CN"/>
        </w:rPr>
        <w:t>：指反映行政事业单位的基本支出。</w:t>
      </w:r>
    </w:p>
    <w:p w14:paraId="1FE21BCB">
      <w:pPr>
        <w:pStyle w:val="16"/>
        <w:pageBreakBefore w:val="0"/>
        <w:widowControl w:val="0"/>
        <w:kinsoku/>
        <w:wordWrap/>
        <w:overflowPunct/>
        <w:topLinePunct w:val="0"/>
        <w:autoSpaceDE w:val="0"/>
        <w:autoSpaceDN w:val="0"/>
        <w:bidi w:val="0"/>
        <w:adjustRightInd w:val="0"/>
        <w:snapToGrid/>
        <w:spacing w:line="540" w:lineRule="exact"/>
        <w:ind w:firstLine="640" w:firstLineChars="200"/>
        <w:textAlignment w:val="auto"/>
        <w:rPr>
          <w:rFonts w:hint="eastAsia" w:ascii="仿宋_GB2312" w:eastAsia="仿宋_GB2312"/>
          <w:sz w:val="32"/>
          <w:szCs w:val="32"/>
          <w:lang w:eastAsia="zh-CN"/>
        </w:rPr>
      </w:pPr>
      <w:r>
        <w:rPr>
          <w:rFonts w:hint="eastAsia" w:ascii="仿宋_GB2312" w:eastAsia="仿宋_GB2312"/>
          <w:sz w:val="32"/>
          <w:szCs w:val="32"/>
          <w:lang w:val="en-US" w:eastAsia="zh-CN"/>
        </w:rPr>
        <w:t>10.</w:t>
      </w:r>
      <w:r>
        <w:rPr>
          <w:rFonts w:hint="eastAsia" w:ascii="仿宋_GB2312" w:eastAsia="仿宋_GB2312"/>
          <w:sz w:val="32"/>
          <w:szCs w:val="32"/>
        </w:rPr>
        <w:t>一般公共服务</w:t>
      </w:r>
      <w:r>
        <w:rPr>
          <w:rFonts w:hint="eastAsia" w:ascii="仿宋_GB2312" w:eastAsia="仿宋_GB2312"/>
          <w:sz w:val="32"/>
          <w:szCs w:val="32"/>
          <w:lang w:val="en-US" w:eastAsia="zh-CN"/>
        </w:rPr>
        <w:t>201</w:t>
      </w:r>
      <w:r>
        <w:rPr>
          <w:rFonts w:hint="eastAsia" w:ascii="仿宋_GB2312" w:eastAsia="仿宋_GB2312"/>
          <w:sz w:val="32"/>
          <w:szCs w:val="32"/>
        </w:rPr>
        <w:t>（类）</w:t>
      </w:r>
      <w:r>
        <w:rPr>
          <w:rFonts w:hint="eastAsia" w:ascii="仿宋_GB2312" w:eastAsia="仿宋_GB2312"/>
          <w:sz w:val="32"/>
          <w:szCs w:val="32"/>
          <w:lang w:val="en-US" w:eastAsia="zh-CN"/>
        </w:rPr>
        <w:t>03</w:t>
      </w:r>
      <w:r>
        <w:rPr>
          <w:rFonts w:hint="eastAsia" w:ascii="仿宋_GB2312" w:eastAsia="仿宋_GB2312"/>
          <w:sz w:val="32"/>
          <w:szCs w:val="32"/>
        </w:rPr>
        <w:t>（款）</w:t>
      </w:r>
      <w:r>
        <w:rPr>
          <w:rFonts w:hint="eastAsia" w:ascii="仿宋_GB2312" w:eastAsia="仿宋_GB2312"/>
          <w:sz w:val="32"/>
          <w:szCs w:val="32"/>
          <w:lang w:val="en-US" w:eastAsia="zh-CN"/>
        </w:rPr>
        <w:t>02</w:t>
      </w:r>
      <w:r>
        <w:rPr>
          <w:rFonts w:hint="eastAsia" w:ascii="仿宋_GB2312" w:eastAsia="仿宋_GB2312"/>
          <w:sz w:val="32"/>
          <w:szCs w:val="32"/>
        </w:rPr>
        <w:t>（项）</w:t>
      </w:r>
      <w:r>
        <w:rPr>
          <w:rFonts w:hint="eastAsia" w:ascii="仿宋_GB2312" w:eastAsia="仿宋_GB2312"/>
          <w:sz w:val="32"/>
          <w:szCs w:val="32"/>
          <w:lang w:eastAsia="zh-CN"/>
        </w:rPr>
        <w:t>：指反映行政事业单位未单独设置项级科目的其他项目支出。</w:t>
      </w:r>
    </w:p>
    <w:p w14:paraId="5FCAD8CA">
      <w:pPr>
        <w:pStyle w:val="16"/>
        <w:pageBreakBefore w:val="0"/>
        <w:widowControl w:val="0"/>
        <w:kinsoku/>
        <w:wordWrap/>
        <w:overflowPunct/>
        <w:topLinePunct w:val="0"/>
        <w:autoSpaceDE w:val="0"/>
        <w:autoSpaceDN w:val="0"/>
        <w:bidi w:val="0"/>
        <w:adjustRightInd w:val="0"/>
        <w:snapToGrid/>
        <w:spacing w:line="540" w:lineRule="exact"/>
        <w:ind w:firstLine="640" w:firstLineChars="200"/>
        <w:textAlignment w:val="auto"/>
        <w:rPr>
          <w:rFonts w:hint="eastAsia" w:ascii="仿宋_GB2312" w:eastAsia="仿宋_GB2312"/>
          <w:sz w:val="32"/>
          <w:szCs w:val="32"/>
          <w:lang w:eastAsia="zh-CN"/>
        </w:rPr>
      </w:pPr>
      <w:r>
        <w:rPr>
          <w:rFonts w:hint="eastAsia" w:ascii="仿宋_GB2312" w:eastAsia="仿宋_GB2312"/>
          <w:sz w:val="32"/>
          <w:szCs w:val="32"/>
          <w:lang w:val="en-US" w:eastAsia="zh-CN"/>
        </w:rPr>
        <w:t>11.</w:t>
      </w:r>
      <w:r>
        <w:rPr>
          <w:rFonts w:hint="eastAsia" w:ascii="仿宋_GB2312" w:eastAsia="仿宋_GB2312"/>
          <w:sz w:val="32"/>
          <w:szCs w:val="32"/>
        </w:rPr>
        <w:t>一般公共服务</w:t>
      </w:r>
      <w:r>
        <w:rPr>
          <w:rFonts w:hint="eastAsia" w:ascii="仿宋_GB2312" w:eastAsia="仿宋_GB2312"/>
          <w:sz w:val="32"/>
          <w:szCs w:val="32"/>
          <w:lang w:val="en-US" w:eastAsia="zh-CN"/>
        </w:rPr>
        <w:t>201</w:t>
      </w:r>
      <w:r>
        <w:rPr>
          <w:rFonts w:hint="eastAsia" w:ascii="仿宋_GB2312" w:eastAsia="仿宋_GB2312"/>
          <w:sz w:val="32"/>
          <w:szCs w:val="32"/>
        </w:rPr>
        <w:t>（类）</w:t>
      </w:r>
      <w:r>
        <w:rPr>
          <w:rFonts w:hint="eastAsia" w:ascii="仿宋_GB2312" w:eastAsia="仿宋_GB2312"/>
          <w:sz w:val="32"/>
          <w:szCs w:val="32"/>
          <w:lang w:val="en-US" w:eastAsia="zh-CN"/>
        </w:rPr>
        <w:t>03</w:t>
      </w:r>
      <w:r>
        <w:rPr>
          <w:rFonts w:hint="eastAsia" w:ascii="仿宋_GB2312" w:eastAsia="仿宋_GB2312"/>
          <w:sz w:val="32"/>
          <w:szCs w:val="32"/>
        </w:rPr>
        <w:t>（款）</w:t>
      </w:r>
      <w:r>
        <w:rPr>
          <w:rFonts w:hint="eastAsia" w:ascii="仿宋_GB2312" w:eastAsia="仿宋_GB2312"/>
          <w:sz w:val="32"/>
          <w:szCs w:val="32"/>
          <w:lang w:val="en-US" w:eastAsia="zh-CN"/>
        </w:rPr>
        <w:t>50</w:t>
      </w:r>
      <w:r>
        <w:rPr>
          <w:rFonts w:hint="eastAsia" w:ascii="仿宋_GB2312" w:eastAsia="仿宋_GB2312"/>
          <w:sz w:val="32"/>
          <w:szCs w:val="32"/>
        </w:rPr>
        <w:t>（项）</w:t>
      </w:r>
      <w:r>
        <w:rPr>
          <w:rFonts w:hint="eastAsia" w:ascii="仿宋_GB2312" w:eastAsia="仿宋_GB2312"/>
          <w:sz w:val="32"/>
          <w:szCs w:val="32"/>
          <w:lang w:eastAsia="zh-CN"/>
        </w:rPr>
        <w:t>：指反映事业单位的基本支出，不包括行政单位后勤服务中心、医务室等附属事业单位。</w:t>
      </w:r>
    </w:p>
    <w:p w14:paraId="3151F2A3">
      <w:pPr>
        <w:pStyle w:val="16"/>
        <w:pageBreakBefore w:val="0"/>
        <w:widowControl w:val="0"/>
        <w:kinsoku/>
        <w:wordWrap/>
        <w:overflowPunct/>
        <w:topLinePunct w:val="0"/>
        <w:autoSpaceDE w:val="0"/>
        <w:autoSpaceDN w:val="0"/>
        <w:bidi w:val="0"/>
        <w:adjustRightInd w:val="0"/>
        <w:snapToGrid/>
        <w:spacing w:line="540" w:lineRule="exact"/>
        <w:ind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12.</w:t>
      </w:r>
      <w:r>
        <w:rPr>
          <w:rFonts w:hint="eastAsia" w:ascii="仿宋_GB2312" w:eastAsia="仿宋_GB2312"/>
          <w:sz w:val="32"/>
          <w:szCs w:val="32"/>
        </w:rPr>
        <w:t>一般公共服务</w:t>
      </w:r>
      <w:r>
        <w:rPr>
          <w:rFonts w:hint="eastAsia" w:ascii="仿宋_GB2312" w:eastAsia="仿宋_GB2312"/>
          <w:sz w:val="32"/>
          <w:szCs w:val="32"/>
          <w:lang w:val="en-US" w:eastAsia="zh-CN"/>
        </w:rPr>
        <w:t>201</w:t>
      </w:r>
      <w:r>
        <w:rPr>
          <w:rFonts w:hint="eastAsia" w:ascii="仿宋_GB2312" w:eastAsia="仿宋_GB2312"/>
          <w:sz w:val="32"/>
          <w:szCs w:val="32"/>
        </w:rPr>
        <w:t>（类）</w:t>
      </w:r>
      <w:r>
        <w:rPr>
          <w:rFonts w:hint="eastAsia" w:ascii="仿宋_GB2312" w:eastAsia="仿宋_GB2312"/>
          <w:sz w:val="32"/>
          <w:szCs w:val="32"/>
          <w:lang w:val="en-US" w:eastAsia="zh-CN"/>
        </w:rPr>
        <w:t>34</w:t>
      </w:r>
      <w:r>
        <w:rPr>
          <w:rFonts w:hint="eastAsia" w:ascii="仿宋_GB2312" w:eastAsia="仿宋_GB2312"/>
          <w:sz w:val="32"/>
          <w:szCs w:val="32"/>
        </w:rPr>
        <w:t>（款）</w:t>
      </w:r>
      <w:r>
        <w:rPr>
          <w:rFonts w:hint="eastAsia" w:ascii="仿宋_GB2312" w:eastAsia="仿宋_GB2312"/>
          <w:sz w:val="32"/>
          <w:szCs w:val="32"/>
          <w:lang w:val="en-US" w:eastAsia="zh-CN"/>
        </w:rPr>
        <w:t>04</w:t>
      </w:r>
      <w:r>
        <w:rPr>
          <w:rFonts w:hint="eastAsia" w:ascii="仿宋_GB2312" w:eastAsia="仿宋_GB2312"/>
          <w:sz w:val="32"/>
          <w:szCs w:val="32"/>
        </w:rPr>
        <w:t>（项）</w:t>
      </w:r>
      <w:r>
        <w:rPr>
          <w:rFonts w:hint="eastAsia" w:ascii="仿宋_GB2312" w:eastAsia="仿宋_GB2312"/>
          <w:sz w:val="32"/>
          <w:szCs w:val="32"/>
          <w:lang w:eastAsia="zh-CN"/>
        </w:rPr>
        <w:t>：指反映用于宗教事务管理方面的支出。</w:t>
      </w:r>
    </w:p>
    <w:p w14:paraId="3AF8FAAE">
      <w:pPr>
        <w:pStyle w:val="16"/>
        <w:pageBreakBefore w:val="0"/>
        <w:widowControl w:val="0"/>
        <w:kinsoku/>
        <w:wordWrap/>
        <w:overflowPunct/>
        <w:topLinePunct w:val="0"/>
        <w:autoSpaceDE w:val="0"/>
        <w:autoSpaceDN w:val="0"/>
        <w:bidi w:val="0"/>
        <w:adjustRightInd w:val="0"/>
        <w:snapToGrid/>
        <w:spacing w:line="540" w:lineRule="exact"/>
        <w:ind w:firstLine="640" w:firstLineChars="200"/>
        <w:textAlignment w:val="auto"/>
        <w:rPr>
          <w:rFonts w:hint="eastAsia" w:ascii="仿宋_GB2312" w:eastAsia="仿宋_GB2312"/>
          <w:sz w:val="32"/>
          <w:szCs w:val="32"/>
          <w:lang w:eastAsia="zh-CN"/>
        </w:rPr>
      </w:pPr>
      <w:r>
        <w:rPr>
          <w:rFonts w:hint="eastAsia" w:ascii="仿宋_GB2312" w:eastAsia="仿宋_GB2312"/>
          <w:sz w:val="32"/>
          <w:szCs w:val="32"/>
          <w:lang w:val="en-US" w:eastAsia="zh-CN"/>
        </w:rPr>
        <w:t>13.</w:t>
      </w:r>
      <w:r>
        <w:rPr>
          <w:rFonts w:hint="eastAsia" w:ascii="仿宋_GB2312" w:eastAsia="仿宋_GB2312"/>
          <w:sz w:val="32"/>
          <w:szCs w:val="32"/>
        </w:rPr>
        <w:t>公共安全</w:t>
      </w:r>
      <w:r>
        <w:rPr>
          <w:rFonts w:hint="eastAsia" w:ascii="仿宋_GB2312" w:eastAsia="仿宋_GB2312"/>
          <w:sz w:val="32"/>
          <w:szCs w:val="32"/>
          <w:lang w:val="en-US" w:eastAsia="zh-CN"/>
        </w:rPr>
        <w:t>204</w:t>
      </w:r>
      <w:r>
        <w:rPr>
          <w:rFonts w:hint="eastAsia" w:ascii="仿宋_GB2312" w:eastAsia="仿宋_GB2312"/>
          <w:sz w:val="32"/>
          <w:szCs w:val="32"/>
        </w:rPr>
        <w:t>（类）</w:t>
      </w:r>
      <w:r>
        <w:rPr>
          <w:rFonts w:hint="eastAsia" w:ascii="仿宋_GB2312" w:eastAsia="仿宋_GB2312"/>
          <w:sz w:val="32"/>
          <w:szCs w:val="32"/>
          <w:lang w:val="en-US" w:eastAsia="zh-CN"/>
        </w:rPr>
        <w:t>99</w:t>
      </w:r>
      <w:r>
        <w:rPr>
          <w:rFonts w:hint="eastAsia" w:ascii="仿宋_GB2312" w:eastAsia="仿宋_GB2312"/>
          <w:sz w:val="32"/>
          <w:szCs w:val="32"/>
        </w:rPr>
        <w:t>（款）</w:t>
      </w:r>
      <w:r>
        <w:rPr>
          <w:rFonts w:hint="eastAsia" w:ascii="仿宋_GB2312" w:eastAsia="仿宋_GB2312"/>
          <w:sz w:val="32"/>
          <w:szCs w:val="32"/>
          <w:lang w:val="en-US" w:eastAsia="zh-CN"/>
        </w:rPr>
        <w:t>99</w:t>
      </w:r>
      <w:r>
        <w:rPr>
          <w:rFonts w:hint="eastAsia" w:ascii="仿宋_GB2312" w:eastAsia="仿宋_GB2312"/>
          <w:sz w:val="32"/>
          <w:szCs w:val="32"/>
        </w:rPr>
        <w:t>（项）：</w:t>
      </w:r>
      <w:r>
        <w:rPr>
          <w:rFonts w:hint="eastAsia" w:ascii="仿宋_GB2312" w:eastAsia="仿宋_GB2312"/>
          <w:sz w:val="32"/>
          <w:szCs w:val="32"/>
          <w:lang w:eastAsia="zh-CN"/>
        </w:rPr>
        <w:t>指反映政府维护社会公共安全方面以外其他用于公共安全方面的支出。</w:t>
      </w:r>
    </w:p>
    <w:p w14:paraId="7C69970A">
      <w:pPr>
        <w:pStyle w:val="16"/>
        <w:pageBreakBefore w:val="0"/>
        <w:widowControl w:val="0"/>
        <w:kinsoku/>
        <w:wordWrap/>
        <w:overflowPunct/>
        <w:topLinePunct w:val="0"/>
        <w:autoSpaceDE w:val="0"/>
        <w:autoSpaceDN w:val="0"/>
        <w:bidi w:val="0"/>
        <w:adjustRightInd w:val="0"/>
        <w:snapToGrid/>
        <w:spacing w:line="540" w:lineRule="exact"/>
        <w:ind w:firstLine="640" w:firstLineChars="200"/>
        <w:textAlignment w:val="auto"/>
        <w:rPr>
          <w:rFonts w:hint="eastAsia" w:ascii="仿宋_GB2312" w:eastAsia="仿宋_GB2312"/>
          <w:sz w:val="32"/>
          <w:szCs w:val="32"/>
          <w:lang w:eastAsia="zh-CN"/>
        </w:rPr>
      </w:pPr>
      <w:r>
        <w:rPr>
          <w:rFonts w:hint="eastAsia" w:ascii="仿宋_GB2312" w:eastAsia="仿宋_GB2312"/>
          <w:sz w:val="32"/>
          <w:szCs w:val="32"/>
          <w:lang w:val="en-US" w:eastAsia="zh-CN"/>
        </w:rPr>
        <w:t>14.</w:t>
      </w:r>
      <w:r>
        <w:rPr>
          <w:rFonts w:hint="eastAsia" w:ascii="仿宋_GB2312" w:eastAsia="仿宋_GB2312"/>
          <w:sz w:val="32"/>
          <w:szCs w:val="32"/>
        </w:rPr>
        <w:t>社会保障和就业</w:t>
      </w:r>
      <w:r>
        <w:rPr>
          <w:rFonts w:hint="eastAsia" w:ascii="仿宋_GB2312" w:eastAsia="仿宋_GB2312"/>
          <w:sz w:val="32"/>
          <w:szCs w:val="32"/>
          <w:lang w:val="en-US" w:eastAsia="zh-CN"/>
        </w:rPr>
        <w:t>208</w:t>
      </w:r>
      <w:r>
        <w:rPr>
          <w:rFonts w:hint="eastAsia" w:ascii="仿宋_GB2312" w:eastAsia="仿宋_GB2312"/>
          <w:sz w:val="32"/>
          <w:szCs w:val="32"/>
        </w:rPr>
        <w:t>（类）</w:t>
      </w:r>
      <w:r>
        <w:rPr>
          <w:rFonts w:hint="eastAsia" w:ascii="仿宋_GB2312" w:eastAsia="仿宋_GB2312"/>
          <w:sz w:val="32"/>
          <w:szCs w:val="32"/>
          <w:lang w:val="en-US" w:eastAsia="zh-CN"/>
        </w:rPr>
        <w:t>05</w:t>
      </w:r>
      <w:r>
        <w:rPr>
          <w:rFonts w:hint="eastAsia" w:ascii="仿宋_GB2312" w:eastAsia="仿宋_GB2312"/>
          <w:sz w:val="32"/>
          <w:szCs w:val="32"/>
        </w:rPr>
        <w:t>（款）</w:t>
      </w:r>
      <w:r>
        <w:rPr>
          <w:rFonts w:hint="eastAsia" w:ascii="仿宋_GB2312" w:eastAsia="仿宋_GB2312"/>
          <w:sz w:val="32"/>
          <w:szCs w:val="32"/>
          <w:lang w:val="en-US" w:eastAsia="zh-CN"/>
        </w:rPr>
        <w:t>05</w:t>
      </w:r>
      <w:r>
        <w:rPr>
          <w:rFonts w:hint="eastAsia" w:ascii="仿宋_GB2312" w:eastAsia="仿宋_GB2312"/>
          <w:sz w:val="32"/>
          <w:szCs w:val="32"/>
        </w:rPr>
        <w:t>（项）：指</w:t>
      </w:r>
      <w:r>
        <w:rPr>
          <w:rFonts w:hint="eastAsia" w:ascii="仿宋_GB2312" w:eastAsia="仿宋_GB2312"/>
          <w:sz w:val="32"/>
          <w:szCs w:val="32"/>
          <w:lang w:eastAsia="zh-CN"/>
        </w:rPr>
        <w:t>反映机关事业单位实施养老保险制度由单位缴纳的基本养老保险费支出。</w:t>
      </w:r>
    </w:p>
    <w:p w14:paraId="56E29119">
      <w:pPr>
        <w:pStyle w:val="16"/>
        <w:pageBreakBefore w:val="0"/>
        <w:widowControl w:val="0"/>
        <w:kinsoku/>
        <w:wordWrap/>
        <w:overflowPunct/>
        <w:topLinePunct w:val="0"/>
        <w:autoSpaceDE w:val="0"/>
        <w:autoSpaceDN w:val="0"/>
        <w:bidi w:val="0"/>
        <w:adjustRightInd w:val="0"/>
        <w:snapToGrid/>
        <w:spacing w:line="540" w:lineRule="exact"/>
        <w:ind w:firstLine="640" w:firstLineChars="200"/>
        <w:textAlignment w:val="auto"/>
        <w:rPr>
          <w:rFonts w:hint="eastAsia" w:ascii="仿宋_GB2312" w:eastAsia="仿宋_GB2312"/>
          <w:sz w:val="32"/>
          <w:szCs w:val="32"/>
          <w:lang w:eastAsia="zh-CN"/>
        </w:rPr>
      </w:pPr>
      <w:r>
        <w:rPr>
          <w:rFonts w:hint="eastAsia" w:ascii="仿宋_GB2312" w:eastAsia="仿宋_GB2312"/>
          <w:sz w:val="32"/>
          <w:szCs w:val="32"/>
          <w:lang w:val="en-US" w:eastAsia="zh-CN"/>
        </w:rPr>
        <w:t>15.</w:t>
      </w:r>
      <w:r>
        <w:rPr>
          <w:rFonts w:hint="eastAsia" w:ascii="仿宋_GB2312" w:eastAsia="仿宋_GB2312"/>
          <w:sz w:val="32"/>
          <w:szCs w:val="32"/>
        </w:rPr>
        <w:t>社会保障和就业</w:t>
      </w:r>
      <w:r>
        <w:rPr>
          <w:rFonts w:hint="eastAsia" w:ascii="仿宋_GB2312" w:eastAsia="仿宋_GB2312"/>
          <w:sz w:val="32"/>
          <w:szCs w:val="32"/>
          <w:lang w:val="en-US" w:eastAsia="zh-CN"/>
        </w:rPr>
        <w:t>208</w:t>
      </w:r>
      <w:r>
        <w:rPr>
          <w:rFonts w:hint="eastAsia" w:ascii="仿宋_GB2312" w:eastAsia="仿宋_GB2312"/>
          <w:sz w:val="32"/>
          <w:szCs w:val="32"/>
        </w:rPr>
        <w:t>（类）</w:t>
      </w:r>
      <w:r>
        <w:rPr>
          <w:rFonts w:hint="eastAsia" w:ascii="仿宋_GB2312" w:eastAsia="仿宋_GB2312"/>
          <w:sz w:val="32"/>
          <w:szCs w:val="32"/>
          <w:lang w:val="en-US" w:eastAsia="zh-CN"/>
        </w:rPr>
        <w:t>05</w:t>
      </w:r>
      <w:r>
        <w:rPr>
          <w:rFonts w:hint="eastAsia" w:ascii="仿宋_GB2312" w:eastAsia="仿宋_GB2312"/>
          <w:sz w:val="32"/>
          <w:szCs w:val="32"/>
        </w:rPr>
        <w:t>（款）</w:t>
      </w:r>
      <w:r>
        <w:rPr>
          <w:rFonts w:hint="eastAsia" w:ascii="仿宋_GB2312" w:eastAsia="仿宋_GB2312"/>
          <w:sz w:val="32"/>
          <w:szCs w:val="32"/>
          <w:lang w:val="en-US" w:eastAsia="zh-CN"/>
        </w:rPr>
        <w:t>06</w:t>
      </w:r>
      <w:r>
        <w:rPr>
          <w:rFonts w:hint="eastAsia" w:ascii="仿宋_GB2312" w:eastAsia="仿宋_GB2312"/>
          <w:sz w:val="32"/>
          <w:szCs w:val="32"/>
        </w:rPr>
        <w:t>（项）：指</w:t>
      </w:r>
      <w:r>
        <w:rPr>
          <w:rFonts w:hint="eastAsia" w:ascii="仿宋_GB2312" w:eastAsia="仿宋_GB2312"/>
          <w:sz w:val="32"/>
          <w:szCs w:val="32"/>
          <w:lang w:eastAsia="zh-CN"/>
        </w:rPr>
        <w:t>反映机关事业单位实施养老保险制度由单位实际缴纳的职业年金支出</w:t>
      </w:r>
    </w:p>
    <w:p w14:paraId="2D7EB394">
      <w:pPr>
        <w:pStyle w:val="16"/>
        <w:pageBreakBefore w:val="0"/>
        <w:widowControl w:val="0"/>
        <w:kinsoku/>
        <w:wordWrap/>
        <w:overflowPunct/>
        <w:topLinePunct w:val="0"/>
        <w:autoSpaceDE w:val="0"/>
        <w:autoSpaceDN w:val="0"/>
        <w:bidi w:val="0"/>
        <w:adjustRightInd w:val="0"/>
        <w:snapToGrid/>
        <w:spacing w:line="540" w:lineRule="exact"/>
        <w:ind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16.卫生健康210（类）04</w:t>
      </w:r>
      <w:r>
        <w:rPr>
          <w:rFonts w:hint="eastAsia" w:ascii="仿宋_GB2312" w:eastAsia="仿宋_GB2312"/>
          <w:sz w:val="32"/>
          <w:szCs w:val="32"/>
        </w:rPr>
        <w:t>（款）</w:t>
      </w:r>
      <w:r>
        <w:rPr>
          <w:rFonts w:hint="eastAsia" w:ascii="仿宋_GB2312" w:eastAsia="仿宋_GB2312"/>
          <w:sz w:val="32"/>
          <w:szCs w:val="32"/>
          <w:lang w:val="en-US" w:eastAsia="zh-CN"/>
        </w:rPr>
        <w:t>09</w:t>
      </w:r>
      <w:r>
        <w:rPr>
          <w:rFonts w:hint="eastAsia" w:ascii="仿宋_GB2312" w:eastAsia="仿宋_GB2312"/>
          <w:sz w:val="32"/>
          <w:szCs w:val="32"/>
        </w:rPr>
        <w:t>（项）</w:t>
      </w:r>
      <w:r>
        <w:rPr>
          <w:rFonts w:hint="eastAsia" w:ascii="仿宋_GB2312" w:eastAsia="仿宋_GB2312"/>
          <w:sz w:val="32"/>
          <w:szCs w:val="32"/>
          <w:lang w:val="en-US" w:eastAsia="zh-CN"/>
        </w:rPr>
        <w:t>：指反映重大疾病、重大传染病预防控制等重大公共卫生服务项目支出。</w:t>
      </w:r>
    </w:p>
    <w:p w14:paraId="025B648E">
      <w:pPr>
        <w:pStyle w:val="16"/>
        <w:pageBreakBefore w:val="0"/>
        <w:widowControl w:val="0"/>
        <w:kinsoku/>
        <w:wordWrap/>
        <w:overflowPunct/>
        <w:topLinePunct w:val="0"/>
        <w:autoSpaceDE w:val="0"/>
        <w:autoSpaceDN w:val="0"/>
        <w:bidi w:val="0"/>
        <w:adjustRightInd w:val="0"/>
        <w:snapToGrid/>
        <w:spacing w:line="540" w:lineRule="exact"/>
        <w:ind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17.卫生健康210（类）07</w:t>
      </w:r>
      <w:r>
        <w:rPr>
          <w:rFonts w:hint="eastAsia" w:ascii="仿宋_GB2312" w:eastAsia="仿宋_GB2312"/>
          <w:sz w:val="32"/>
          <w:szCs w:val="32"/>
        </w:rPr>
        <w:t>（款）</w:t>
      </w:r>
      <w:r>
        <w:rPr>
          <w:rFonts w:hint="eastAsia" w:ascii="仿宋_GB2312" w:eastAsia="仿宋_GB2312"/>
          <w:sz w:val="32"/>
          <w:szCs w:val="32"/>
          <w:lang w:val="en-US" w:eastAsia="zh-CN"/>
        </w:rPr>
        <w:t>99</w:t>
      </w:r>
      <w:r>
        <w:rPr>
          <w:rFonts w:hint="eastAsia" w:ascii="仿宋_GB2312" w:eastAsia="仿宋_GB2312"/>
          <w:sz w:val="32"/>
          <w:szCs w:val="32"/>
        </w:rPr>
        <w:t>（项）</w:t>
      </w:r>
      <w:r>
        <w:rPr>
          <w:rFonts w:hint="eastAsia" w:ascii="仿宋_GB2312" w:eastAsia="仿宋_GB2312"/>
          <w:sz w:val="32"/>
          <w:szCs w:val="32"/>
          <w:lang w:val="en-US" w:eastAsia="zh-CN"/>
        </w:rPr>
        <w:t>：指反映其他用于计划生育管理服务方面的支出。</w:t>
      </w:r>
    </w:p>
    <w:p w14:paraId="2A7FFA5D">
      <w:pPr>
        <w:pStyle w:val="16"/>
        <w:pageBreakBefore w:val="0"/>
        <w:widowControl w:val="0"/>
        <w:kinsoku/>
        <w:wordWrap/>
        <w:overflowPunct/>
        <w:topLinePunct w:val="0"/>
        <w:autoSpaceDE w:val="0"/>
        <w:autoSpaceDN w:val="0"/>
        <w:bidi w:val="0"/>
        <w:adjustRightInd w:val="0"/>
        <w:snapToGrid/>
        <w:spacing w:line="540" w:lineRule="exact"/>
        <w:ind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18.卫生健康210（类）11</w:t>
      </w:r>
      <w:r>
        <w:rPr>
          <w:rFonts w:hint="eastAsia" w:ascii="仿宋_GB2312" w:eastAsia="仿宋_GB2312"/>
          <w:sz w:val="32"/>
          <w:szCs w:val="32"/>
        </w:rPr>
        <w:t>（款）</w:t>
      </w:r>
      <w:r>
        <w:rPr>
          <w:rFonts w:hint="eastAsia" w:ascii="仿宋_GB2312" w:eastAsia="仿宋_GB2312"/>
          <w:sz w:val="32"/>
          <w:szCs w:val="32"/>
          <w:lang w:val="en-US" w:eastAsia="zh-CN"/>
        </w:rPr>
        <w:t>01</w:t>
      </w:r>
      <w:r>
        <w:rPr>
          <w:rFonts w:hint="eastAsia" w:ascii="仿宋_GB2312" w:eastAsia="仿宋_GB2312"/>
          <w:sz w:val="32"/>
          <w:szCs w:val="32"/>
        </w:rPr>
        <w:t>（项）</w:t>
      </w:r>
      <w:r>
        <w:rPr>
          <w:rFonts w:hint="eastAsia" w:ascii="仿宋_GB2312" w:eastAsia="仿宋_GB2312"/>
          <w:sz w:val="32"/>
          <w:szCs w:val="32"/>
          <w:lang w:val="en-US" w:eastAsia="zh-CN"/>
        </w:rPr>
        <w:t>：指反映财政部门安排的行政事业单位基本医疗保险缴费经费，未参加医疗保险的行政事业单位的公费医疗经费，按国家规定享受离休人员、红军老战士待遇人员的医疗经费。</w:t>
      </w:r>
    </w:p>
    <w:p w14:paraId="681910F3">
      <w:pPr>
        <w:pStyle w:val="16"/>
        <w:pageBreakBefore w:val="0"/>
        <w:widowControl w:val="0"/>
        <w:kinsoku/>
        <w:wordWrap/>
        <w:overflowPunct/>
        <w:topLinePunct w:val="0"/>
        <w:autoSpaceDE w:val="0"/>
        <w:autoSpaceDN w:val="0"/>
        <w:bidi w:val="0"/>
        <w:adjustRightInd w:val="0"/>
        <w:snapToGrid/>
        <w:spacing w:line="540" w:lineRule="exact"/>
        <w:ind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19.卫生健康210（类）11</w:t>
      </w:r>
      <w:r>
        <w:rPr>
          <w:rFonts w:hint="eastAsia" w:ascii="仿宋_GB2312" w:eastAsia="仿宋_GB2312"/>
          <w:sz w:val="32"/>
          <w:szCs w:val="32"/>
        </w:rPr>
        <w:t>（款）</w:t>
      </w:r>
      <w:r>
        <w:rPr>
          <w:rFonts w:hint="eastAsia" w:ascii="仿宋_GB2312" w:eastAsia="仿宋_GB2312"/>
          <w:sz w:val="32"/>
          <w:szCs w:val="32"/>
          <w:lang w:val="en-US" w:eastAsia="zh-CN"/>
        </w:rPr>
        <w:t>03</w:t>
      </w:r>
      <w:r>
        <w:rPr>
          <w:rFonts w:hint="eastAsia" w:ascii="仿宋_GB2312" w:eastAsia="仿宋_GB2312"/>
          <w:sz w:val="32"/>
          <w:szCs w:val="32"/>
        </w:rPr>
        <w:t>（项）</w:t>
      </w:r>
      <w:r>
        <w:rPr>
          <w:rFonts w:hint="eastAsia" w:ascii="仿宋_GB2312" w:eastAsia="仿宋_GB2312"/>
          <w:sz w:val="32"/>
          <w:szCs w:val="32"/>
          <w:lang w:val="en-US" w:eastAsia="zh-CN"/>
        </w:rPr>
        <w:t>：指反映财政部门安排的公务员医疗补助经费。</w:t>
      </w:r>
    </w:p>
    <w:p w14:paraId="1D90E0E5">
      <w:pPr>
        <w:pStyle w:val="16"/>
        <w:pageBreakBefore w:val="0"/>
        <w:widowControl w:val="0"/>
        <w:kinsoku/>
        <w:wordWrap/>
        <w:overflowPunct/>
        <w:topLinePunct w:val="0"/>
        <w:autoSpaceDE w:val="0"/>
        <w:autoSpaceDN w:val="0"/>
        <w:bidi w:val="0"/>
        <w:adjustRightInd w:val="0"/>
        <w:snapToGrid/>
        <w:spacing w:line="540" w:lineRule="exact"/>
        <w:ind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20.农林水213（类）07</w:t>
      </w:r>
      <w:r>
        <w:rPr>
          <w:rFonts w:hint="eastAsia" w:ascii="仿宋_GB2312" w:eastAsia="仿宋_GB2312"/>
          <w:sz w:val="32"/>
          <w:szCs w:val="32"/>
        </w:rPr>
        <w:t>（款）</w:t>
      </w:r>
      <w:r>
        <w:rPr>
          <w:rFonts w:hint="eastAsia" w:ascii="仿宋_GB2312" w:eastAsia="仿宋_GB2312"/>
          <w:sz w:val="32"/>
          <w:szCs w:val="32"/>
          <w:lang w:val="en-US" w:eastAsia="zh-CN"/>
        </w:rPr>
        <w:t>05</w:t>
      </w:r>
      <w:r>
        <w:rPr>
          <w:rFonts w:hint="eastAsia" w:ascii="仿宋_GB2312" w:eastAsia="仿宋_GB2312"/>
          <w:sz w:val="32"/>
          <w:szCs w:val="32"/>
        </w:rPr>
        <w:t>（项）</w:t>
      </w:r>
      <w:r>
        <w:rPr>
          <w:rFonts w:hint="eastAsia" w:ascii="仿宋_GB2312" w:eastAsia="仿宋_GB2312"/>
          <w:sz w:val="32"/>
          <w:szCs w:val="32"/>
          <w:lang w:val="en-US" w:eastAsia="zh-CN"/>
        </w:rPr>
        <w:t>：指反映各级财政对村民委员会和村党支部的补助支出，以及支持建立县级基本财力保障机制安排的村级组织运转奖补资金。</w:t>
      </w:r>
    </w:p>
    <w:p w14:paraId="49326050">
      <w:pPr>
        <w:pStyle w:val="16"/>
        <w:pageBreakBefore w:val="0"/>
        <w:widowControl w:val="0"/>
        <w:kinsoku/>
        <w:wordWrap/>
        <w:overflowPunct/>
        <w:topLinePunct w:val="0"/>
        <w:autoSpaceDE w:val="0"/>
        <w:autoSpaceDN w:val="0"/>
        <w:bidi w:val="0"/>
        <w:adjustRightInd w:val="0"/>
        <w:snapToGrid/>
        <w:spacing w:line="540" w:lineRule="exact"/>
        <w:ind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21.农林水213（类）01</w:t>
      </w:r>
      <w:r>
        <w:rPr>
          <w:rFonts w:hint="eastAsia" w:ascii="仿宋_GB2312" w:eastAsia="仿宋_GB2312"/>
          <w:sz w:val="32"/>
          <w:szCs w:val="32"/>
        </w:rPr>
        <w:t>（款）</w:t>
      </w:r>
      <w:r>
        <w:rPr>
          <w:rFonts w:hint="eastAsia" w:ascii="仿宋_GB2312" w:eastAsia="仿宋_GB2312"/>
          <w:sz w:val="32"/>
          <w:szCs w:val="32"/>
          <w:lang w:val="en-US" w:eastAsia="zh-CN"/>
        </w:rPr>
        <w:t>26</w:t>
      </w:r>
      <w:r>
        <w:rPr>
          <w:rFonts w:hint="eastAsia" w:ascii="仿宋_GB2312" w:eastAsia="仿宋_GB2312"/>
          <w:sz w:val="32"/>
          <w:szCs w:val="32"/>
        </w:rPr>
        <w:t>（项）</w:t>
      </w:r>
      <w:r>
        <w:rPr>
          <w:rFonts w:hint="eastAsia" w:ascii="仿宋_GB2312" w:eastAsia="仿宋_GB2312"/>
          <w:sz w:val="32"/>
          <w:szCs w:val="32"/>
          <w:lang w:eastAsia="zh-CN"/>
        </w:rPr>
        <w:t>：指反映用于农村社会事业发展的支出。</w:t>
      </w:r>
    </w:p>
    <w:p w14:paraId="563119E0">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仿宋_GB2312" w:eastAsia="仿宋_GB2312"/>
          <w:sz w:val="32"/>
          <w:szCs w:val="32"/>
          <w:lang w:val="en-US" w:eastAsia="zh-CN"/>
        </w:rPr>
        <w:t>22.</w:t>
      </w:r>
      <w:r>
        <w:rPr>
          <w:rFonts w:hint="eastAsia" w:ascii="仿宋_GB2312" w:eastAsia="仿宋_GB2312"/>
          <w:sz w:val="32"/>
          <w:szCs w:val="32"/>
        </w:rPr>
        <w:t>住房保障</w:t>
      </w:r>
      <w:r>
        <w:rPr>
          <w:rFonts w:hint="eastAsia" w:ascii="仿宋_GB2312" w:eastAsia="仿宋_GB2312"/>
          <w:sz w:val="32"/>
          <w:szCs w:val="32"/>
          <w:lang w:val="en-US" w:eastAsia="zh-CN"/>
        </w:rPr>
        <w:t>221</w:t>
      </w:r>
      <w:r>
        <w:rPr>
          <w:rFonts w:hint="eastAsia" w:ascii="仿宋_GB2312" w:eastAsia="仿宋_GB2312"/>
          <w:sz w:val="32"/>
          <w:szCs w:val="32"/>
        </w:rPr>
        <w:t>（类）</w:t>
      </w:r>
      <w:r>
        <w:rPr>
          <w:rFonts w:hint="eastAsia" w:ascii="仿宋_GB2312" w:eastAsia="仿宋_GB2312"/>
          <w:sz w:val="32"/>
          <w:szCs w:val="32"/>
          <w:lang w:val="en-US" w:eastAsia="zh-CN"/>
        </w:rPr>
        <w:t>02</w:t>
      </w:r>
      <w:r>
        <w:rPr>
          <w:rFonts w:hint="eastAsia" w:ascii="仿宋_GB2312" w:eastAsia="仿宋_GB2312"/>
          <w:sz w:val="32"/>
          <w:szCs w:val="32"/>
        </w:rPr>
        <w:t>（款）</w:t>
      </w:r>
      <w:r>
        <w:rPr>
          <w:rFonts w:hint="eastAsia" w:ascii="仿宋_GB2312" w:eastAsia="仿宋_GB2312"/>
          <w:sz w:val="32"/>
          <w:szCs w:val="32"/>
          <w:lang w:val="en-US" w:eastAsia="zh-CN"/>
        </w:rPr>
        <w:t>01</w:t>
      </w:r>
      <w:r>
        <w:rPr>
          <w:rFonts w:hint="eastAsia" w:ascii="仿宋_GB2312" w:eastAsia="仿宋_GB2312"/>
          <w:sz w:val="32"/>
          <w:szCs w:val="32"/>
        </w:rPr>
        <w:t>（项）：指</w:t>
      </w:r>
      <w:r>
        <w:rPr>
          <w:rFonts w:hint="eastAsia" w:ascii="仿宋_GB2312" w:eastAsia="仿宋_GB2312"/>
          <w:sz w:val="32"/>
          <w:szCs w:val="32"/>
          <w:lang w:eastAsia="zh-CN"/>
        </w:rPr>
        <w:t>反映行政事业单位按人力资源和社会保障部、财政部规定的基本工资和津贴补贴以及</w:t>
      </w:r>
      <w:r>
        <w:rPr>
          <w:rFonts w:hint="eastAsia" w:ascii="仿宋_GB2312" w:eastAsia="仿宋_GB2312"/>
          <w:sz w:val="32"/>
          <w:szCs w:val="32"/>
          <w:lang w:val="en-US" w:eastAsia="zh-CN"/>
        </w:rPr>
        <w:t>按</w:t>
      </w:r>
      <w:r>
        <w:rPr>
          <w:rFonts w:hint="eastAsia" w:ascii="仿宋_GB2312" w:eastAsia="仿宋_GB2312"/>
          <w:sz w:val="32"/>
          <w:szCs w:val="32"/>
          <w:lang w:eastAsia="zh-CN"/>
        </w:rPr>
        <w:t>规定比例为职工缴纳的住房公积金。</w:t>
      </w:r>
    </w:p>
    <w:p w14:paraId="599C79E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23</w:t>
      </w:r>
      <w:r>
        <w:rPr>
          <w:rFonts w:hint="eastAsia" w:ascii="Times New Roman" w:hAnsi="Times New Roman" w:eastAsia="仿宋_GB2312" w:cs="仿宋_GB2312"/>
          <w:color w:val="auto"/>
          <w:kern w:val="2"/>
          <w:sz w:val="32"/>
          <w:szCs w:val="32"/>
          <w:highlight w:val="none"/>
          <w:lang w:val="en-US" w:eastAsia="zh-CN" w:bidi="ar-SA"/>
        </w:rPr>
        <w:t>.基本支出：指为保障机构正常运转、完成日常工作任务而发生的人员支出和公用支出。</w:t>
      </w:r>
    </w:p>
    <w:p w14:paraId="71FA7AC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 xml:space="preserve">.项目支出：指在基本支出之外为完成特定行政任务和事业发展目标所发生的支出。 </w:t>
      </w:r>
    </w:p>
    <w:p w14:paraId="5FAF299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.经营支出：指事业单位在专业业务活动及其辅助活动之外开展非独立核算经营活动发生的支出。</w:t>
      </w:r>
    </w:p>
    <w:p w14:paraId="6E5002F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26</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522ED473">
      <w:pPr>
        <w:spacing w:line="600" w:lineRule="exact"/>
        <w:ind w:firstLine="640"/>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27</w:t>
      </w:r>
      <w:r>
        <w:rPr>
          <w:rFonts w:hint="eastAsia" w:ascii="Times New Roman" w:hAnsi="Times New Roman" w:eastAsia="仿宋_GB2312" w:cs="仿宋_GB2312"/>
          <w:color w:val="auto"/>
          <w:kern w:val="2"/>
          <w:sz w:val="32"/>
          <w:szCs w:val="32"/>
          <w:highlight w:val="none"/>
          <w:lang w:val="en-US" w:eastAsia="zh-CN" w:bidi="ar-SA"/>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bookmarkStart w:id="47" w:name="_Toc15377226"/>
    </w:p>
    <w:p w14:paraId="33EBAC61">
      <w:pPr>
        <w:keepNext w:val="0"/>
        <w:keepLines w:val="0"/>
        <w:pageBreakBefore w:val="0"/>
        <w:widowControl w:val="0"/>
        <w:kinsoku/>
        <w:wordWrap/>
        <w:overflowPunct/>
        <w:topLinePunct w:val="0"/>
        <w:autoSpaceDE/>
        <w:autoSpaceDN/>
        <w:bidi w:val="0"/>
        <w:spacing w:line="578" w:lineRule="exact"/>
        <w:jc w:val="center"/>
        <w:textAlignment w:val="auto"/>
        <w:outlineLvl w:val="9"/>
        <w:rPr>
          <w:rFonts w:hint="eastAsia" w:ascii="Times New Roman" w:hAnsi="Times New Roman" w:eastAsia="黑体" w:cs="黑体"/>
          <w:color w:val="auto"/>
          <w:sz w:val="32"/>
          <w:szCs w:val="32"/>
          <w:highlight w:val="none"/>
        </w:rPr>
      </w:pPr>
      <w:bookmarkStart w:id="48" w:name="_Toc15396618"/>
      <w:r>
        <w:rPr>
          <w:rFonts w:hint="eastAsia" w:ascii="Times New Roman" w:hAnsi="Times New Roman" w:eastAsia="仿宋_GB2312" w:cs="仿宋_GB2312"/>
          <w:b w:val="0"/>
          <w:bCs w:val="0"/>
          <w:kern w:val="0"/>
          <w:position w:val="0"/>
          <w:sz w:val="32"/>
          <w:szCs w:val="32"/>
          <w:highlight w:val="none"/>
          <w:lang w:val="en-US" w:eastAsia="zh-CN" w:bidi="ar-SA"/>
        </w:rPr>
        <w:br w:type="page"/>
      </w:r>
      <w:r>
        <w:rPr>
          <w:rFonts w:hint="eastAsia" w:ascii="Times New Roman" w:hAnsi="Times New Roman" w:eastAsia="黑体"/>
          <w:color w:val="auto"/>
          <w:sz w:val="44"/>
          <w:szCs w:val="44"/>
          <w:highlight w:val="none"/>
        </w:rPr>
        <w:t>第四部分 附件</w:t>
      </w:r>
    </w:p>
    <w:p w14:paraId="18CFBB70">
      <w:pPr>
        <w:widowControl/>
        <w:ind w:firstLine="640" w:firstLineChars="200"/>
        <w:jc w:val="both"/>
        <w:rPr>
          <w:rFonts w:hint="eastAsia" w:ascii="Times New Roman" w:hAnsi="Times New Roman" w:eastAsia="仿宋_GB2312" w:cs="仿宋_GB2312"/>
          <w:color w:val="auto"/>
          <w:kern w:val="2"/>
          <w:sz w:val="32"/>
          <w:szCs w:val="32"/>
          <w:highlight w:val="none"/>
          <w:lang w:val="en-US" w:eastAsia="zh-CN" w:bidi="ar-SA"/>
        </w:rPr>
      </w:pPr>
    </w:p>
    <w:p w14:paraId="4FA50D02">
      <w:pPr>
        <w:widowControl/>
        <w:ind w:firstLine="640" w:firstLineChars="200"/>
        <w:jc w:val="both"/>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附件1</w:t>
      </w:r>
      <w:r>
        <w:rPr>
          <w:rFonts w:hint="eastAsia"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部门预算绩效</w:t>
      </w:r>
      <w:r>
        <w:rPr>
          <w:rFonts w:hint="eastAsia" w:ascii="Times New Roman" w:hAnsi="Times New Roman" w:eastAsia="仿宋_GB2312" w:cs="仿宋_GB2312"/>
          <w:color w:val="auto"/>
          <w:kern w:val="2"/>
          <w:sz w:val="32"/>
          <w:szCs w:val="32"/>
          <w:highlight w:val="none"/>
          <w:lang w:val="en-US" w:eastAsia="zh-CN" w:bidi="ar-SA"/>
        </w:rPr>
        <w:t>评价</w:t>
      </w:r>
      <w:r>
        <w:rPr>
          <w:rFonts w:hint="default" w:ascii="Times New Roman" w:hAnsi="Times New Roman" w:eastAsia="仿宋_GB2312" w:cs="仿宋_GB2312"/>
          <w:color w:val="auto"/>
          <w:kern w:val="2"/>
          <w:sz w:val="32"/>
          <w:szCs w:val="32"/>
          <w:highlight w:val="none"/>
          <w:lang w:val="en-US" w:eastAsia="zh-CN" w:bidi="ar-SA"/>
        </w:rPr>
        <w:t>报告</w:t>
      </w:r>
    </w:p>
    <w:p w14:paraId="44E9BDBF">
      <w:pPr>
        <w:widowControl/>
        <w:ind w:firstLine="640" w:firstLineChars="200"/>
        <w:jc w:val="both"/>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zh-CN" w:eastAsia="zh-CN" w:bidi="ar-SA"/>
        </w:rPr>
        <w:t>附件</w:t>
      </w:r>
      <w:r>
        <w:rPr>
          <w:rFonts w:hint="eastAsia" w:ascii="Times New Roman" w:hAnsi="Times New Roman"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专项预算项目绩效评价报告</w:t>
      </w:r>
    </w:p>
    <w:p w14:paraId="58617F27">
      <w:pPr>
        <w:widowControl/>
        <w:jc w:val="center"/>
        <w:rPr>
          <w:rFonts w:hint="eastAsia" w:ascii="Times New Roman" w:hAnsi="Times New Roman" w:eastAsia="黑体"/>
          <w:color w:val="auto"/>
          <w:sz w:val="44"/>
          <w:szCs w:val="44"/>
          <w:highlight w:val="none"/>
        </w:rPr>
      </w:pPr>
    </w:p>
    <w:p w14:paraId="675318B2">
      <w:pPr>
        <w:widowControl/>
        <w:jc w:val="center"/>
        <w:rPr>
          <w:rFonts w:hint="eastAsia" w:ascii="Times New Roman" w:hAnsi="Times New Roman" w:eastAsia="黑体"/>
          <w:color w:val="auto"/>
          <w:sz w:val="44"/>
          <w:szCs w:val="44"/>
          <w:highlight w:val="none"/>
        </w:rPr>
      </w:pPr>
    </w:p>
    <w:p w14:paraId="05AC4774">
      <w:pPr>
        <w:widowControl/>
        <w:jc w:val="center"/>
        <w:rPr>
          <w:rFonts w:hint="eastAsia" w:ascii="Times New Roman" w:hAnsi="Times New Roman" w:eastAsia="黑体"/>
          <w:color w:val="auto"/>
          <w:sz w:val="44"/>
          <w:szCs w:val="44"/>
          <w:highlight w:val="none"/>
        </w:rPr>
      </w:pPr>
    </w:p>
    <w:p w14:paraId="2B42FE11">
      <w:pPr>
        <w:widowControl/>
        <w:jc w:val="center"/>
        <w:rPr>
          <w:rFonts w:hint="eastAsia" w:ascii="Times New Roman" w:hAnsi="Times New Roman" w:eastAsia="黑体"/>
          <w:color w:val="auto"/>
          <w:sz w:val="44"/>
          <w:szCs w:val="44"/>
          <w:highlight w:val="none"/>
        </w:rPr>
      </w:pPr>
    </w:p>
    <w:p w14:paraId="3DB15D85">
      <w:pPr>
        <w:widowControl/>
        <w:jc w:val="center"/>
        <w:rPr>
          <w:rFonts w:hint="eastAsia" w:ascii="Times New Roman" w:hAnsi="Times New Roman" w:eastAsia="黑体"/>
          <w:color w:val="auto"/>
          <w:sz w:val="44"/>
          <w:szCs w:val="44"/>
          <w:highlight w:val="none"/>
        </w:rPr>
      </w:pPr>
    </w:p>
    <w:p w14:paraId="4405B53E">
      <w:pPr>
        <w:widowControl/>
        <w:jc w:val="center"/>
        <w:rPr>
          <w:rFonts w:hint="eastAsia" w:ascii="Times New Roman" w:hAnsi="Times New Roman" w:eastAsia="黑体"/>
          <w:color w:val="auto"/>
          <w:sz w:val="44"/>
          <w:szCs w:val="44"/>
          <w:highlight w:val="none"/>
        </w:rPr>
      </w:pPr>
    </w:p>
    <w:p w14:paraId="5A57E531">
      <w:pPr>
        <w:widowControl/>
        <w:jc w:val="center"/>
        <w:rPr>
          <w:rFonts w:hint="eastAsia" w:ascii="Times New Roman" w:hAnsi="Times New Roman" w:eastAsia="黑体"/>
          <w:color w:val="auto"/>
          <w:sz w:val="44"/>
          <w:szCs w:val="44"/>
          <w:highlight w:val="none"/>
        </w:rPr>
      </w:pPr>
    </w:p>
    <w:p w14:paraId="60350CE9">
      <w:pPr>
        <w:widowControl/>
        <w:jc w:val="center"/>
        <w:rPr>
          <w:rFonts w:hint="eastAsia" w:ascii="Times New Roman" w:hAnsi="Times New Roman" w:eastAsia="黑体"/>
          <w:color w:val="auto"/>
          <w:sz w:val="44"/>
          <w:szCs w:val="44"/>
          <w:highlight w:val="none"/>
        </w:rPr>
      </w:pPr>
    </w:p>
    <w:p w14:paraId="0CB4168C">
      <w:pPr>
        <w:widowControl/>
        <w:jc w:val="center"/>
        <w:rPr>
          <w:rFonts w:hint="eastAsia" w:ascii="Times New Roman" w:hAnsi="Times New Roman" w:eastAsia="黑体"/>
          <w:color w:val="auto"/>
          <w:sz w:val="44"/>
          <w:szCs w:val="44"/>
          <w:highlight w:val="none"/>
        </w:rPr>
      </w:pPr>
    </w:p>
    <w:p w14:paraId="23A7820F">
      <w:pPr>
        <w:widowControl/>
        <w:jc w:val="center"/>
        <w:rPr>
          <w:rFonts w:hint="eastAsia" w:ascii="Times New Roman" w:hAnsi="Times New Roman" w:eastAsia="黑体"/>
          <w:color w:val="auto"/>
          <w:sz w:val="44"/>
          <w:szCs w:val="44"/>
          <w:highlight w:val="none"/>
        </w:rPr>
      </w:pPr>
    </w:p>
    <w:p w14:paraId="49B8052E">
      <w:pPr>
        <w:widowControl/>
        <w:jc w:val="center"/>
        <w:rPr>
          <w:rFonts w:hint="eastAsia" w:ascii="Times New Roman" w:hAnsi="Times New Roman" w:eastAsia="黑体"/>
          <w:color w:val="auto"/>
          <w:sz w:val="44"/>
          <w:szCs w:val="44"/>
          <w:highlight w:val="none"/>
        </w:rPr>
      </w:pPr>
    </w:p>
    <w:p w14:paraId="28882A02">
      <w:pPr>
        <w:widowControl/>
        <w:jc w:val="center"/>
        <w:rPr>
          <w:rFonts w:hint="eastAsia" w:ascii="Times New Roman" w:hAnsi="Times New Roman" w:eastAsia="黑体"/>
          <w:color w:val="auto"/>
          <w:sz w:val="44"/>
          <w:szCs w:val="44"/>
          <w:highlight w:val="none"/>
        </w:rPr>
      </w:pPr>
    </w:p>
    <w:p w14:paraId="70CFBB69">
      <w:pPr>
        <w:widowControl/>
        <w:jc w:val="center"/>
        <w:rPr>
          <w:rFonts w:hint="eastAsia" w:ascii="Times New Roman" w:hAnsi="Times New Roman" w:eastAsia="黑体"/>
          <w:color w:val="auto"/>
          <w:sz w:val="44"/>
          <w:szCs w:val="44"/>
          <w:highlight w:val="none"/>
        </w:rPr>
      </w:pPr>
    </w:p>
    <w:p w14:paraId="4BCA573C">
      <w:pPr>
        <w:widowControl/>
        <w:jc w:val="center"/>
        <w:rPr>
          <w:rFonts w:hint="eastAsia" w:ascii="Times New Roman" w:hAnsi="Times New Roman" w:eastAsia="黑体"/>
          <w:color w:val="auto"/>
          <w:sz w:val="44"/>
          <w:szCs w:val="44"/>
          <w:highlight w:val="none"/>
        </w:rPr>
      </w:pPr>
    </w:p>
    <w:p w14:paraId="483F0F23">
      <w:pPr>
        <w:widowControl/>
        <w:jc w:val="center"/>
        <w:rPr>
          <w:rFonts w:hint="eastAsia" w:ascii="Times New Roman" w:hAnsi="Times New Roman" w:eastAsia="黑体"/>
          <w:color w:val="auto"/>
          <w:sz w:val="44"/>
          <w:szCs w:val="44"/>
          <w:highlight w:val="none"/>
        </w:rPr>
      </w:pPr>
    </w:p>
    <w:p w14:paraId="7D519159">
      <w:pPr>
        <w:widowControl/>
        <w:jc w:val="center"/>
        <w:rPr>
          <w:rFonts w:hint="eastAsia" w:ascii="Times New Roman" w:hAnsi="Times New Roman" w:eastAsia="黑体"/>
          <w:color w:val="auto"/>
          <w:sz w:val="44"/>
          <w:szCs w:val="44"/>
          <w:highlight w:val="none"/>
        </w:rPr>
      </w:pPr>
    </w:p>
    <w:p w14:paraId="2A305D0C">
      <w:pPr>
        <w:widowControl/>
        <w:jc w:val="center"/>
        <w:rPr>
          <w:rFonts w:hint="eastAsia" w:ascii="Times New Roman" w:hAnsi="Times New Roman" w:eastAsia="黑体"/>
          <w:color w:val="auto"/>
          <w:sz w:val="44"/>
          <w:szCs w:val="44"/>
          <w:highlight w:val="none"/>
        </w:rPr>
      </w:pPr>
    </w:p>
    <w:p w14:paraId="140BA331">
      <w:pPr>
        <w:widowControl/>
        <w:jc w:val="center"/>
        <w:rPr>
          <w:rFonts w:hint="eastAsia" w:ascii="Times New Roman" w:hAnsi="Times New Roman" w:eastAsia="黑体"/>
          <w:color w:val="auto"/>
          <w:sz w:val="44"/>
          <w:szCs w:val="44"/>
          <w:highlight w:val="none"/>
        </w:rPr>
      </w:pPr>
    </w:p>
    <w:p w14:paraId="0992FF3B">
      <w:pPr>
        <w:widowControl/>
        <w:jc w:val="center"/>
        <w:rPr>
          <w:rFonts w:hint="eastAsia" w:ascii="Times New Roman" w:hAnsi="Times New Roman" w:eastAsia="黑体"/>
          <w:color w:val="auto"/>
          <w:sz w:val="44"/>
          <w:szCs w:val="44"/>
          <w:highlight w:val="none"/>
        </w:rPr>
      </w:pPr>
    </w:p>
    <w:p w14:paraId="77FA5B7B">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五</w:t>
      </w:r>
      <w:r>
        <w:rPr>
          <w:rStyle w:val="13"/>
          <w:rFonts w:hint="eastAsia" w:ascii="Times New Roman" w:hAnsi="Times New Roman" w:eastAsia="黑体"/>
          <w:b w:val="0"/>
          <w:color w:val="auto"/>
          <w:highlight w:val="none"/>
        </w:rPr>
        <w:t>部分 附表</w:t>
      </w:r>
      <w:bookmarkEnd w:id="47"/>
      <w:bookmarkEnd w:id="48"/>
      <w:bookmarkStart w:id="49" w:name="_Toc15396619"/>
    </w:p>
    <w:p w14:paraId="3FA5CE2A">
      <w:pPr>
        <w:pStyle w:val="9"/>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60FF5082">
      <w:pPr>
        <w:pStyle w:val="9"/>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49"/>
    </w:p>
    <w:p w14:paraId="44AD61C0">
      <w:pPr>
        <w:pStyle w:val="9"/>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0" w:name="_Toc15396620"/>
      <w:r>
        <w:rPr>
          <w:rFonts w:hint="eastAsia" w:ascii="Times New Roman" w:hAnsi="Times New Roman" w:eastAsia="仿宋_GB2312" w:cs="仿宋_GB2312"/>
          <w:color w:val="auto"/>
          <w:sz w:val="32"/>
          <w:szCs w:val="32"/>
          <w:highlight w:val="none"/>
        </w:rPr>
        <w:t>二、收入决算表</w:t>
      </w:r>
      <w:bookmarkEnd w:id="50"/>
    </w:p>
    <w:p w14:paraId="1906564E">
      <w:pPr>
        <w:pStyle w:val="9"/>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1" w:name="_Toc15396621"/>
      <w:r>
        <w:rPr>
          <w:rFonts w:hint="eastAsia" w:ascii="Times New Roman" w:hAnsi="Times New Roman" w:eastAsia="仿宋_GB2312" w:cs="仿宋_GB2312"/>
          <w:color w:val="auto"/>
          <w:sz w:val="32"/>
          <w:szCs w:val="32"/>
          <w:highlight w:val="none"/>
        </w:rPr>
        <w:t>三、支出决算表</w:t>
      </w:r>
      <w:bookmarkEnd w:id="51"/>
    </w:p>
    <w:p w14:paraId="2A4631CE">
      <w:pPr>
        <w:pStyle w:val="9"/>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2" w:name="_Toc15396622"/>
      <w:r>
        <w:rPr>
          <w:rFonts w:hint="eastAsia" w:ascii="Times New Roman" w:hAnsi="Times New Roman" w:eastAsia="仿宋_GB2312" w:cs="仿宋_GB2312"/>
          <w:color w:val="auto"/>
          <w:sz w:val="32"/>
          <w:szCs w:val="32"/>
          <w:highlight w:val="none"/>
        </w:rPr>
        <w:t>四、财政拨款收入支出决算总表</w:t>
      </w:r>
      <w:bookmarkEnd w:id="52"/>
    </w:p>
    <w:p w14:paraId="409FE1A5">
      <w:pPr>
        <w:pStyle w:val="9"/>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3" w:name="_Toc15396623"/>
      <w:r>
        <w:rPr>
          <w:rFonts w:hint="eastAsia" w:ascii="Times New Roman" w:hAnsi="Times New Roman" w:eastAsia="仿宋_GB2312" w:cs="仿宋_GB2312"/>
          <w:color w:val="auto"/>
          <w:sz w:val="32"/>
          <w:szCs w:val="32"/>
          <w:highlight w:val="none"/>
        </w:rPr>
        <w:t>五、财政拨款支出决算明细表</w:t>
      </w:r>
      <w:bookmarkEnd w:id="53"/>
      <w:bookmarkStart w:id="54" w:name="_Toc15396624"/>
    </w:p>
    <w:p w14:paraId="6BDA927E">
      <w:pPr>
        <w:pStyle w:val="9"/>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4"/>
    </w:p>
    <w:p w14:paraId="3E6552E8">
      <w:pPr>
        <w:pStyle w:val="9"/>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5" w:name="_Toc15396625"/>
      <w:r>
        <w:rPr>
          <w:rFonts w:hint="eastAsia" w:ascii="Times New Roman" w:hAnsi="Times New Roman" w:eastAsia="仿宋_GB2312" w:cs="仿宋_GB2312"/>
          <w:color w:val="auto"/>
          <w:sz w:val="32"/>
          <w:szCs w:val="32"/>
          <w:highlight w:val="none"/>
        </w:rPr>
        <w:t>七、一般公共预算财政拨款支出决算明细表</w:t>
      </w:r>
      <w:bookmarkEnd w:id="55"/>
    </w:p>
    <w:p w14:paraId="7CC92414">
      <w:pPr>
        <w:pStyle w:val="9"/>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6"/>
      <w:r>
        <w:rPr>
          <w:rFonts w:hint="eastAsia" w:ascii="Times New Roman" w:hAnsi="Times New Roman" w:eastAsia="仿宋_GB2312" w:cs="仿宋_GB2312"/>
          <w:color w:val="auto"/>
          <w:sz w:val="32"/>
          <w:szCs w:val="32"/>
          <w:highlight w:val="none"/>
        </w:rPr>
        <w:t>八、一般公共预算财政拨款基本支出决算表</w:t>
      </w:r>
      <w:bookmarkEnd w:id="56"/>
    </w:p>
    <w:p w14:paraId="7108D592">
      <w:pPr>
        <w:pStyle w:val="9"/>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7"/>
      <w:r>
        <w:rPr>
          <w:rFonts w:hint="eastAsia" w:ascii="Times New Roman" w:hAnsi="Times New Roman" w:eastAsia="仿宋_GB2312" w:cs="仿宋_GB2312"/>
          <w:color w:val="auto"/>
          <w:sz w:val="32"/>
          <w:szCs w:val="32"/>
          <w:highlight w:val="none"/>
        </w:rPr>
        <w:t>九、一般公共预算财政拨款项目支出决算表</w:t>
      </w:r>
      <w:bookmarkEnd w:id="57"/>
    </w:p>
    <w:p w14:paraId="194714D8">
      <w:pPr>
        <w:pStyle w:val="9"/>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8"/>
      <w:r>
        <w:rPr>
          <w:rFonts w:hint="eastAsia" w:ascii="Times New Roman" w:hAnsi="Times New Roman" w:eastAsia="仿宋_GB2312" w:cs="仿宋_GB2312"/>
          <w:color w:val="auto"/>
          <w:sz w:val="32"/>
          <w:szCs w:val="32"/>
          <w:highlight w:val="none"/>
        </w:rPr>
        <w:t>十、</w:t>
      </w:r>
      <w:bookmarkEnd w:id="58"/>
      <w:r>
        <w:rPr>
          <w:rFonts w:hint="eastAsia" w:ascii="Times New Roman" w:hAnsi="Times New Roman" w:eastAsia="仿宋_GB2312" w:cs="仿宋_GB2312"/>
          <w:color w:val="auto"/>
          <w:sz w:val="32"/>
          <w:szCs w:val="32"/>
          <w:highlight w:val="none"/>
        </w:rPr>
        <w:t>政府性基金预算财政拨款收入支出决算表</w:t>
      </w:r>
    </w:p>
    <w:p w14:paraId="5716FBAB">
      <w:pPr>
        <w:pStyle w:val="9"/>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29"/>
      <w:r>
        <w:rPr>
          <w:rFonts w:hint="eastAsia" w:ascii="Times New Roman" w:hAnsi="Times New Roman" w:eastAsia="仿宋_GB2312" w:cs="仿宋_GB2312"/>
          <w:color w:val="auto"/>
          <w:sz w:val="32"/>
          <w:szCs w:val="32"/>
          <w:highlight w:val="none"/>
        </w:rPr>
        <w:t>十一、</w:t>
      </w:r>
      <w:bookmarkEnd w:id="59"/>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0251E288">
      <w:pPr>
        <w:pStyle w:val="9"/>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0" w:name="_Toc15396630"/>
      <w:r>
        <w:rPr>
          <w:rFonts w:hint="eastAsia" w:ascii="Times New Roman" w:hAnsi="Times New Roman" w:eastAsia="仿宋_GB2312" w:cs="仿宋_GB2312"/>
          <w:color w:val="auto"/>
          <w:sz w:val="32"/>
          <w:szCs w:val="32"/>
          <w:highlight w:val="none"/>
        </w:rPr>
        <w:t>十二、</w:t>
      </w:r>
      <w:bookmarkEnd w:id="60"/>
      <w:r>
        <w:rPr>
          <w:rFonts w:hint="eastAsia" w:ascii="Times New Roman" w:hAnsi="Times New Roman" w:eastAsia="仿宋_GB2312" w:cs="仿宋_GB2312"/>
          <w:color w:val="auto"/>
          <w:sz w:val="32"/>
          <w:szCs w:val="32"/>
          <w:highlight w:val="none"/>
          <w:lang w:eastAsia="zh-CN"/>
        </w:rPr>
        <w:t>国有资本经营预算财政拨款支出决算表</w:t>
      </w:r>
    </w:p>
    <w:p w14:paraId="14FD4109">
      <w:pPr>
        <w:pStyle w:val="9"/>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1" w:name="_Toc15396631"/>
      <w:r>
        <w:rPr>
          <w:rFonts w:hint="eastAsia" w:ascii="Times New Roman" w:hAnsi="Times New Roman" w:eastAsia="仿宋_GB2312" w:cs="仿宋_GB2312"/>
          <w:color w:val="auto"/>
          <w:sz w:val="32"/>
          <w:szCs w:val="32"/>
          <w:highlight w:val="none"/>
        </w:rPr>
        <w:t>十三、</w:t>
      </w:r>
      <w:bookmarkEnd w:id="61"/>
      <w:r>
        <w:rPr>
          <w:rFonts w:hint="eastAsia" w:ascii="Times New Roman" w:hAnsi="Times New Roman" w:eastAsia="仿宋_GB2312" w:cs="仿宋_GB2312"/>
          <w:color w:val="auto"/>
          <w:sz w:val="32"/>
          <w:szCs w:val="32"/>
          <w:highlight w:val="none"/>
          <w:lang w:eastAsia="zh-CN"/>
        </w:rPr>
        <w:t>财政拨款“三公”经费支出决算表</w:t>
      </w:r>
    </w:p>
    <w:p w14:paraId="6BFBF55F"/>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libri Light">
    <w:panose1 w:val="020F0302020204030204"/>
    <w:charset w:val="00"/>
    <w:family w:val="auto"/>
    <w:pitch w:val="default"/>
    <w:sig w:usb0="E0002A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CAFC05">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A171E1">
                          <w:pPr>
                            <w:pStyle w:val="6"/>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4A171E1">
                    <w:pPr>
                      <w:pStyle w:val="6"/>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1938348"/>
    <w:multiLevelType w:val="singleLevel"/>
    <w:tmpl w:val="C1938348"/>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EC26B0"/>
    <w:rsid w:val="06A44D39"/>
    <w:rsid w:val="06F07F7E"/>
    <w:rsid w:val="0AB3379D"/>
    <w:rsid w:val="0B052862"/>
    <w:rsid w:val="0B642CE9"/>
    <w:rsid w:val="0C2B1A59"/>
    <w:rsid w:val="0C6A2581"/>
    <w:rsid w:val="0F4F5A5E"/>
    <w:rsid w:val="13C24A51"/>
    <w:rsid w:val="14CA0061"/>
    <w:rsid w:val="1D540E0F"/>
    <w:rsid w:val="1F1D16D5"/>
    <w:rsid w:val="214F5DFB"/>
    <w:rsid w:val="25691621"/>
    <w:rsid w:val="25710085"/>
    <w:rsid w:val="278422F1"/>
    <w:rsid w:val="2B6F5066"/>
    <w:rsid w:val="2C5A1872"/>
    <w:rsid w:val="30342F38"/>
    <w:rsid w:val="308C2216"/>
    <w:rsid w:val="3A6B10EF"/>
    <w:rsid w:val="47E86474"/>
    <w:rsid w:val="4F2204BE"/>
    <w:rsid w:val="531215C4"/>
    <w:rsid w:val="571021DD"/>
    <w:rsid w:val="5726041F"/>
    <w:rsid w:val="5B7E6A7C"/>
    <w:rsid w:val="5C07081F"/>
    <w:rsid w:val="5CC52489"/>
    <w:rsid w:val="5CF1327E"/>
    <w:rsid w:val="5E781EA8"/>
    <w:rsid w:val="618741B1"/>
    <w:rsid w:val="646B1B68"/>
    <w:rsid w:val="64EC4A56"/>
    <w:rsid w:val="6DE24C48"/>
    <w:rsid w:val="6FF46EB5"/>
    <w:rsid w:val="72534367"/>
    <w:rsid w:val="743A0E7D"/>
    <w:rsid w:val="793B5B55"/>
    <w:rsid w:val="7A6D1236"/>
    <w:rsid w:val="7CA13F21"/>
    <w:rsid w:val="7E024E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3"/>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4"/>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2">
    <w:name w:val="Default Paragraph Font"/>
    <w:semiHidden/>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99"/>
    <w:pPr>
      <w:spacing w:beforeLines="30"/>
    </w:pPr>
    <w:rPr>
      <w:rFonts w:ascii="仿宋_GB2312" w:eastAsia="仿宋_GB2312"/>
      <w:kern w:val="0"/>
      <w:sz w:val="30"/>
    </w:rPr>
  </w:style>
  <w:style w:type="paragraph" w:styleId="5">
    <w:name w:val="Body Text Indent"/>
    <w:basedOn w:val="1"/>
    <w:qFormat/>
    <w:uiPriority w:val="0"/>
    <w:pPr>
      <w:spacing w:after="120"/>
      <w:ind w:leftChars="200"/>
    </w:pPr>
    <w:rPr>
      <w:rFonts w:ascii="仿宋_GB2312"/>
      <w:szCs w:val="32"/>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9">
    <w:name w:val="toc 2"/>
    <w:basedOn w:val="1"/>
    <w:next w:val="1"/>
    <w:unhideWhenUsed/>
    <w:qFormat/>
    <w:uiPriority w:val="39"/>
    <w:pPr>
      <w:tabs>
        <w:tab w:val="right" w:leader="dot" w:pos="8296"/>
      </w:tabs>
      <w:ind w:left="420" w:leftChars="200"/>
    </w:pPr>
  </w:style>
  <w:style w:type="paragraph" w:styleId="10">
    <w:name w:val="Body Text First Indent 2"/>
    <w:basedOn w:val="5"/>
    <w:next w:val="1"/>
    <w:unhideWhenUsed/>
    <w:qFormat/>
    <w:uiPriority w:val="99"/>
    <w:pPr>
      <w:ind w:firstLine="420" w:firstLineChars="200"/>
    </w:pPr>
  </w:style>
  <w:style w:type="character" w:customStyle="1" w:styleId="13">
    <w:name w:val="标题 1 Char"/>
    <w:basedOn w:val="12"/>
    <w:link w:val="2"/>
    <w:qFormat/>
    <w:uiPriority w:val="9"/>
    <w:rPr>
      <w:b/>
      <w:bCs/>
      <w:kern w:val="44"/>
      <w:sz w:val="44"/>
      <w:szCs w:val="44"/>
    </w:rPr>
  </w:style>
  <w:style w:type="character" w:customStyle="1" w:styleId="14">
    <w:name w:val="标题 2 Char"/>
    <w:basedOn w:val="12"/>
    <w:link w:val="3"/>
    <w:qFormat/>
    <w:uiPriority w:val="9"/>
    <w:rPr>
      <w:rFonts w:asciiTheme="majorHAnsi" w:hAnsiTheme="majorHAnsi" w:eastAsiaTheme="majorEastAsia" w:cstheme="majorBidi"/>
      <w:b/>
      <w:bCs/>
      <w:sz w:val="32"/>
      <w:szCs w:val="32"/>
    </w:rPr>
  </w:style>
  <w:style w:type="paragraph" w:styleId="15">
    <w:name w:val="List Paragraph"/>
    <w:basedOn w:val="1"/>
    <w:qFormat/>
    <w:uiPriority w:val="34"/>
    <w:pPr>
      <w:ind w:firstLine="420" w:firstLineChars="200"/>
    </w:pPr>
  </w:style>
  <w:style w:type="paragraph" w:customStyle="1" w:styleId="1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hart" Target="charts/chart5.xml"/><Relationship Id="rId8" Type="http://schemas.openxmlformats.org/officeDocument/2006/relationships/chart" Target="charts/chart4.xml"/><Relationship Id="rId7" Type="http://schemas.openxmlformats.org/officeDocument/2006/relationships/chart" Target="charts/chart3.xml"/><Relationship Id="rId6" Type="http://schemas.openxmlformats.org/officeDocument/2006/relationships/chart" Target="charts/chart2.xml"/><Relationship Id="rId5" Type="http://schemas.openxmlformats.org/officeDocument/2006/relationships/chart" Target="charts/chart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chart" Target="charts/chart7.xml"/><Relationship Id="rId10" Type="http://schemas.openxmlformats.org/officeDocument/2006/relationships/chart" Target="charts/chart6.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_rels/chart3.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4.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5.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6.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7.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收支情况总计变化图</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收入</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extLst>
                <c:ext xmlns:c15="http://schemas.microsoft.com/office/drawing/2012/chart" uri="{02D57815-91ED-43cb-92C2-25804820EDAC}">
                  <c15:fullRef>
                    <c15:sqref>Sheet1!$A$2:$A$5</c15:sqref>
                  </c15:fullRef>
                </c:ext>
              </c:extLst>
              <c:f>Sheet1!$A$2:$A$3</c:f>
              <c:numCache>
                <c:formatCode>General</c:formatCode>
                <c:ptCount val="2"/>
                <c:pt idx="0">
                  <c:v>2024</c:v>
                </c:pt>
                <c:pt idx="1">
                  <c:v>2025</c:v>
                </c:pt>
              </c:numCache>
            </c:numRef>
          </c:cat>
          <c:val>
            <c:numRef>
              <c:extLst>
                <c:ext xmlns:c15="http://schemas.microsoft.com/office/drawing/2012/chart" uri="{02D57815-91ED-43cb-92C2-25804820EDAC}">
                  <c15:fullRef>
                    <c15:sqref>Sheet1!$B$2:$B$5</c15:sqref>
                  </c15:fullRef>
                </c:ext>
              </c:extLst>
              <c:f>Sheet1!$B$2:$B$3</c:f>
              <c:numCache>
                <c:formatCode>General</c:formatCode>
                <c:ptCount val="2"/>
                <c:pt idx="0">
                  <c:v>35417.49</c:v>
                </c:pt>
                <c:pt idx="1">
                  <c:v>41154.52</c:v>
                </c:pt>
              </c:numCache>
            </c:numRef>
          </c:val>
        </c:ser>
        <c:ser>
          <c:idx val="1"/>
          <c:order val="1"/>
          <c:tx>
            <c:strRef>
              <c:f>Sheet1!$C$1</c:f>
              <c:strCache>
                <c:ptCount val="1"/>
                <c:pt idx="0">
                  <c:v>支出</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extLst>
                <c:ext xmlns:c15="http://schemas.microsoft.com/office/drawing/2012/chart" uri="{02D57815-91ED-43cb-92C2-25804820EDAC}">
                  <c15:fullRef>
                    <c15:sqref>Sheet1!$A$2:$A$5</c15:sqref>
                  </c15:fullRef>
                </c:ext>
              </c:extLst>
              <c:f>Sheet1!$A$2:$A$3</c:f>
              <c:numCache>
                <c:formatCode>General</c:formatCode>
                <c:ptCount val="2"/>
                <c:pt idx="0">
                  <c:v>2024</c:v>
                </c:pt>
                <c:pt idx="1">
                  <c:v>2025</c:v>
                </c:pt>
              </c:numCache>
            </c:numRef>
          </c:cat>
          <c:val>
            <c:numRef>
              <c:extLst>
                <c:ext xmlns:c15="http://schemas.microsoft.com/office/drawing/2012/chart" uri="{02D57815-91ED-43cb-92C2-25804820EDAC}">
                  <c15:fullRef>
                    <c15:sqref>Sheet1!$C$2:$C$5</c15:sqref>
                  </c15:fullRef>
                </c:ext>
              </c:extLst>
              <c:f>Sheet1!$C$2:$C$3</c:f>
              <c:numCache>
                <c:formatCode>General</c:formatCode>
                <c:ptCount val="2"/>
                <c:pt idx="0">
                  <c:v>35417.49</c:v>
                </c:pt>
                <c:pt idx="1">
                  <c:v>41154.52</c:v>
                </c:pt>
              </c:numCache>
            </c:numRef>
          </c:val>
        </c:ser>
        <c:dLbls>
          <c:showLegendKey val="0"/>
          <c:showVal val="1"/>
          <c:showCatName val="0"/>
          <c:showSerName val="0"/>
          <c:showPercent val="0"/>
          <c:showBubbleSize val="0"/>
        </c:dLbls>
        <c:gapWidth val="246"/>
        <c:overlap val="-28"/>
        <c:axId val="708890816"/>
        <c:axId val="731047252"/>
      </c:barChart>
      <c:catAx>
        <c:axId val="708890816"/>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1047252"/>
        <c:crosses val="autoZero"/>
        <c:auto val="1"/>
        <c:lblAlgn val="ctr"/>
        <c:lblOffset val="100"/>
        <c:noMultiLvlLbl val="0"/>
      </c:catAx>
      <c:valAx>
        <c:axId val="73104725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0889081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584a94e-3190-4db5-b101-726754a7d2a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收入决算结构图</a:t>
            </a:r>
          </a:p>
        </c:rich>
      </c:tx>
      <c:layout/>
      <c:overlay val="0"/>
      <c:spPr>
        <a:noFill/>
        <a:ln>
          <a:noFill/>
        </a:ln>
        <a:effectLst/>
      </c:spPr>
    </c:title>
    <c:autoTitleDeleted val="0"/>
    <c:plotArea>
      <c:layout/>
      <c:pieChart>
        <c:varyColors val="1"/>
        <c:ser>
          <c:idx val="0"/>
          <c:order val="0"/>
          <c:tx>
            <c:strRef>
              <c:f>Sheet1!$B$1</c:f>
              <c:strCache>
                <c:ptCount val="1"/>
                <c:pt idx="0">
                  <c:v>销售额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Pt>
            <c:idx val="6"/>
            <c:bubble3D val="0"/>
            <c:spPr>
              <a:solidFill>
                <a:schemeClr val="accent1">
                  <a:lumMod val="60000"/>
                </a:schemeClr>
              </a:solidFill>
              <a:ln>
                <a:solidFill>
                  <a:schemeClr val="bg1"/>
                </a:solidFill>
              </a:ln>
              <a:effectLst/>
            </c:spPr>
          </c:dPt>
          <c:dPt>
            <c:idx val="7"/>
            <c:bubble3D val="0"/>
            <c:spPr>
              <a:solidFill>
                <a:schemeClr val="accent2">
                  <a:lumMod val="60000"/>
                </a:schemeClr>
              </a:solidFill>
              <a:ln>
                <a:solidFill>
                  <a:schemeClr val="bg1"/>
                </a:solidFill>
              </a:ln>
              <a:effectLst/>
            </c:spPr>
          </c:dPt>
          <c:dLbls>
            <c:delete val="1"/>
          </c:dLbls>
          <c:cat>
            <c:strRef>
              <c:f>Sheet1!$A$2:$A$9</c:f>
              <c:strCache>
                <c:ptCount val="8"/>
                <c:pt idx="0">
                  <c:v>一般公共预算财政拨款收入</c:v>
                </c:pt>
                <c:pt idx="1">
                  <c:v>政府性基金预算财政拨款收入</c:v>
                </c:pt>
                <c:pt idx="2">
                  <c:v>国有资本经营预算财政拨款收入</c:v>
                </c:pt>
                <c:pt idx="3">
                  <c:v>上级补助收入</c:v>
                </c:pt>
                <c:pt idx="4">
                  <c:v>事业收入</c:v>
                </c:pt>
                <c:pt idx="5">
                  <c:v>经营收入</c:v>
                </c:pt>
                <c:pt idx="6">
                  <c:v>附属单位上缴收入</c:v>
                </c:pt>
                <c:pt idx="7">
                  <c:v>其他收入</c:v>
                </c:pt>
              </c:strCache>
            </c:strRef>
          </c:cat>
          <c:val>
            <c:numRef>
              <c:f>Sheet1!$B$2:$B$9</c:f>
              <c:numCache>
                <c:formatCode>General</c:formatCode>
                <c:ptCount val="8"/>
                <c:pt idx="0">
                  <c:v>23679.63</c:v>
                </c:pt>
                <c:pt idx="1">
                  <c:v>8100</c:v>
                </c:pt>
                <c:pt idx="2">
                  <c:v>0</c:v>
                </c:pt>
                <c:pt idx="3">
                  <c:v>0</c:v>
                </c:pt>
                <c:pt idx="4">
                  <c:v>0</c:v>
                </c:pt>
                <c:pt idx="5">
                  <c:v>0</c:v>
                </c:pt>
                <c:pt idx="6">
                  <c:v>0</c:v>
                </c:pt>
                <c:pt idx="7">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a0a0c43-4dd6-4065-8c18-f836d4e790ca}"/>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支出决算结构图</a:t>
            </a:r>
          </a:p>
        </c:rich>
      </c:tx>
      <c:layout/>
      <c:overlay val="0"/>
      <c:spPr>
        <a:noFill/>
        <a:ln>
          <a:noFill/>
        </a:ln>
        <a:effectLst/>
      </c:spPr>
    </c:title>
    <c:autoTitleDeleted val="0"/>
    <c:plotArea>
      <c:layout/>
      <c:pieChart>
        <c:varyColors val="1"/>
        <c:ser>
          <c:idx val="0"/>
          <c:order val="0"/>
          <c:tx>
            <c:strRef>
              <c:f>Sheet1!$B$1</c:f>
              <c:strCache>
                <c:ptCount val="1"/>
                <c:pt idx="0">
                  <c:v>销售额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elete val="1"/>
          </c:dLbls>
          <c:cat>
            <c:strRef>
              <c:f>Sheet1!$A$2:$A$6</c:f>
              <c:strCache>
                <c:ptCount val="5"/>
                <c:pt idx="0">
                  <c:v>基本支出</c:v>
                </c:pt>
                <c:pt idx="1">
                  <c:v>项目支出</c:v>
                </c:pt>
                <c:pt idx="2">
                  <c:v>上缴上级</c:v>
                </c:pt>
                <c:pt idx="3">
                  <c:v>经营支出</c:v>
                </c:pt>
                <c:pt idx="4">
                  <c:v>对附属单位补助支出</c:v>
                </c:pt>
              </c:strCache>
            </c:strRef>
          </c:cat>
          <c:val>
            <c:numRef>
              <c:f>Sheet1!$B$2:$B$6</c:f>
              <c:numCache>
                <c:formatCode>General</c:formatCode>
                <c:ptCount val="5"/>
                <c:pt idx="0">
                  <c:v>730.61</c:v>
                </c:pt>
                <c:pt idx="1">
                  <c:v>40423.91</c:v>
                </c:pt>
                <c:pt idx="2">
                  <c:v>0</c:v>
                </c:pt>
                <c:pt idx="3">
                  <c:v>0</c:v>
                </c:pt>
                <c:pt idx="4">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ee64537e-fa4a-4214-b46c-fe2f6887ea2c}"/>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收支情况总计变化图</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收入</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extLst>
                <c:ext xmlns:c15="http://schemas.microsoft.com/office/drawing/2012/chart" uri="{02D57815-91ED-43cb-92C2-25804820EDAC}">
                  <c15:fullRef>
                    <c15:sqref>Sheet1!$A$2:$A$5</c15:sqref>
                  </c15:fullRef>
                </c:ext>
              </c:extLst>
              <c:f>Sheet1!$A$2:$A$3</c:f>
              <c:numCache>
                <c:formatCode>General</c:formatCode>
                <c:ptCount val="2"/>
                <c:pt idx="0">
                  <c:v>2024</c:v>
                </c:pt>
                <c:pt idx="1">
                  <c:v>2025</c:v>
                </c:pt>
              </c:numCache>
            </c:numRef>
          </c:cat>
          <c:val>
            <c:numRef>
              <c:extLst>
                <c:ext xmlns:c15="http://schemas.microsoft.com/office/drawing/2012/chart" uri="{02D57815-91ED-43cb-92C2-25804820EDAC}">
                  <c15:fullRef>
                    <c15:sqref>Sheet1!$B$2:$B$5</c15:sqref>
                  </c15:fullRef>
                </c:ext>
              </c:extLst>
              <c:f>Sheet1!$B$2:$B$3</c:f>
              <c:numCache>
                <c:formatCode>General</c:formatCode>
                <c:ptCount val="2"/>
                <c:pt idx="0">
                  <c:v>35417.49</c:v>
                </c:pt>
                <c:pt idx="1">
                  <c:v>41154.52</c:v>
                </c:pt>
              </c:numCache>
            </c:numRef>
          </c:val>
        </c:ser>
        <c:ser>
          <c:idx val="1"/>
          <c:order val="1"/>
          <c:tx>
            <c:strRef>
              <c:f>Sheet1!$C$1</c:f>
              <c:strCache>
                <c:ptCount val="1"/>
                <c:pt idx="0">
                  <c:v>支出</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extLst>
                <c:ext xmlns:c15="http://schemas.microsoft.com/office/drawing/2012/chart" uri="{02D57815-91ED-43cb-92C2-25804820EDAC}">
                  <c15:fullRef>
                    <c15:sqref>Sheet1!$A$2:$A$5</c15:sqref>
                  </c15:fullRef>
                </c:ext>
              </c:extLst>
              <c:f>Sheet1!$A$2:$A$3</c:f>
              <c:numCache>
                <c:formatCode>General</c:formatCode>
                <c:ptCount val="2"/>
                <c:pt idx="0">
                  <c:v>2024</c:v>
                </c:pt>
                <c:pt idx="1">
                  <c:v>2025</c:v>
                </c:pt>
              </c:numCache>
            </c:numRef>
          </c:cat>
          <c:val>
            <c:numRef>
              <c:extLst>
                <c:ext xmlns:c15="http://schemas.microsoft.com/office/drawing/2012/chart" uri="{02D57815-91ED-43cb-92C2-25804820EDAC}">
                  <c15:fullRef>
                    <c15:sqref>Sheet1!$C$2:$C$5</c15:sqref>
                  </c15:fullRef>
                </c:ext>
              </c:extLst>
              <c:f>Sheet1!$C$2:$C$3</c:f>
              <c:numCache>
                <c:formatCode>General</c:formatCode>
                <c:ptCount val="2"/>
                <c:pt idx="0">
                  <c:v>35417.49</c:v>
                </c:pt>
                <c:pt idx="1">
                  <c:v>41154.52</c:v>
                </c:pt>
              </c:numCache>
            </c:numRef>
          </c:val>
        </c:ser>
        <c:dLbls>
          <c:showLegendKey val="0"/>
          <c:showVal val="0"/>
          <c:showCatName val="0"/>
          <c:showSerName val="0"/>
          <c:showPercent val="0"/>
          <c:showBubbleSize val="0"/>
        </c:dLbls>
        <c:gapWidth val="246"/>
        <c:overlap val="-28"/>
        <c:axId val="708890816"/>
        <c:axId val="731047252"/>
      </c:barChart>
      <c:catAx>
        <c:axId val="708890816"/>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1047252"/>
        <c:crosses val="autoZero"/>
        <c:auto val="1"/>
        <c:lblAlgn val="ctr"/>
        <c:lblOffset val="100"/>
        <c:noMultiLvlLbl val="0"/>
      </c:catAx>
      <c:valAx>
        <c:axId val="73104725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0889081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444c998-95f7-45ac-ab30-ad54524952e2}"/>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一般公共预算财政拨款支出</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Sheet1!$A$2:$A$3</c:f>
              <c:numCache>
                <c:formatCode>General</c:formatCode>
                <c:ptCount val="2"/>
                <c:pt idx="0">
                  <c:v>2024</c:v>
                </c:pt>
                <c:pt idx="1">
                  <c:v>2025</c:v>
                </c:pt>
              </c:numCache>
            </c:numRef>
          </c:cat>
          <c:val>
            <c:numRef>
              <c:f>Sheet1!$B$2:$B$3</c:f>
              <c:numCache>
                <c:formatCode>General</c:formatCode>
                <c:ptCount val="2"/>
                <c:pt idx="0">
                  <c:v>35417.49</c:v>
                </c:pt>
                <c:pt idx="1">
                  <c:v>33054.52</c:v>
                </c:pt>
              </c:numCache>
            </c:numRef>
          </c:val>
        </c:ser>
        <c:dLbls>
          <c:showLegendKey val="0"/>
          <c:showVal val="1"/>
          <c:showCatName val="0"/>
          <c:showSerName val="0"/>
          <c:showPercent val="0"/>
          <c:showBubbleSize val="0"/>
        </c:dLbls>
        <c:gapWidth val="246"/>
        <c:overlap val="-28"/>
        <c:axId val="823551647"/>
        <c:axId val="477735481"/>
      </c:barChart>
      <c:catAx>
        <c:axId val="823551647"/>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7735481"/>
        <c:crosses val="autoZero"/>
        <c:auto val="1"/>
        <c:lblAlgn val="ctr"/>
        <c:lblOffset val="100"/>
        <c:noMultiLvlLbl val="0"/>
      </c:catAx>
      <c:valAx>
        <c:axId val="477735481"/>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2355164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89aaa6c-ee84-4461-82ed-e0b4e24de65c}"/>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一般公共预算财政拨款支出决算结构图</a:t>
            </a:r>
          </a:p>
        </c:rich>
      </c:tx>
      <c:layout/>
      <c:overlay val="0"/>
      <c:spPr>
        <a:noFill/>
        <a:ln>
          <a:noFill/>
        </a:ln>
        <a:effectLst/>
      </c:spPr>
    </c:title>
    <c:autoTitleDeleted val="0"/>
    <c:plotArea>
      <c:layout/>
      <c:pieChart>
        <c:varyColors val="1"/>
        <c:ser>
          <c:idx val="0"/>
          <c:order val="0"/>
          <c:tx>
            <c:strRef>
              <c:f>Sheet1!$B$1</c:f>
              <c:strCache>
                <c:ptCount val="1"/>
                <c:pt idx="0">
                  <c:v>销售额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Pt>
            <c:idx val="6"/>
            <c:bubble3D val="0"/>
            <c:spPr>
              <a:solidFill>
                <a:schemeClr val="accent1">
                  <a:lumMod val="60000"/>
                </a:schemeClr>
              </a:solidFill>
              <a:ln>
                <a:solidFill>
                  <a:schemeClr val="bg1"/>
                </a:solidFill>
              </a:ln>
              <a:effectLst/>
            </c:spPr>
          </c:dPt>
          <c:dLbls>
            <c:delete val="1"/>
          </c:dLbls>
          <c:cat>
            <c:strRef>
              <c:f>Sheet1!$A$2:$A$8</c:f>
              <c:strCache>
                <c:ptCount val="7"/>
                <c:pt idx="0">
                  <c:v>一般公共服务支出</c:v>
                </c:pt>
                <c:pt idx="1">
                  <c:v>社会保障和就业支出</c:v>
                </c:pt>
                <c:pt idx="2">
                  <c:v>卫生健康支出</c:v>
                </c:pt>
                <c:pt idx="3">
                  <c:v>节能环保支出</c:v>
                </c:pt>
                <c:pt idx="4">
                  <c:v>城乡社区支出</c:v>
                </c:pt>
                <c:pt idx="5">
                  <c:v>农林水支出</c:v>
                </c:pt>
                <c:pt idx="6">
                  <c:v>住房保障支出</c:v>
                </c:pt>
              </c:strCache>
            </c:strRef>
          </c:cat>
          <c:val>
            <c:numRef>
              <c:f>Sheet1!$B$2:$B$8</c:f>
              <c:numCache>
                <c:formatCode>General</c:formatCode>
                <c:ptCount val="7"/>
                <c:pt idx="0">
                  <c:v>74.84</c:v>
                </c:pt>
                <c:pt idx="1">
                  <c:v>97.89</c:v>
                </c:pt>
                <c:pt idx="2">
                  <c:v>36.25</c:v>
                </c:pt>
                <c:pt idx="3">
                  <c:v>8308.68</c:v>
                </c:pt>
                <c:pt idx="4">
                  <c:v>20824.33</c:v>
                </c:pt>
                <c:pt idx="5">
                  <c:v>3275.31</c:v>
                </c:pt>
                <c:pt idx="6">
                  <c:v>437.22</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96a0b0f-2b07-4fc2-8eaa-842f5b679a9c}"/>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三公经费支出结构</a:t>
            </a:r>
          </a:p>
        </c:rich>
      </c:tx>
      <c:layout/>
      <c:overlay val="0"/>
      <c:spPr>
        <a:noFill/>
        <a:ln>
          <a:noFill/>
        </a:ln>
        <a:effectLst/>
      </c:spPr>
    </c:title>
    <c:autoTitleDeleted val="0"/>
    <c:plotArea>
      <c:layout/>
      <c:pieChart>
        <c:varyColors val="1"/>
        <c:ser>
          <c:idx val="0"/>
          <c:order val="0"/>
          <c:tx>
            <c:strRef>
              <c:f>Sheet1!$B$1</c:f>
              <c:strCache>
                <c:ptCount val="1"/>
                <c:pt idx="0">
                  <c:v>销售额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delete val="1"/>
          </c:dLbls>
          <c:cat>
            <c:strRef>
              <c:f>Sheet1!$A$2:$A$4</c:f>
              <c:strCache>
                <c:ptCount val="3"/>
                <c:pt idx="0">
                  <c:v>因公出国（境）费</c:v>
                </c:pt>
                <c:pt idx="1">
                  <c:v>公务用车购置及运行费</c:v>
                </c:pt>
                <c:pt idx="2">
                  <c:v>公务接待费</c:v>
                </c:pt>
              </c:strCache>
            </c:strRef>
          </c:cat>
          <c:val>
            <c:numRef>
              <c:f>Sheet1!$B$2:$B$4</c:f>
              <c:numCache>
                <c:formatCode>General</c:formatCode>
                <c:ptCount val="3"/>
                <c:pt idx="0">
                  <c:v>0</c:v>
                </c:pt>
                <c:pt idx="1">
                  <c:v>10</c:v>
                </c:pt>
                <c:pt idx="2">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f520bd1-58ff-4564-8e9e-f45e84a5969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26</Pages>
  <Words>8665</Words>
  <Characters>9424</Characters>
  <Lines>0</Lines>
  <Paragraphs>0</Paragraphs>
  <TotalTime>6</TotalTime>
  <ScaleCrop>false</ScaleCrop>
  <LinksUpToDate>false</LinksUpToDate>
  <CharactersWithSpaces>9452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2026-10-21T09:21:00Z</dcterms:created>
  <dc:creator>Administrator</dc:creator>
  <cp:lastModifiedBy>sang ji cuo</cp:lastModifiedBy>
  <dcterms:modified xsi:type="dcterms:W3CDTF">2026-10-26T08:50:19Z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eyJoZGlkIjoiY2Y3MjIzM2U2MDgzODZmNDczOTZlNDcyNzZhMGNiN2QiLCJ1c2VySWQiOiIzMTg3MDAwMzIifQ==</vt:lpwstr>
  </property>
  <property fmtid="{D5CDD505-2E9C-101B-9397-08002B2CF9AE}" pid="4" name="ICV">
    <vt:lpwstr>E92A45186B9D4AC48EAF049BA6DF4A50_12</vt:lpwstr>
  </property>
</Properties>
</file>