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ECBB0">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78442"/>
      <w:bookmarkStart w:id="1" w:name="_Toc15377426"/>
      <w:bookmarkStart w:id="2" w:name="_Toc15396598"/>
      <w:bookmarkStart w:id="3" w:name="_Toc15396476"/>
      <w:bookmarkStart w:id="4" w:name="_Toc15377194"/>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Start w:id="5" w:name="_Toc15306268"/>
      <w:r>
        <w:rPr>
          <w:rFonts w:hint="eastAsia" w:ascii="Times New Roman" w:hAnsi="Times New Roman" w:eastAsia="方正小标宋简体" w:cs="Times New Roman"/>
          <w:color w:val="auto"/>
          <w:kern w:val="2"/>
          <w:sz w:val="44"/>
          <w:szCs w:val="44"/>
          <w:highlight w:val="none"/>
          <w:lang w:val="en-US" w:eastAsia="zh-CN" w:bidi="ar-SA"/>
        </w:rPr>
        <w:t>阿坝州若尔盖县住房和城乡建设局（执法大队）</w:t>
      </w: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0"/>
      <w:bookmarkEnd w:id="1"/>
      <w:bookmarkEnd w:id="2"/>
      <w:bookmarkEnd w:id="3"/>
      <w:bookmarkEnd w:id="4"/>
      <w:bookmarkEnd w:id="5"/>
    </w:p>
    <w:p w14:paraId="3FB7513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25FED1A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7E4F9F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2A9D82D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1E91ED6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30B2615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28E1BD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434E3CB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0354C29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35C9CE9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630308C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4FD048F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3C678F5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5E35D5D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1FAC190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41984BB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07E015D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5E3A112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ascii="Times New Roman" w:hAnsi="Times New Roman" w:eastAsia="仿宋"/>
          <w:sz w:val="32"/>
        </w:rPr>
      </w:pPr>
    </w:p>
    <w:p w14:paraId="67DC121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 w:cs="仿宋"/>
          <w:color w:val="auto"/>
          <w:sz w:val="32"/>
          <w:szCs w:val="32"/>
          <w:highlight w:val="none"/>
          <w:lang w:val="en-US" w:eastAsia="zh-CN"/>
        </w:rPr>
      </w:pPr>
      <w:r>
        <w:rPr>
          <w:rFonts w:ascii="Times New Roman" w:hAnsi="Times New Roman" w:eastAsia="仿宋"/>
          <w:sz w:val="32"/>
        </w:rPr>
        <w:t>已经保密审查、内容审定、同意对外公开</w:t>
      </w:r>
    </w:p>
    <w:p w14:paraId="642F3E93">
      <w:pPr>
        <w:widowControl/>
        <w:jc w:val="center"/>
        <w:rPr>
          <w:rFonts w:hint="eastAsia" w:ascii="Times New Roman" w:hAnsi="Times New Roman" w:eastAsia="黑体"/>
          <w:color w:val="auto"/>
          <w:sz w:val="48"/>
          <w:szCs w:val="48"/>
          <w:highlight w:val="none"/>
        </w:rPr>
      </w:pPr>
    </w:p>
    <w:p w14:paraId="7A4485A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7CD3BF3">
      <w:pPr>
        <w:widowControl/>
        <w:jc w:val="center"/>
        <w:rPr>
          <w:rFonts w:ascii="Times New Roman" w:hAnsi="Times New Roman" w:eastAsia="黑体" w:cstheme="minorBidi"/>
          <w:color w:val="auto"/>
          <w:sz w:val="28"/>
          <w:szCs w:val="28"/>
          <w:highlight w:val="none"/>
        </w:rPr>
      </w:pPr>
    </w:p>
    <w:p w14:paraId="486298D4">
      <w:pPr>
        <w:pStyle w:val="11"/>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公开时间：20</w:t>
      </w:r>
      <w:r>
        <w:rPr>
          <w:rFonts w:hint="eastAsia" w:ascii="Times New Roman" w:hAnsi="Times New Roman" w:eastAsia="仿宋" w:cs="仿宋"/>
          <w:color w:val="auto"/>
          <w:sz w:val="32"/>
          <w:szCs w:val="32"/>
          <w:highlight w:val="none"/>
          <w:lang w:val="en-US" w:eastAsia="zh-CN"/>
        </w:rPr>
        <w:t>26</w:t>
      </w:r>
      <w:r>
        <w:rPr>
          <w:rFonts w:hint="eastAsia" w:ascii="Times New Roman" w:hAnsi="Times New Roman" w:eastAsia="仿宋" w:cs="仿宋"/>
          <w:color w:val="auto"/>
          <w:sz w:val="32"/>
          <w:szCs w:val="32"/>
          <w:highlight w:val="none"/>
        </w:rPr>
        <w:t>年</w:t>
      </w:r>
      <w:r>
        <w:rPr>
          <w:rFonts w:hint="eastAsia" w:ascii="Times New Roman" w:hAnsi="Times New Roman" w:eastAsia="仿宋" w:cs="仿宋"/>
          <w:color w:val="auto"/>
          <w:sz w:val="32"/>
          <w:szCs w:val="32"/>
          <w:highlight w:val="none"/>
          <w:lang w:val="en-US" w:eastAsia="zh-CN"/>
        </w:rPr>
        <w:t xml:space="preserve"> 10 </w:t>
      </w:r>
      <w:r>
        <w:rPr>
          <w:rFonts w:hint="eastAsia" w:ascii="Times New Roman" w:hAnsi="Times New Roman" w:eastAsia="仿宋" w:cs="仿宋"/>
          <w:color w:val="auto"/>
          <w:sz w:val="32"/>
          <w:szCs w:val="32"/>
          <w:highlight w:val="none"/>
        </w:rPr>
        <w:t>月</w:t>
      </w:r>
      <w:r>
        <w:rPr>
          <w:rFonts w:hint="eastAsia" w:ascii="Times New Roman" w:hAnsi="Times New Roman" w:eastAsia="仿宋" w:cs="仿宋"/>
          <w:color w:val="auto"/>
          <w:sz w:val="32"/>
          <w:szCs w:val="32"/>
          <w:highlight w:val="none"/>
          <w:lang w:val="en-US" w:eastAsia="zh-CN"/>
        </w:rPr>
        <w:t xml:space="preserve"> 10 </w:t>
      </w:r>
      <w:r>
        <w:rPr>
          <w:rFonts w:hint="eastAsia" w:ascii="Times New Roman" w:hAnsi="Times New Roman" w:eastAsia="仿宋" w:cs="仿宋"/>
          <w:color w:val="auto"/>
          <w:sz w:val="32"/>
          <w:szCs w:val="32"/>
          <w:highlight w:val="none"/>
        </w:rPr>
        <w:t>日</w:t>
      </w:r>
    </w:p>
    <w:p w14:paraId="7F15E8FC">
      <w:pPr>
        <w:rPr>
          <w:rFonts w:ascii="Times New Roman" w:hAnsi="Times New Roman"/>
          <w:color w:val="auto"/>
          <w:highlight w:val="none"/>
        </w:rPr>
      </w:pPr>
    </w:p>
    <w:p w14:paraId="5F86FD0E">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2B6DB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w:t>
      </w:r>
      <w:r>
        <w:rPr>
          <w:rFonts w:hint="eastAsia" w:ascii="Times New Roman" w:hAnsi="Times New Roman" w:eastAsia="仿宋" w:cs="仿宋"/>
          <w:color w:val="auto"/>
          <w:sz w:val="32"/>
          <w:szCs w:val="32"/>
          <w:highlight w:val="none"/>
          <w:lang w:eastAsia="zh-CN"/>
        </w:rPr>
        <w:t>部门职责</w:t>
      </w:r>
    </w:p>
    <w:p w14:paraId="64DE72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二、机构设置</w:t>
      </w:r>
    </w:p>
    <w:p w14:paraId="405BD66D">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53A212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一、收入支出决算总体情况说明</w:t>
      </w:r>
    </w:p>
    <w:p w14:paraId="7153533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二、收入决算情况说明</w:t>
      </w:r>
    </w:p>
    <w:p w14:paraId="252D9B7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三、支出决算情况说明</w:t>
      </w:r>
    </w:p>
    <w:p w14:paraId="232CC7E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四、财政拨款收入支出决算总体情况说明</w:t>
      </w:r>
    </w:p>
    <w:p w14:paraId="797D43D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五、一般公共预算财政拨款支出决算情况说明</w:t>
      </w:r>
    </w:p>
    <w:p w14:paraId="46F6D0E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六、一般公共预算财政拨款基本支出决算情况说明</w:t>
      </w:r>
    </w:p>
    <w:p w14:paraId="25818BE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七、财政拨款</w:t>
      </w:r>
      <w:r>
        <w:rPr>
          <w:rFonts w:hint="eastAsia" w:ascii="Times New Roman" w:hAnsi="Times New Roman" w:eastAsia="仿宋" w:cs="仿宋"/>
          <w:color w:val="auto"/>
          <w:sz w:val="32"/>
          <w:szCs w:val="32"/>
          <w:highlight w:val="none"/>
          <w:lang w:eastAsia="zh-CN"/>
        </w:rPr>
        <w:t>“</w:t>
      </w:r>
      <w:r>
        <w:rPr>
          <w:rFonts w:hint="eastAsia" w:ascii="Times New Roman" w:hAnsi="Times New Roman" w:eastAsia="仿宋" w:cs="仿宋"/>
          <w:color w:val="auto"/>
          <w:sz w:val="32"/>
          <w:szCs w:val="32"/>
          <w:highlight w:val="none"/>
        </w:rPr>
        <w:t>三公”经费支出决算情况说明</w:t>
      </w:r>
    </w:p>
    <w:p w14:paraId="515354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八、政府性基金预算支出决算情况说明</w:t>
      </w:r>
    </w:p>
    <w:p w14:paraId="296FBDB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九、</w:t>
      </w:r>
      <w:r>
        <w:rPr>
          <w:rFonts w:hint="eastAsia" w:ascii="Times New Roman" w:hAnsi="Times New Roman" w:eastAsia="仿宋" w:cs="仿宋"/>
          <w:color w:val="auto"/>
          <w:sz w:val="32"/>
          <w:szCs w:val="32"/>
          <w:highlight w:val="none"/>
          <w:lang w:eastAsia="zh-CN"/>
        </w:rPr>
        <w:t>国</w:t>
      </w:r>
      <w:r>
        <w:rPr>
          <w:rFonts w:hint="eastAsia" w:ascii="Times New Roman" w:hAnsi="Times New Roman" w:eastAsia="仿宋" w:cs="仿宋"/>
          <w:color w:val="auto"/>
          <w:sz w:val="32"/>
          <w:szCs w:val="32"/>
          <w:highlight w:val="none"/>
        </w:rPr>
        <w:t>有资本经营预算支出决算情况说明</w:t>
      </w:r>
    </w:p>
    <w:p w14:paraId="7409480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lang w:eastAsia="zh-CN"/>
        </w:rPr>
        <w:t>十</w:t>
      </w:r>
      <w:r>
        <w:rPr>
          <w:rFonts w:hint="eastAsia" w:ascii="Times New Roman" w:hAnsi="Times New Roman" w:eastAsia="仿宋" w:cs="仿宋"/>
          <w:color w:val="auto"/>
          <w:sz w:val="32"/>
          <w:szCs w:val="32"/>
          <w:highlight w:val="none"/>
        </w:rPr>
        <w:t>、其他重要事项的情况说明</w:t>
      </w:r>
    </w:p>
    <w:p w14:paraId="73373275">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F34BF7A">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25CE59BA">
      <w:pPr>
        <w:pStyle w:val="11"/>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00B68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一、收入支出决算总表</w:t>
      </w:r>
    </w:p>
    <w:p w14:paraId="3189CDB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二、收入决算表</w:t>
      </w:r>
    </w:p>
    <w:p w14:paraId="166E2D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三、支出决算表</w:t>
      </w:r>
    </w:p>
    <w:p w14:paraId="6B8821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四、财政拨款收入支出决算总表</w:t>
      </w:r>
    </w:p>
    <w:p w14:paraId="6E9BDF4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五、财政拨款支出决算明细表</w:t>
      </w:r>
    </w:p>
    <w:p w14:paraId="332D883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六、一般公共预算财政拨款支出决算表</w:t>
      </w:r>
    </w:p>
    <w:p w14:paraId="31271B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七、一般公共预算财政拨款支出决算明细表</w:t>
      </w:r>
    </w:p>
    <w:p w14:paraId="09FA959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八、一般公共预算财政拨款基本支出决算</w:t>
      </w:r>
      <w:r>
        <w:rPr>
          <w:rFonts w:hint="eastAsia" w:ascii="Times New Roman" w:hAnsi="Times New Roman" w:eastAsia="仿宋" w:cs="仿宋"/>
          <w:color w:val="auto"/>
          <w:sz w:val="32"/>
          <w:szCs w:val="32"/>
          <w:highlight w:val="none"/>
          <w:lang w:eastAsia="zh-CN"/>
        </w:rPr>
        <w:t>明细</w:t>
      </w:r>
      <w:r>
        <w:rPr>
          <w:rFonts w:hint="eastAsia" w:ascii="Times New Roman" w:hAnsi="Times New Roman" w:eastAsia="仿宋" w:cs="仿宋"/>
          <w:color w:val="auto"/>
          <w:sz w:val="32"/>
          <w:szCs w:val="32"/>
          <w:highlight w:val="none"/>
        </w:rPr>
        <w:t>表</w:t>
      </w:r>
    </w:p>
    <w:p w14:paraId="797B507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九、一般公共预算财政拨款项目支出决算表</w:t>
      </w:r>
    </w:p>
    <w:p w14:paraId="7785D1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十、政府性基金预算财政拨款收入支出决算表</w:t>
      </w:r>
    </w:p>
    <w:p w14:paraId="7B8CDA1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十一、国有资本经营预算财政拨款收入支出决算表</w:t>
      </w:r>
    </w:p>
    <w:p w14:paraId="2E503AF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十二、</w:t>
      </w:r>
      <w:r>
        <w:rPr>
          <w:rFonts w:hint="eastAsia" w:ascii="Times New Roman" w:hAnsi="Times New Roman" w:eastAsia="仿宋" w:cs="仿宋"/>
          <w:color w:val="auto"/>
          <w:sz w:val="32"/>
          <w:szCs w:val="32"/>
          <w:highlight w:val="none"/>
          <w:lang w:val="en-US" w:eastAsia="zh-CN"/>
        </w:rPr>
        <w:t>国有资本经营预算财政拨款支出决算表</w:t>
      </w:r>
    </w:p>
    <w:p w14:paraId="627F78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十三、财政拨款“三公”经费支出决算表</w:t>
      </w:r>
    </w:p>
    <w:p w14:paraId="4F28B05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 w:cs="仿宋"/>
          <w:bCs/>
          <w:color w:val="auto"/>
          <w:kern w:val="44"/>
          <w:sz w:val="32"/>
          <w:szCs w:val="32"/>
          <w:highlight w:val="none"/>
        </w:rPr>
      </w:pPr>
      <w:bookmarkStart w:id="6" w:name="_Toc15377196"/>
      <w:bookmarkStart w:id="7" w:name="_Toc15396599"/>
      <w:r>
        <w:rPr>
          <w:rFonts w:hint="eastAsia" w:ascii="Times New Roman" w:hAnsi="Times New Roman" w:eastAsia="仿宋" w:cs="仿宋"/>
          <w:b/>
          <w:color w:val="auto"/>
          <w:sz w:val="32"/>
          <w:szCs w:val="32"/>
          <w:highlight w:val="none"/>
        </w:rPr>
        <w:br w:type="page"/>
      </w:r>
    </w:p>
    <w:p w14:paraId="76E5EED3">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66B4D244">
      <w:pPr>
        <w:widowControl/>
        <w:jc w:val="left"/>
        <w:rPr>
          <w:rFonts w:ascii="Times New Roman" w:hAnsi="Times New Roman" w:eastAsia="黑体"/>
          <w:color w:val="auto"/>
          <w:sz w:val="32"/>
          <w:szCs w:val="32"/>
          <w:highlight w:val="none"/>
        </w:rPr>
      </w:pPr>
    </w:p>
    <w:p w14:paraId="3CF7CCBD">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64C2DC66">
      <w:pPr>
        <w:widowControl/>
        <w:spacing w:line="560" w:lineRule="exact"/>
        <w:rPr>
          <w:rFonts w:hint="eastAsia" w:ascii="宋体" w:eastAsia="宋体" w:cs="宋体"/>
          <w:b/>
          <w:bCs/>
          <w:kern w:val="0"/>
          <w:sz w:val="32"/>
          <w:szCs w:val="32"/>
          <w:lang w:bidi="ar-SA"/>
        </w:rPr>
      </w:pPr>
      <w:r>
        <w:rPr>
          <w:rFonts w:hint="eastAsia" w:ascii="宋体" w:eastAsia="宋体" w:cs="宋体"/>
          <w:b/>
          <w:bCs/>
          <w:kern w:val="0"/>
          <w:sz w:val="32"/>
          <w:szCs w:val="32"/>
          <w:lang w:bidi="ar-SA"/>
        </w:rPr>
        <w:t>1、办公室（财务室）</w:t>
      </w:r>
    </w:p>
    <w:p w14:paraId="71E19EFB">
      <w:pPr>
        <w:widowControl/>
        <w:spacing w:line="560" w:lineRule="exact"/>
        <w:ind w:firstLine="640" w:firstLineChars="200"/>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局机关政务协调、文电处理、政务信息、机要、安全、保密、文书档案管理；并按规定指导全县城乡建设档案工作。负责重要综合性会议的组织协调、新闻宣传、目标管理、外事、信访工作；负责重要文件、会议决议、领导指示的督办工作，协调各股、室、站、队、所开展业务工作。协调组织相关股、室、站、队办理人大代表建议、政协委员提案。负责局机关人事管理工作，负责本局退休人员的管理；承担局机关和直属事业单位的机构编制管理和人事劳资工作。负责局机关社会治安综合治理和维护稳定工作，开展精神文明建设活动，协助局机关支部开展理论学习。综合管理中央和省、州级财政用于住房城乡建设系统的各专项资金；协调、指导和监督住房和城乡建设领域财税、价格政策的落实；负责局行政机关和直属事业单位的财务及国有资产的监督管理。行业普法和法治宣传教育工作。负责住房和城乡建设志的编撰工作。负责综合协调住房和城乡规划建设系统行政审批以及行政复议、诉讼、信访等工作。</w:t>
      </w:r>
    </w:p>
    <w:p w14:paraId="47393FBB">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会计个人工作：做好预算会计工作，及时准确报送财务报表，负责财务预决算的编制，审核、编制经费总预决算。做好记账凭证的编制，账簿登记及票据的保管工作。</w:t>
      </w:r>
    </w:p>
    <w:p w14:paraId="039F8BEA">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出纳个人工作：负责日常款项的划拨和费用的报销工作，做好项目报账资料的审核工作。严格报账程序</w:t>
      </w:r>
    </w:p>
    <w:p w14:paraId="02870C92">
      <w:pPr>
        <w:widowControl/>
        <w:spacing w:line="56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2、建设管理股</w:t>
      </w:r>
    </w:p>
    <w:p w14:paraId="1C5C960E">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负责城乡建设许可行政审批工作; 负责拟订城乡建设行政许可事项审查（审核）的政策、规定、标准、规程细则；指导城乡基础设施建设、城乡管理和市政、公用事业、环卫事业的发展；拟订城乡建设、环境综合治理、市政公用事业、环卫事业的发展战略、中长期规划、产业政策、技术标准和村镇建设的发展战略及政策，并监督实施；负责建制镇的供水、排水、节水、燃气、热力、市政设施（城镇道路、桥梁、河道、路灯等）、市容环境卫生、垃圾处理、防汛排涝、城镇雕塑的监督管理工作；负责城镇污水处理设施和管网配套建设</w:t>
      </w:r>
      <w:bookmarkStart w:id="61" w:name="_GoBack"/>
      <w:bookmarkEnd w:id="61"/>
      <w:r>
        <w:rPr>
          <w:rFonts w:hint="eastAsia" w:ascii="仿宋" w:eastAsia="仿宋" w:cs="Times New Roman"/>
          <w:kern w:val="0"/>
          <w:sz w:val="32"/>
          <w:szCs w:val="32"/>
          <w:lang w:val="en-US" w:eastAsia="zh-CN" w:bidi="ar-SA"/>
        </w:rPr>
        <w:t>及运营监督管理工作；指导城镇市容环境综合治理工作。指导和管理全县乡镇和村庄建设工作；指导农村住房建设、建设工程质量安全管理、危房改造；组织村镇建设试点工作，指导和管理全县重点镇的建设。监督执行招标代理、建筑施工、工程监理、工程检测、工程担保等市场准入与清算管理的规章制度；负责建设工程施工许可、工程质量和施工安全、工程竣工验收备案的监督检查，参与工程重大质量、安全事故的调查处理；负责县外入县建设类企业及个人执业行为的监督管理；配合相关部门开展房屋建筑和市政基础设施工程项目招投标活动的监督。负责指导建筑行业诚信体系建设；组织实施建筑活动监督执法；负责城建档案收集、立卷、归档、整理和管理工作，指导全县建造师和建筑施工企业执业人员资格管理。指导农村建筑工匠培训和管理。管理勘察设计市场；指导城镇勘察、城镇地下空间规划及开发利用工作；拟订行业科技发展和建筑节能规划及相关技术政策并组织实施。</w:t>
      </w:r>
    </w:p>
    <w:p w14:paraId="44552885">
      <w:pPr>
        <w:widowControl/>
        <w:spacing w:line="540" w:lineRule="exact"/>
        <w:ind w:firstLine="643" w:firstLineChars="200"/>
        <w:rPr>
          <w:rFonts w:hint="eastAsia" w:ascii="宋体" w:eastAsia="宋体" w:cs="宋体"/>
          <w:b/>
          <w:bCs/>
          <w:kern w:val="0"/>
          <w:sz w:val="32"/>
          <w:szCs w:val="32"/>
          <w:lang w:bidi="ar-SA"/>
        </w:rPr>
      </w:pPr>
      <w:r>
        <w:rPr>
          <w:rFonts w:hint="eastAsia" w:ascii="宋体" w:eastAsia="宋体" w:cs="宋体"/>
          <w:b/>
          <w:bCs/>
          <w:kern w:val="0"/>
          <w:sz w:val="32"/>
          <w:szCs w:val="32"/>
          <w:lang w:bidi="ar-SA"/>
        </w:rPr>
        <w:t>3、住房保障股</w:t>
      </w:r>
    </w:p>
    <w:p w14:paraId="4E0F90A6">
      <w:pPr>
        <w:widowControl/>
        <w:rPr>
          <w:rFonts w:hint="eastAsia" w:ascii="仿宋" w:eastAsia="仿宋" w:cs="Times New Roman"/>
          <w:kern w:val="0"/>
          <w:sz w:val="32"/>
          <w:szCs w:val="32"/>
          <w:lang w:val="en-US" w:eastAsia="zh-CN" w:bidi="ar-SA"/>
        </w:rPr>
      </w:pPr>
      <w:r>
        <w:rPr>
          <w:rFonts w:hint="eastAsia" w:ascii="仿宋" w:eastAsia="仿宋" w:cs="Times New Roman"/>
          <w:kern w:val="0"/>
          <w:sz w:val="32"/>
          <w:szCs w:val="32"/>
          <w:lang w:val="en-US" w:eastAsia="zh-CN" w:bidi="ar-SA"/>
        </w:rPr>
        <w:t>拟订全县住房政策、规章制度并组织实施；指导全县住房建设和住房制度改革；组织编制全县保障性住房建设规划、住房保障发展规划和年度计划并监督实施，拟订全县房地产市场监督管理和稳定住房价格的政策、措施并监督执行；指导城镇土地使用权有偿转让和开发利用工作；拟订房地产业的发展规划、产业政策和规章制度；提出进城定居农民的住房政策建议以及农房产权产籍管理工作；拟订商品住宅发展规划；组织拟订城镇住宅建设、房地产开发、房屋征收拆迁、房地产交易、房屋权属管理、房屋面积管理、房地产中介、物业管理、房屋安全鉴定等工作的规章制度并监督实施；负责规定范围内的房屋产权确权登记发证；组织建设并管理全县房屋权属信息系统。</w:t>
      </w:r>
    </w:p>
    <w:p w14:paraId="3F7F1F3E">
      <w:pPr>
        <w:pStyle w:val="13"/>
        <w:ind w:left="0" w:leftChars="0" w:firstLine="321" w:firstLineChars="100"/>
        <w:rPr>
          <w:rFonts w:hint="eastAsia" w:ascii="宋体" w:eastAsia="宋体" w:cs="宋体"/>
          <w:b/>
          <w:bCs/>
          <w:kern w:val="0"/>
          <w:sz w:val="32"/>
          <w:szCs w:val="32"/>
          <w:lang w:bidi="ar-SA"/>
        </w:rPr>
      </w:pPr>
      <w:r>
        <w:rPr>
          <w:rFonts w:hint="eastAsia" w:ascii="宋体" w:eastAsia="宋体" w:cs="宋体"/>
          <w:b/>
          <w:bCs/>
          <w:kern w:val="0"/>
          <w:sz w:val="32"/>
          <w:szCs w:val="32"/>
          <w:lang w:bidi="ar-SA"/>
        </w:rPr>
        <w:t>4、村镇股</w:t>
      </w:r>
    </w:p>
    <w:p w14:paraId="6C2DB8FD">
      <w:pPr>
        <w:numPr>
          <w:ilvl w:val="0"/>
          <w:numId w:val="0"/>
        </w:numPr>
        <w:rPr>
          <w:rFonts w:hint="eastAsia"/>
          <w:lang w:eastAsia="zh-CN"/>
        </w:rPr>
      </w:pPr>
      <w:r>
        <w:rPr>
          <w:rFonts w:hint="eastAsia" w:ascii="仿宋" w:eastAsia="仿宋" w:cs="Times New Roman"/>
          <w:kern w:val="0"/>
          <w:sz w:val="32"/>
          <w:szCs w:val="32"/>
          <w:lang w:val="en-US" w:eastAsia="zh-CN" w:bidi="ar-SA"/>
        </w:rPr>
        <w:t>指导乡镇和村庄建设工作；拟订村镇建设发展战略和政策并监督实施；组织村镇建设相关试点工作，指导全县小城镇建设、传统村落建设工作；指导乡村建筑风貌引导、保护利用乡土建筑文化等工作；指导农村住房建设、危旧房改造及农房建设管理人才培训等工作；承担历史文化名镇、名村的审核报批、保护和监督管理有关工作。</w:t>
      </w:r>
    </w:p>
    <w:p w14:paraId="2822ECEA">
      <w:pPr>
        <w:pStyle w:val="4"/>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24A96B8C">
      <w:pPr>
        <w:ind w:firstLine="800" w:firstLineChars="250"/>
        <w:rPr>
          <w:rFonts w:hint="eastAsia" w:ascii="Times New Roman" w:hAnsi="Times New Roman" w:eastAsia="仿宋" w:cs="仿宋"/>
          <w:color w:val="auto"/>
          <w:sz w:val="32"/>
          <w:szCs w:val="32"/>
          <w:highlight w:val="none"/>
        </w:rPr>
      </w:pPr>
      <w:r>
        <w:rPr>
          <w:rFonts w:hint="eastAsia" w:ascii="仿宋" w:hAnsi="仿宋" w:eastAsia="仿宋" w:cs="仿宋"/>
          <w:color w:val="auto"/>
          <w:sz w:val="32"/>
          <w:szCs w:val="32"/>
          <w:highlight w:val="none"/>
        </w:rPr>
        <w:t>阿坝州若尔盖县住房和城乡建设综合行政执法大队</w:t>
      </w:r>
      <w:r>
        <w:rPr>
          <w:rFonts w:hint="eastAsia" w:ascii="Times New Roman" w:hAnsi="Times New Roman" w:eastAsia="仿宋" w:cs="仿宋"/>
          <w:color w:val="auto"/>
          <w:sz w:val="32"/>
          <w:szCs w:val="32"/>
          <w:highlight w:val="none"/>
        </w:rPr>
        <w:t>下属二级</w:t>
      </w:r>
      <w:r>
        <w:rPr>
          <w:rFonts w:hint="eastAsia" w:ascii="Times New Roman" w:hAnsi="Times New Roman" w:eastAsia="仿宋" w:cs="仿宋"/>
          <w:color w:val="auto"/>
          <w:sz w:val="32"/>
          <w:szCs w:val="32"/>
          <w:highlight w:val="none"/>
          <w:lang w:eastAsia="zh-CN"/>
        </w:rPr>
        <w:t>预算</w:t>
      </w:r>
      <w:r>
        <w:rPr>
          <w:rFonts w:hint="eastAsia" w:ascii="Times New Roman" w:hAnsi="Times New Roman" w:eastAsia="仿宋" w:cs="仿宋"/>
          <w:color w:val="auto"/>
          <w:sz w:val="32"/>
          <w:szCs w:val="32"/>
          <w:highlight w:val="none"/>
        </w:rPr>
        <w:t>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个，其中行政单位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个，参照公务员法管理的事业单位</w:t>
      </w:r>
      <w:r>
        <w:rPr>
          <w:rFonts w:hint="eastAsia" w:eastAsia="仿宋" w:cs="仿宋"/>
          <w:bCs/>
          <w:color w:val="auto"/>
          <w:sz w:val="32"/>
          <w:szCs w:val="32"/>
          <w:highlight w:val="none"/>
          <w:lang w:val="en-US" w:eastAsia="zh-CN"/>
        </w:rPr>
        <w:t>0</w:t>
      </w:r>
      <w:r>
        <w:rPr>
          <w:rFonts w:hint="eastAsia" w:ascii="Times New Roman" w:hAnsi="Times New Roman" w:eastAsia="仿宋" w:cs="仿宋"/>
          <w:color w:val="auto"/>
          <w:sz w:val="32"/>
          <w:szCs w:val="32"/>
          <w:highlight w:val="none"/>
        </w:rPr>
        <w:t>个，其他事业单位</w:t>
      </w:r>
      <w:r>
        <w:rPr>
          <w:rFonts w:hint="eastAsia" w:eastAsia="仿宋" w:cs="仿宋"/>
          <w:color w:val="auto"/>
          <w:sz w:val="32"/>
          <w:szCs w:val="32"/>
          <w:highlight w:val="none"/>
          <w:lang w:val="en-US" w:eastAsia="zh-CN"/>
        </w:rPr>
        <w:t>0</w:t>
      </w:r>
      <w:r>
        <w:rPr>
          <w:rFonts w:hint="eastAsia" w:ascii="Times New Roman" w:hAnsi="Times New Roman" w:eastAsia="仿宋" w:cs="仿宋"/>
          <w:color w:val="auto"/>
          <w:sz w:val="32"/>
          <w:szCs w:val="32"/>
          <w:highlight w:val="none"/>
        </w:rPr>
        <w:t>个。</w:t>
      </w:r>
    </w:p>
    <w:p w14:paraId="391D1D83">
      <w:pPr>
        <w:widowControl/>
        <w:jc w:val="left"/>
        <w:rPr>
          <w:rFonts w:ascii="Times New Roman" w:hAnsi="Times New Roman" w:eastAsia="仿宋"/>
          <w:color w:val="auto"/>
          <w:kern w:val="0"/>
          <w:sz w:val="32"/>
          <w:szCs w:val="32"/>
          <w:highlight w:val="none"/>
        </w:rPr>
      </w:pPr>
    </w:p>
    <w:p w14:paraId="54ABE68B">
      <w:pPr>
        <w:pStyle w:val="3"/>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0982367">
      <w:pPr>
        <w:rPr>
          <w:rFonts w:ascii="Times New Roman" w:hAnsi="Times New Roman"/>
          <w:color w:val="auto"/>
          <w:highlight w:val="none"/>
        </w:rPr>
      </w:pPr>
    </w:p>
    <w:p w14:paraId="55567BD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73E58C1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lang w:val="en-US" w:eastAsia="zh-CN"/>
        </w:rPr>
      </w:pPr>
      <w:r>
        <w:rPr>
          <w:rFonts w:ascii="仿宋_GB2312" w:eastAsia="仿宋_GB2312" w:cs="仿宋_GB2312"/>
          <w:sz w:val="32"/>
          <w:szCs w:val="32"/>
          <w:lang w:bidi="ar-SA"/>
        </w:rPr>
        <w:pict>
          <v:shape id="Object 9" o:spid="_x0000_s1026" o:spt="75" alt="0.emf" type="#_x0000_t75" style="position:absolute;left:0pt;margin-left:15.4pt;margin-top:96.7pt;height:206.25pt;width:377.25pt;mso-wrap-distance-bottom:0pt;mso-wrap-distance-left:9pt;mso-wrap-distance-right:9pt;mso-wrap-distance-top:0pt;z-index:251659264;mso-width-relative:page;mso-height-relative:page;" o:ole="t" filled="f" o:preferrelative="t" stroked="f" coordsize="21600,21600">
            <v:path/>
            <v:fill on="f" focussize="0,0"/>
            <v:stroke on="f"/>
            <v:imagedata r:id="rId7" o:title=""/>
            <o:lock v:ext="edit" aspectratio="t"/>
            <w10:wrap type="square"/>
          </v:shape>
          <o:OLEObject Type="Embed" ProgID="Excel.Chart.8" ShapeID="Object 9" DrawAspect="Content" ObjectID="_1468075725" r:id="rId6">
            <o:LockedField>false</o:LockedField>
          </o:OLEObject>
        </w:pict>
      </w:r>
      <w:r>
        <w:rPr>
          <w:rFonts w:hint="eastAsia" w:eastAsia="仿宋" w:cs="仿宋"/>
          <w:color w:val="auto"/>
          <w:sz w:val="32"/>
          <w:szCs w:val="32"/>
          <w:highlight w:val="none"/>
          <w:lang w:eastAsia="zh-CN"/>
        </w:rPr>
        <w:t>2025年度</w:t>
      </w:r>
      <w:r>
        <w:rPr>
          <w:rFonts w:hint="eastAsia" w:ascii="Times New Roman" w:hAnsi="Times New Roman" w:eastAsia="仿宋" w:cs="仿宋"/>
          <w:color w:val="auto"/>
          <w:sz w:val="32"/>
          <w:szCs w:val="32"/>
          <w:highlight w:val="none"/>
          <w:lang w:eastAsia="zh-CN"/>
        </w:rPr>
        <w:t>收入</w:t>
      </w:r>
      <w:r>
        <w:rPr>
          <w:rFonts w:hint="eastAsia" w:ascii="Times New Roman" w:hAnsi="Times New Roman" w:eastAsia="仿宋" w:cs="仿宋"/>
          <w:color w:val="auto"/>
          <w:sz w:val="32"/>
          <w:szCs w:val="32"/>
          <w:highlight w:val="none"/>
        </w:rPr>
        <w:t>、</w:t>
      </w:r>
      <w:r>
        <w:rPr>
          <w:rFonts w:hint="eastAsia" w:ascii="Times New Roman" w:hAnsi="Times New Roman" w:eastAsia="仿宋" w:cs="仿宋"/>
          <w:color w:val="auto"/>
          <w:sz w:val="32"/>
          <w:szCs w:val="32"/>
          <w:highlight w:val="none"/>
          <w:lang w:eastAsia="zh-CN"/>
        </w:rPr>
        <w:t>支出</w:t>
      </w:r>
      <w:r>
        <w:rPr>
          <w:rFonts w:hint="eastAsia" w:ascii="Times New Roman" w:hAnsi="Times New Roman" w:eastAsia="仿宋" w:cs="仿宋"/>
          <w:color w:val="auto"/>
          <w:sz w:val="32"/>
          <w:szCs w:val="32"/>
          <w:highlight w:val="none"/>
        </w:rPr>
        <w:t>总计</w:t>
      </w:r>
      <w:r>
        <w:rPr>
          <w:rFonts w:hint="eastAsia" w:ascii="Times New Roman" w:hAnsi="Times New Roman" w:eastAsia="仿宋" w:cs="仿宋"/>
          <w:color w:val="auto"/>
          <w:sz w:val="32"/>
          <w:szCs w:val="32"/>
          <w:highlight w:val="none"/>
          <w:lang w:eastAsia="zh-CN"/>
        </w:rPr>
        <w:t>均为</w:t>
      </w:r>
      <w:r>
        <w:rPr>
          <w:rFonts w:hint="eastAsia" w:ascii="仿宋" w:hAnsi="仿宋" w:eastAsia="仿宋" w:cs="仿宋"/>
          <w:sz w:val="32"/>
          <w:szCs w:val="32"/>
        </w:rPr>
        <w:t>220.56</w:t>
      </w:r>
      <w:r>
        <w:rPr>
          <w:rFonts w:hint="eastAsia" w:ascii="Times New Roman" w:hAnsi="Times New Roman" w:eastAsia="仿宋" w:cs="仿宋"/>
          <w:color w:val="auto"/>
          <w:sz w:val="32"/>
          <w:szCs w:val="32"/>
          <w:highlight w:val="none"/>
        </w:rPr>
        <w:t>万元。与</w:t>
      </w:r>
      <w:r>
        <w:rPr>
          <w:rFonts w:hint="eastAsia" w:eastAsia="仿宋" w:cs="仿宋"/>
          <w:color w:val="auto"/>
          <w:sz w:val="32"/>
          <w:szCs w:val="32"/>
          <w:highlight w:val="none"/>
          <w:lang w:eastAsia="zh-CN"/>
        </w:rPr>
        <w:t>上</w:t>
      </w:r>
      <w:r>
        <w:rPr>
          <w:rFonts w:hint="eastAsia" w:ascii="Times New Roman" w:hAnsi="Times New Roman" w:eastAsia="仿宋" w:cs="仿宋"/>
          <w:color w:val="auto"/>
          <w:sz w:val="32"/>
          <w:szCs w:val="32"/>
          <w:highlight w:val="none"/>
        </w:rPr>
        <w:t>年</w:t>
      </w:r>
      <w:r>
        <w:rPr>
          <w:rFonts w:hint="eastAsia" w:ascii="Times New Roman" w:hAnsi="Times New Roman" w:eastAsia="仿宋" w:cs="仿宋"/>
          <w:color w:val="auto"/>
          <w:sz w:val="32"/>
          <w:szCs w:val="32"/>
          <w:highlight w:val="none"/>
          <w:lang w:eastAsia="zh-CN"/>
        </w:rPr>
        <w:t>度</w:t>
      </w:r>
      <w:r>
        <w:rPr>
          <w:rFonts w:hint="eastAsia" w:ascii="Times New Roman" w:hAnsi="Times New Roman" w:eastAsia="仿宋" w:cs="仿宋"/>
          <w:color w:val="auto"/>
          <w:sz w:val="32"/>
          <w:szCs w:val="32"/>
          <w:highlight w:val="none"/>
        </w:rPr>
        <w:t>相比，</w:t>
      </w:r>
      <w:r>
        <w:rPr>
          <w:rFonts w:hint="eastAsia" w:ascii="Times New Roman" w:hAnsi="Times New Roman" w:eastAsia="仿宋" w:cs="仿宋"/>
          <w:color w:val="auto"/>
          <w:sz w:val="32"/>
          <w:szCs w:val="32"/>
          <w:highlight w:val="none"/>
          <w:lang w:eastAsia="zh-CN"/>
        </w:rPr>
        <w:t>收入</w:t>
      </w:r>
      <w:r>
        <w:rPr>
          <w:rFonts w:hint="eastAsia" w:ascii="Times New Roman" w:hAnsi="Times New Roman" w:eastAsia="仿宋" w:cs="仿宋"/>
          <w:color w:val="auto"/>
          <w:sz w:val="32"/>
          <w:szCs w:val="32"/>
          <w:highlight w:val="none"/>
        </w:rPr>
        <w:t>、</w:t>
      </w:r>
      <w:r>
        <w:rPr>
          <w:rFonts w:hint="eastAsia" w:ascii="Times New Roman" w:hAnsi="Times New Roman" w:eastAsia="仿宋" w:cs="仿宋"/>
          <w:color w:val="auto"/>
          <w:sz w:val="32"/>
          <w:szCs w:val="32"/>
          <w:highlight w:val="none"/>
          <w:lang w:eastAsia="zh-CN"/>
        </w:rPr>
        <w:t>支出</w:t>
      </w:r>
      <w:r>
        <w:rPr>
          <w:rFonts w:hint="eastAsia" w:ascii="Times New Roman" w:hAnsi="Times New Roman" w:eastAsia="仿宋" w:cs="仿宋"/>
          <w:color w:val="auto"/>
          <w:sz w:val="32"/>
          <w:szCs w:val="32"/>
          <w:highlight w:val="none"/>
        </w:rPr>
        <w:t>总计各增加</w:t>
      </w:r>
      <w:r>
        <w:rPr>
          <w:rFonts w:hint="eastAsia" w:eastAsia="仿宋" w:cs="仿宋"/>
          <w:color w:val="auto"/>
          <w:sz w:val="32"/>
          <w:szCs w:val="32"/>
          <w:highlight w:val="none"/>
          <w:lang w:val="en-US" w:eastAsia="zh-CN"/>
        </w:rPr>
        <w:t>61.51</w:t>
      </w:r>
      <w:r>
        <w:rPr>
          <w:rFonts w:hint="eastAsia" w:ascii="Times New Roman" w:hAnsi="Times New Roman" w:eastAsia="仿宋" w:cs="仿宋"/>
          <w:color w:val="auto"/>
          <w:sz w:val="32"/>
          <w:szCs w:val="32"/>
          <w:highlight w:val="none"/>
        </w:rPr>
        <w:t>万元，增长</w:t>
      </w:r>
      <w:r>
        <w:rPr>
          <w:rFonts w:hint="eastAsia" w:eastAsia="仿宋" w:cs="仿宋"/>
          <w:color w:val="auto"/>
          <w:sz w:val="32"/>
          <w:szCs w:val="32"/>
          <w:highlight w:val="none"/>
          <w:lang w:val="en-US" w:eastAsia="zh-CN"/>
        </w:rPr>
        <w:t>38.67</w:t>
      </w:r>
      <w:r>
        <w:rPr>
          <w:rFonts w:hint="eastAsia" w:ascii="Times New Roman" w:hAnsi="Times New Roman" w:eastAsia="仿宋" w:cs="仿宋"/>
          <w:color w:val="auto"/>
          <w:sz w:val="32"/>
          <w:szCs w:val="32"/>
          <w:highlight w:val="none"/>
        </w:rPr>
        <w:t>%。主要变动原因是</w:t>
      </w:r>
      <w:r>
        <w:rPr>
          <w:rFonts w:hint="eastAsia" w:ascii="仿宋" w:eastAsia="仿宋" w:cs="仿宋"/>
          <w:sz w:val="32"/>
          <w:szCs w:val="32"/>
          <w:lang w:val="en-US" w:eastAsia="zh-CN" w:bidi="ar-SA"/>
        </w:rPr>
        <w:t>人员增加。</w:t>
      </w:r>
    </w:p>
    <w:p w14:paraId="218A193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（图1：</w:t>
      </w:r>
      <w:r>
        <w:rPr>
          <w:rFonts w:hint="eastAsia" w:ascii="Times New Roman" w:hAnsi="Times New Roman" w:eastAsia="仿宋" w:cs="仿宋"/>
          <w:color w:val="auto"/>
          <w:sz w:val="32"/>
          <w:szCs w:val="32"/>
          <w:highlight w:val="none"/>
          <w:lang w:eastAsia="zh-CN"/>
        </w:rPr>
        <w:t>收入</w:t>
      </w:r>
      <w:r>
        <w:rPr>
          <w:rFonts w:hint="eastAsia" w:ascii="Times New Roman" w:hAnsi="Times New Roman" w:eastAsia="仿宋" w:cs="仿宋"/>
          <w:color w:val="auto"/>
          <w:sz w:val="32"/>
          <w:szCs w:val="32"/>
          <w:highlight w:val="none"/>
        </w:rPr>
        <w:t>、</w:t>
      </w:r>
      <w:r>
        <w:rPr>
          <w:rFonts w:hint="eastAsia" w:ascii="Times New Roman" w:hAnsi="Times New Roman" w:eastAsia="仿宋" w:cs="仿宋"/>
          <w:color w:val="auto"/>
          <w:sz w:val="32"/>
          <w:szCs w:val="32"/>
          <w:highlight w:val="none"/>
          <w:lang w:eastAsia="zh-CN"/>
        </w:rPr>
        <w:t>支出</w:t>
      </w:r>
      <w:r>
        <w:rPr>
          <w:rFonts w:hint="eastAsia" w:ascii="Times New Roman" w:hAnsi="Times New Roman" w:eastAsia="仿宋" w:cs="仿宋"/>
          <w:color w:val="auto"/>
          <w:sz w:val="32"/>
          <w:szCs w:val="32"/>
          <w:highlight w:val="none"/>
        </w:rPr>
        <w:t>决算总计变动情况图）（柱状图）</w:t>
      </w:r>
    </w:p>
    <w:p w14:paraId="6A4828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 w:cs="仿宋"/>
          <w:color w:val="auto"/>
          <w:sz w:val="32"/>
          <w:szCs w:val="32"/>
          <w:highlight w:val="none"/>
        </w:rPr>
      </w:pPr>
    </w:p>
    <w:p w14:paraId="1C5AE1C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DB8F7C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 w:cs="仿宋"/>
          <w:color w:val="auto"/>
          <w:sz w:val="32"/>
          <w:szCs w:val="32"/>
          <w:highlight w:val="none"/>
          <w:lang w:eastAsia="zh-CN"/>
        </w:rPr>
      </w:pPr>
      <w:r>
        <w:rPr>
          <w:rFonts w:ascii="仿宋_GB2312" w:eastAsia="仿宋_GB2312" w:cs="仿宋_GB2312"/>
          <w:b/>
          <w:sz w:val="32"/>
          <w:szCs w:val="32"/>
          <w:lang w:bidi="ar-SA"/>
        </w:rPr>
        <w:pict>
          <v:shape id="Object 11" o:spid="_x0000_s1027" o:spt="75" alt="1.emf" type="#_x0000_t75" style="position:absolute;left:0pt;margin-left:2.8pt;margin-top:186.25pt;height:222.75pt;width:369pt;mso-wrap-distance-bottom:0pt;mso-wrap-distance-top:0pt;z-index:251660288;mso-width-relative:page;mso-height-relative:page;" o:ole="t" filled="f" o:preferrelative="t" stroked="f" coordsize="21600,21600">
            <v:path/>
            <v:fill on="f" focussize="0,0"/>
            <v:stroke on="f"/>
            <v:imagedata r:id="rId9" o:title=""/>
            <o:lock v:ext="edit" aspectratio="t"/>
            <w10:wrap type="topAndBottom"/>
          </v:shape>
          <o:OLEObject Type="Embed" ProgID="Excel.Chart.8" ShapeID="Object 11" DrawAspect="Content" ObjectID="_1468075726" r:id="rId8">
            <o:LockedField>false</o:LockedField>
          </o:OLEObject>
        </w:pict>
      </w:r>
      <w:r>
        <w:rPr>
          <w:rFonts w:hint="eastAsia" w:eastAsia="仿宋" w:cs="仿宋"/>
          <w:color w:val="auto"/>
          <w:sz w:val="32"/>
          <w:szCs w:val="32"/>
          <w:highlight w:val="none"/>
          <w:lang w:eastAsia="zh-CN"/>
        </w:rPr>
        <w:t>2025年度</w:t>
      </w:r>
      <w:r>
        <w:rPr>
          <w:rFonts w:hint="eastAsia" w:ascii="Times New Roman" w:hAnsi="Times New Roman" w:eastAsia="仿宋" w:cs="仿宋"/>
          <w:color w:val="auto"/>
          <w:sz w:val="32"/>
          <w:szCs w:val="32"/>
          <w:highlight w:val="none"/>
          <w:lang w:eastAsia="zh-CN"/>
        </w:rPr>
        <w:t>本年收入合计</w:t>
      </w:r>
      <w:r>
        <w:rPr>
          <w:rFonts w:hint="eastAsia" w:ascii="仿宋" w:hAnsi="仿宋" w:eastAsia="仿宋" w:cs="仿宋"/>
          <w:sz w:val="32"/>
          <w:szCs w:val="32"/>
        </w:rPr>
        <w:t>220.56</w:t>
      </w:r>
      <w:r>
        <w:rPr>
          <w:rFonts w:hint="eastAsia" w:ascii="Times New Roman" w:hAnsi="Times New Roman" w:eastAsia="仿宋" w:cs="仿宋"/>
          <w:color w:val="auto"/>
          <w:sz w:val="32"/>
          <w:szCs w:val="32"/>
          <w:highlight w:val="none"/>
          <w:lang w:eastAsia="zh-CN"/>
        </w:rPr>
        <w:t>万元，其中：一般公共预算财政拨款收入</w:t>
      </w:r>
      <w:r>
        <w:rPr>
          <w:rFonts w:hint="eastAsia" w:ascii="仿宋" w:hAnsi="仿宋" w:eastAsia="仿宋" w:cs="仿宋"/>
          <w:sz w:val="32"/>
          <w:szCs w:val="32"/>
        </w:rPr>
        <w:t>220.56</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100</w:t>
      </w:r>
      <w:r>
        <w:rPr>
          <w:rFonts w:hint="eastAsia" w:ascii="Times New Roman" w:hAnsi="Times New Roman" w:eastAsia="仿宋" w:cs="仿宋"/>
          <w:color w:val="auto"/>
          <w:sz w:val="32"/>
          <w:szCs w:val="32"/>
          <w:highlight w:val="none"/>
          <w:lang w:eastAsia="zh-CN"/>
        </w:rPr>
        <w:t>%；政府性基金预算财政拨款收入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%；国有资本经营预算财政拨款收入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%；上级补助收入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%；事业收入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%；经营收入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%；附属单位上缴收入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%；其他收入</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w:t>
      </w:r>
    </w:p>
    <w:p w14:paraId="413300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lang w:eastAsia="zh-CN"/>
        </w:rPr>
      </w:pPr>
      <w:r>
        <w:rPr>
          <w:rFonts w:hint="eastAsia" w:ascii="Times New Roman" w:hAnsi="Times New Roman" w:eastAsia="仿宋" w:cs="仿宋"/>
          <w:color w:val="auto"/>
          <w:sz w:val="32"/>
          <w:szCs w:val="32"/>
          <w:highlight w:val="none"/>
          <w:lang w:eastAsia="zh-CN"/>
        </w:rPr>
        <w:t>（图2：收入决算结构图）（饼状图）</w:t>
      </w:r>
    </w:p>
    <w:p w14:paraId="03AA6612">
      <w:pPr>
        <w:ind w:firstLine="800" w:firstLineChars="250"/>
        <w:rPr>
          <w:rFonts w:hint="eastAsia" w:ascii="Times New Roman" w:hAnsi="Times New Roman" w:eastAsia="仿宋" w:cs="仿宋"/>
          <w:color w:val="auto"/>
          <w:sz w:val="32"/>
          <w:szCs w:val="32"/>
          <w:highlight w:val="none"/>
          <w:lang w:eastAsia="zh-CN"/>
        </w:rPr>
      </w:pPr>
    </w:p>
    <w:p w14:paraId="157FE60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1C7C565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
          <w:color w:val="auto"/>
          <w:sz w:val="32"/>
          <w:szCs w:val="32"/>
          <w:highlight w:val="none"/>
          <w:lang w:eastAsia="zh-CN"/>
        </w:rPr>
      </w:pPr>
      <w:r>
        <w:rPr>
          <w:rFonts w:hint="eastAsia" w:eastAsia="仿宋" w:cs="仿宋"/>
          <w:color w:val="auto"/>
          <w:sz w:val="32"/>
          <w:szCs w:val="32"/>
          <w:highlight w:val="none"/>
          <w:lang w:eastAsia="zh-CN"/>
        </w:rPr>
        <w:t>2025年度</w:t>
      </w:r>
      <w:r>
        <w:rPr>
          <w:rFonts w:hint="eastAsia" w:ascii="Times New Roman" w:hAnsi="Times New Roman" w:eastAsia="仿宋" w:cs="仿宋"/>
          <w:color w:val="auto"/>
          <w:sz w:val="32"/>
          <w:szCs w:val="32"/>
          <w:highlight w:val="none"/>
          <w:lang w:eastAsia="zh-CN"/>
        </w:rPr>
        <w:t>本年支出合计</w:t>
      </w:r>
      <w:r>
        <w:rPr>
          <w:rFonts w:hint="eastAsia" w:ascii="仿宋" w:hAnsi="仿宋" w:eastAsia="仿宋" w:cs="仿宋"/>
          <w:sz w:val="32"/>
          <w:szCs w:val="32"/>
        </w:rPr>
        <w:t>220.56</w:t>
      </w:r>
      <w:r>
        <w:rPr>
          <w:rFonts w:hint="eastAsia" w:ascii="Times New Roman" w:hAnsi="Times New Roman" w:eastAsia="仿宋" w:cs="仿宋"/>
          <w:color w:val="auto"/>
          <w:sz w:val="32"/>
          <w:szCs w:val="32"/>
          <w:highlight w:val="none"/>
          <w:lang w:eastAsia="zh-CN"/>
        </w:rPr>
        <w:t>万元，其中：基本支出</w:t>
      </w:r>
      <w:r>
        <w:rPr>
          <w:rFonts w:hint="eastAsia" w:ascii="仿宋" w:hAnsi="仿宋" w:eastAsia="仿宋" w:cs="仿宋"/>
          <w:sz w:val="32"/>
          <w:szCs w:val="32"/>
        </w:rPr>
        <w:t>220.56</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100</w:t>
      </w:r>
      <w:r>
        <w:rPr>
          <w:rFonts w:hint="eastAsia" w:ascii="Times New Roman" w:hAnsi="Times New Roman" w:eastAsia="仿宋" w:cs="仿宋"/>
          <w:color w:val="auto"/>
          <w:sz w:val="32"/>
          <w:szCs w:val="32"/>
          <w:highlight w:val="none"/>
          <w:lang w:eastAsia="zh-CN"/>
        </w:rPr>
        <w:t>%；项目支出</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%；上缴上级支出</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%；经营支出</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%；对附属单位补助支出</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万元，占</w:t>
      </w:r>
      <w:r>
        <w:rPr>
          <w:rFonts w:hint="eastAsia" w:ascii="仿宋" w:hAnsi="仿宋" w:eastAsia="仿宋" w:cs="仿宋"/>
          <w:sz w:val="32"/>
          <w:szCs w:val="32"/>
        </w:rPr>
        <w:t>0</w:t>
      </w:r>
      <w:r>
        <w:rPr>
          <w:rFonts w:hint="eastAsia" w:ascii="Times New Roman" w:hAnsi="Times New Roman" w:eastAsia="仿宋" w:cs="仿宋"/>
          <w:color w:val="auto"/>
          <w:sz w:val="32"/>
          <w:szCs w:val="32"/>
          <w:highlight w:val="none"/>
          <w:lang w:eastAsia="zh-CN"/>
        </w:rPr>
        <w:t>%。</w:t>
      </w:r>
    </w:p>
    <w:p w14:paraId="773E4BB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 w:cs="仿宋"/>
          <w:color w:val="auto"/>
          <w:sz w:val="32"/>
          <w:szCs w:val="32"/>
          <w:highlight w:val="none"/>
          <w:lang w:eastAsia="zh-CN"/>
        </w:rPr>
      </w:pPr>
      <w:r>
        <w:rPr>
          <w:rFonts w:ascii="仿宋_GB2312" w:eastAsia="仿宋_GB2312" w:cs="仿宋_GB2312"/>
          <w:b/>
          <w:sz w:val="32"/>
          <w:szCs w:val="32"/>
          <w:lang w:bidi="ar-SA"/>
        </w:rPr>
        <w:pict>
          <v:shape id="Object 12" o:spid="_x0000_s1028" o:spt="75" alt="2.emf" type="#_x0000_t75" style="position:absolute;left:0pt;margin-left:3.65pt;margin-top:8.4pt;height:222.75pt;width:366.75pt;mso-wrap-distance-bottom:0pt;mso-wrap-distance-top:0pt;z-index:251661312;mso-width-relative:page;mso-height-relative:page;" o:ole="t" filled="f" o:preferrelative="t" stroked="f" coordsize="21600,21600">
            <v:path/>
            <v:fill on="f" focussize="0,0"/>
            <v:stroke on="f"/>
            <v:imagedata r:id="rId11" o:title=""/>
            <o:lock v:ext="edit" aspectratio="t"/>
            <w10:wrap type="topAndBottom"/>
          </v:shape>
          <o:OLEObject Type="Embed" ProgID="Excel.Chart.8" ShapeID="Object 12" DrawAspect="Content" ObjectID="_1468075727" r:id="rId10">
            <o:LockedField>false</o:LockedField>
          </o:OLEObject>
        </w:pict>
      </w:r>
      <w:r>
        <w:rPr>
          <w:rFonts w:hint="eastAsia" w:ascii="Times New Roman" w:hAnsi="Times New Roman" w:eastAsia="仿宋" w:cs="仿宋"/>
          <w:color w:val="auto"/>
          <w:sz w:val="32"/>
          <w:szCs w:val="32"/>
          <w:highlight w:val="none"/>
          <w:lang w:eastAsia="zh-CN"/>
        </w:rPr>
        <w:t>（图3：支出决算结构图）（饼状图）</w:t>
      </w:r>
    </w:p>
    <w:p w14:paraId="0A7AC57E">
      <w:pPr>
        <w:ind w:firstLine="800" w:firstLineChars="250"/>
        <w:rPr>
          <w:rFonts w:hint="eastAsia" w:ascii="Times New Roman" w:hAnsi="Times New Roman" w:eastAsia="仿宋" w:cs="仿宋"/>
          <w:color w:val="auto"/>
          <w:sz w:val="32"/>
          <w:szCs w:val="32"/>
          <w:highlight w:val="none"/>
          <w:lang w:eastAsia="zh-CN"/>
        </w:rPr>
      </w:pPr>
    </w:p>
    <w:p w14:paraId="559BE32C">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74CEE867">
      <w:pPr>
        <w:spacing w:line="600" w:lineRule="exact"/>
        <w:ind w:firstLine="640"/>
        <w:rPr>
          <w:rFonts w:hint="eastAsia"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w:t>
      </w:r>
      <w:r>
        <w:rPr>
          <w:rFonts w:hint="eastAsia" w:ascii="Times New Roman" w:hAnsi="Times New Roman" w:eastAsia="仿宋" w:cs="仿宋"/>
          <w:color w:val="auto"/>
          <w:kern w:val="2"/>
          <w:sz w:val="32"/>
          <w:szCs w:val="32"/>
          <w:highlight w:val="none"/>
          <w:lang w:val="en-US" w:eastAsia="zh-CN" w:bidi="ar-SA"/>
        </w:rPr>
        <w:t>财政拨款收入、支出总计均为</w:t>
      </w:r>
      <w:r>
        <w:rPr>
          <w:rFonts w:hint="eastAsia" w:ascii="仿宋" w:hAnsi="仿宋" w:eastAsia="仿宋" w:cs="仿宋"/>
          <w:sz w:val="32"/>
          <w:szCs w:val="32"/>
        </w:rPr>
        <w:t>220.56</w:t>
      </w:r>
      <w:r>
        <w:rPr>
          <w:rFonts w:hint="eastAsia" w:ascii="Times New Roman" w:hAnsi="Times New Roman" w:eastAsia="仿宋" w:cs="仿宋"/>
          <w:color w:val="auto"/>
          <w:kern w:val="2"/>
          <w:sz w:val="32"/>
          <w:szCs w:val="32"/>
          <w:highlight w:val="none"/>
          <w:lang w:val="en-US" w:eastAsia="zh-CN" w:bidi="ar-SA"/>
        </w:rPr>
        <w:t>万元。与</w:t>
      </w:r>
      <w:r>
        <w:rPr>
          <w:rFonts w:hint="eastAsia" w:eastAsia="仿宋" w:cs="仿宋"/>
          <w:color w:val="auto"/>
          <w:kern w:val="2"/>
          <w:sz w:val="32"/>
          <w:szCs w:val="32"/>
          <w:highlight w:val="none"/>
          <w:lang w:val="en-US" w:eastAsia="zh-CN" w:bidi="ar-SA"/>
        </w:rPr>
        <w:t>上</w:t>
      </w:r>
      <w:r>
        <w:rPr>
          <w:rFonts w:hint="eastAsia" w:ascii="Times New Roman" w:hAnsi="Times New Roman" w:eastAsia="仿宋" w:cs="仿宋"/>
          <w:color w:val="auto"/>
          <w:kern w:val="2"/>
          <w:sz w:val="32"/>
          <w:szCs w:val="32"/>
          <w:highlight w:val="none"/>
          <w:lang w:val="en-US" w:eastAsia="zh-CN" w:bidi="ar-SA"/>
        </w:rPr>
        <w:t>年度相比，财政拨款收入、支出总计各增加</w:t>
      </w:r>
      <w:r>
        <w:rPr>
          <w:rFonts w:hint="eastAsia" w:eastAsia="仿宋" w:cs="仿宋"/>
          <w:color w:val="auto"/>
          <w:kern w:val="2"/>
          <w:sz w:val="32"/>
          <w:szCs w:val="32"/>
          <w:highlight w:val="none"/>
          <w:lang w:val="en-US" w:eastAsia="zh-CN" w:bidi="ar-SA"/>
        </w:rPr>
        <w:t>61.51</w:t>
      </w:r>
      <w:r>
        <w:rPr>
          <w:rFonts w:hint="eastAsia" w:ascii="Times New Roman" w:hAnsi="Times New Roman" w:eastAsia="仿宋" w:cs="仿宋"/>
          <w:color w:val="auto"/>
          <w:kern w:val="2"/>
          <w:sz w:val="32"/>
          <w:szCs w:val="32"/>
          <w:highlight w:val="none"/>
          <w:lang w:val="en-US" w:eastAsia="zh-CN" w:bidi="ar-SA"/>
        </w:rPr>
        <w:t>万元，增长</w:t>
      </w:r>
      <w:r>
        <w:rPr>
          <w:rFonts w:hint="eastAsia" w:eastAsia="仿宋" w:cs="仿宋"/>
          <w:color w:val="auto"/>
          <w:kern w:val="2"/>
          <w:sz w:val="32"/>
          <w:szCs w:val="32"/>
          <w:highlight w:val="none"/>
          <w:lang w:val="en-US" w:eastAsia="zh-CN" w:bidi="ar-SA"/>
        </w:rPr>
        <w:t>38.67</w:t>
      </w:r>
      <w:r>
        <w:rPr>
          <w:rFonts w:hint="eastAsia" w:ascii="Times New Roman" w:hAnsi="Times New Roman" w:eastAsia="仿宋" w:cs="仿宋"/>
          <w:color w:val="auto"/>
          <w:kern w:val="2"/>
          <w:sz w:val="32"/>
          <w:szCs w:val="32"/>
          <w:highlight w:val="none"/>
          <w:lang w:val="en-US" w:eastAsia="zh-CN" w:bidi="ar-SA"/>
        </w:rPr>
        <w:t>%。主要变动原因是</w:t>
      </w:r>
      <w:r>
        <w:rPr>
          <w:rFonts w:hint="eastAsia" w:eastAsia="仿宋" w:cs="仿宋"/>
          <w:color w:val="auto"/>
          <w:kern w:val="2"/>
          <w:sz w:val="32"/>
          <w:szCs w:val="32"/>
          <w:highlight w:val="none"/>
          <w:lang w:val="en-US" w:eastAsia="zh-CN" w:bidi="ar-SA"/>
        </w:rPr>
        <w:t>人员增加。</w:t>
      </w:r>
    </w:p>
    <w:p w14:paraId="2839E254">
      <w:pPr>
        <w:pStyle w:val="12"/>
        <w:rPr>
          <w:rFonts w:hint="eastAsia"/>
          <w:lang w:val="en-US" w:eastAsia="zh-CN"/>
        </w:rPr>
      </w:pPr>
      <w:r>
        <w:rPr>
          <w:rFonts w:ascii="仿宋_GB2312" w:eastAsia="仿宋_GB2312" w:cs="仿宋_GB2312"/>
          <w:sz w:val="32"/>
          <w:szCs w:val="32"/>
          <w:lang w:eastAsia="zh-CN" w:bidi="ar-SA"/>
        </w:rPr>
        <w:pict>
          <v:shape id="Object 13" o:spid="_x0000_s1029" o:spt="75" alt="3.emf" type="#_x0000_t75" style="position:absolute;left:0pt;margin-left:6.15pt;margin-top:1.45pt;height:222.75pt;width:377.25pt;mso-wrap-distance-bottom:0pt;mso-wrap-distance-top:0pt;z-index:251662336;mso-width-relative:page;mso-height-relative:page;" o:ole="t" filled="f" o:preferrelative="t" stroked="f" coordsize="21600,21600">
            <v:path/>
            <v:fill on="f" focussize="0,0"/>
            <v:stroke on="f"/>
            <v:imagedata r:id="rId13" o:title=""/>
            <o:lock v:ext="edit" aspectratio="t"/>
            <w10:wrap type="topAndBottom"/>
          </v:shape>
          <o:OLEObject Type="Embed" ProgID="Excel.Chart.8" ShapeID="Object 13" DrawAspect="Content" ObjectID="_1468075728" r:id="rId12">
            <o:LockedField>false</o:LockedField>
          </o:OLEObject>
        </w:pict>
      </w:r>
    </w:p>
    <w:p w14:paraId="3A72AA90">
      <w:pPr>
        <w:spacing w:line="600" w:lineRule="exact"/>
        <w:ind w:firstLine="640" w:firstLineChars="20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（图4：财政拨款收、支决算总计变动情况）（柱状图）</w:t>
      </w:r>
    </w:p>
    <w:p w14:paraId="28A832A7">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2FD92FBF">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0DEA9022">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22" w:name="_Toc15377210"/>
      <w:r>
        <w:rPr>
          <w:rFonts w:hint="eastAsia" w:ascii="Times New Roman" w:hAnsi="Times New Roman" w:eastAsia="楷体" w:cs="楷体"/>
          <w:b/>
          <w:color w:val="auto"/>
          <w:sz w:val="32"/>
          <w:szCs w:val="32"/>
          <w:highlight w:val="none"/>
        </w:rPr>
        <w:t>（一）一般公共预算财政拨款支出决算总体情况</w:t>
      </w:r>
      <w:bookmarkEnd w:id="22"/>
    </w:p>
    <w:p w14:paraId="37CB8E79">
      <w:pPr>
        <w:spacing w:line="600" w:lineRule="exact"/>
        <w:ind w:firstLine="640"/>
        <w:rPr>
          <w:rFonts w:hint="eastAsia"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w:t>
      </w:r>
      <w:r>
        <w:rPr>
          <w:rFonts w:hint="eastAsia" w:ascii="Times New Roman" w:hAnsi="Times New Roman" w:eastAsia="仿宋" w:cs="仿宋"/>
          <w:color w:val="auto"/>
          <w:kern w:val="2"/>
          <w:sz w:val="32"/>
          <w:szCs w:val="32"/>
          <w:highlight w:val="none"/>
          <w:lang w:val="en-US" w:eastAsia="zh-CN" w:bidi="ar-SA"/>
        </w:rPr>
        <w:t>一般公共预算财政拨款支出</w:t>
      </w:r>
      <w:r>
        <w:rPr>
          <w:rFonts w:hint="eastAsia" w:ascii="仿宋" w:hAnsi="仿宋" w:eastAsia="仿宋" w:cs="仿宋"/>
          <w:sz w:val="32"/>
          <w:szCs w:val="32"/>
        </w:rPr>
        <w:t>220.56</w:t>
      </w:r>
      <w:r>
        <w:rPr>
          <w:rFonts w:hint="eastAsia" w:ascii="Times New Roman" w:hAnsi="Times New Roman" w:eastAsia="仿宋" w:cs="仿宋"/>
          <w:color w:val="auto"/>
          <w:kern w:val="2"/>
          <w:sz w:val="32"/>
          <w:szCs w:val="32"/>
          <w:highlight w:val="none"/>
          <w:lang w:val="en-US" w:eastAsia="zh-CN" w:bidi="ar-SA"/>
        </w:rPr>
        <w:t>万元，占本年支出合计的</w:t>
      </w:r>
      <w:r>
        <w:rPr>
          <w:rFonts w:hint="eastAsia" w:ascii="仿宋" w:hAnsi="仿宋" w:eastAsia="仿宋" w:cs="仿宋"/>
          <w:sz w:val="32"/>
          <w:szCs w:val="32"/>
        </w:rPr>
        <w:t>100</w:t>
      </w:r>
      <w:r>
        <w:rPr>
          <w:rFonts w:hint="eastAsia" w:ascii="Times New Roman" w:hAnsi="Times New Roman" w:eastAsia="仿宋" w:cs="仿宋"/>
          <w:color w:val="auto"/>
          <w:kern w:val="2"/>
          <w:sz w:val="32"/>
          <w:szCs w:val="32"/>
          <w:highlight w:val="none"/>
          <w:lang w:val="en-US" w:eastAsia="zh-CN" w:bidi="ar-SA"/>
        </w:rPr>
        <w:t>%。与</w:t>
      </w:r>
      <w:r>
        <w:rPr>
          <w:rFonts w:hint="eastAsia" w:eastAsia="仿宋" w:cs="仿宋"/>
          <w:color w:val="auto"/>
          <w:kern w:val="2"/>
          <w:sz w:val="32"/>
          <w:szCs w:val="32"/>
          <w:highlight w:val="none"/>
          <w:lang w:val="en-US" w:eastAsia="zh-CN" w:bidi="ar-SA"/>
        </w:rPr>
        <w:t>上</w:t>
      </w:r>
      <w:r>
        <w:rPr>
          <w:rFonts w:hint="eastAsia" w:ascii="Times New Roman" w:hAnsi="Times New Roman" w:eastAsia="仿宋" w:cs="仿宋"/>
          <w:color w:val="auto"/>
          <w:kern w:val="2"/>
          <w:sz w:val="32"/>
          <w:szCs w:val="32"/>
          <w:highlight w:val="none"/>
          <w:lang w:val="en-US" w:eastAsia="zh-CN" w:bidi="ar-SA"/>
        </w:rPr>
        <w:t>年度相比，一般公共预算财政拨款支出增加</w:t>
      </w:r>
      <w:r>
        <w:rPr>
          <w:rFonts w:hint="eastAsia" w:eastAsia="仿宋" w:cs="仿宋"/>
          <w:color w:val="auto"/>
          <w:kern w:val="2"/>
          <w:sz w:val="32"/>
          <w:szCs w:val="32"/>
          <w:highlight w:val="none"/>
          <w:lang w:val="en-US" w:eastAsia="zh-CN" w:bidi="ar-SA"/>
        </w:rPr>
        <w:t>61.51</w:t>
      </w:r>
      <w:r>
        <w:rPr>
          <w:rFonts w:hint="eastAsia" w:ascii="Times New Roman" w:hAnsi="Times New Roman" w:eastAsia="仿宋" w:cs="仿宋"/>
          <w:color w:val="auto"/>
          <w:kern w:val="2"/>
          <w:sz w:val="32"/>
          <w:szCs w:val="32"/>
          <w:highlight w:val="none"/>
          <w:lang w:val="en-US" w:eastAsia="zh-CN" w:bidi="ar-SA"/>
        </w:rPr>
        <w:t>万元，增长</w:t>
      </w:r>
      <w:r>
        <w:rPr>
          <w:rFonts w:hint="eastAsia" w:eastAsia="仿宋" w:cs="仿宋"/>
          <w:color w:val="auto"/>
          <w:kern w:val="2"/>
          <w:sz w:val="32"/>
          <w:szCs w:val="32"/>
          <w:highlight w:val="none"/>
          <w:lang w:val="en-US" w:eastAsia="zh-CN" w:bidi="ar-SA"/>
        </w:rPr>
        <w:t>38.67</w:t>
      </w:r>
      <w:r>
        <w:rPr>
          <w:rFonts w:hint="eastAsia" w:ascii="Times New Roman" w:hAnsi="Times New Roman" w:eastAsia="仿宋" w:cs="仿宋"/>
          <w:color w:val="auto"/>
          <w:kern w:val="2"/>
          <w:sz w:val="32"/>
          <w:szCs w:val="32"/>
          <w:highlight w:val="none"/>
          <w:lang w:val="en-US" w:eastAsia="zh-CN" w:bidi="ar-SA"/>
        </w:rPr>
        <w:t>%。主要变动原因是</w:t>
      </w:r>
      <w:r>
        <w:rPr>
          <w:rFonts w:hint="eastAsia" w:eastAsia="仿宋" w:cs="仿宋"/>
          <w:color w:val="auto"/>
          <w:kern w:val="2"/>
          <w:sz w:val="32"/>
          <w:szCs w:val="32"/>
          <w:highlight w:val="none"/>
          <w:lang w:val="en-US" w:eastAsia="zh-CN" w:bidi="ar-SA"/>
        </w:rPr>
        <w:t>人员增加。</w:t>
      </w:r>
    </w:p>
    <w:p w14:paraId="47FF3891">
      <w:pPr>
        <w:pStyle w:val="12"/>
        <w:rPr>
          <w:rFonts w:hint="eastAsia"/>
          <w:lang w:val="en-US" w:eastAsia="zh-CN"/>
        </w:rPr>
      </w:pPr>
      <w:r>
        <w:rPr>
          <w:rFonts w:ascii="仿宋_GB2312" w:eastAsia="仿宋_GB2312" w:cs="仿宋_GB2312"/>
          <w:sz w:val="32"/>
          <w:szCs w:val="32"/>
          <w:lang w:eastAsia="zh-CN" w:bidi="ar-SA"/>
        </w:rPr>
        <w:pict>
          <v:shape id="_x0000_s1030" o:spid="_x0000_s1030" o:spt="75" alt="3.emf" type="#_x0000_t75" style="position:absolute;left:0pt;margin-left:11.4pt;margin-top:2.1pt;height:222.75pt;width:377.25pt;mso-wrap-distance-bottom:0pt;mso-wrap-distance-top:0pt;z-index:251663360;mso-width-relative:page;mso-height-relative:page;" o:ole="t" filled="f" o:preferrelative="t" stroked="f" coordsize="21600,21600">
            <v:path/>
            <v:fill on="f" focussize="0,0"/>
            <v:stroke on="f"/>
            <v:imagedata r:id="rId15" o:title=""/>
            <o:lock v:ext="edit" aspectratio="t"/>
            <w10:wrap type="topAndBottom"/>
          </v:shape>
          <o:OLEObject Type="Embed" ProgID="Excel.Chart.8" ShapeID="_x0000_s1030" DrawAspect="Content" ObjectID="_1468075729" r:id="rId14">
            <o:LockedField>false</o:LockedField>
          </o:OLEObject>
        </w:pict>
      </w:r>
    </w:p>
    <w:p w14:paraId="6224CFCE">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（图5：一般公共预算财政拨款支出决算变动情况）（柱状图）</w:t>
      </w:r>
    </w:p>
    <w:p w14:paraId="5C980063">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234947C1">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23" w:name="_Toc15377211"/>
      <w:r>
        <w:rPr>
          <w:rFonts w:hint="eastAsia" w:ascii="Times New Roman" w:hAnsi="Times New Roman" w:eastAsia="楷体" w:cs="楷体"/>
          <w:b/>
          <w:color w:val="auto"/>
          <w:sz w:val="32"/>
          <w:szCs w:val="32"/>
          <w:highlight w:val="none"/>
        </w:rPr>
        <w:t>（二）一般公共预算财政拨款支出决算结构情况</w:t>
      </w:r>
      <w:bookmarkEnd w:id="23"/>
    </w:p>
    <w:p w14:paraId="11E7D9D6">
      <w:pPr>
        <w:spacing w:line="600" w:lineRule="exact"/>
        <w:ind w:firstLine="640"/>
        <w:rPr>
          <w:rFonts w:ascii="Times New Roman" w:hAnsi="Times New Roman" w:eastAsia="仿宋"/>
          <w:sz w:val="32"/>
        </w:rPr>
      </w:pPr>
      <w:r>
        <w:rPr>
          <w:rFonts w:ascii="Times New Roman" w:hAnsi="Times New Roman" w:eastAsia="仿宋"/>
          <w:sz w:val="32"/>
        </w:rPr>
        <w:t>2025年度一般公共预算财政拨款支出220.56万元，主要用于以下方面：社会保障和就业支出30.72万元，占13.93%；卫生健康支出11.82万元，占5.36%；城乡社区支出162.17万元，占73.53%；住房保障支出15.85万元，占7.19%。</w:t>
      </w:r>
    </w:p>
    <w:p w14:paraId="3A286077">
      <w:pPr>
        <w:pStyle w:val="12"/>
        <w:rPr>
          <w:rFonts w:hint="eastAsia"/>
          <w:lang w:val="en-US" w:eastAsia="zh-CN"/>
        </w:rPr>
      </w:pPr>
    </w:p>
    <w:p w14:paraId="75FAA8DF">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仿宋_GB2312" w:eastAsia="仿宋_GB2312" w:cs="仿宋_GB2312"/>
          <w:b/>
          <w:sz w:val="32"/>
          <w:szCs w:val="32"/>
          <w:lang w:bidi="ar-SA"/>
        </w:rPr>
        <w:pict>
          <v:shape id="Object 17" o:spid="_x0000_s1031" o:spt="75" alt="5.emf" type="#_x0000_t75" style="position:absolute;left:0pt;margin-left:22.5pt;margin-top:4.25pt;height:211.05pt;width:349.6pt;mso-wrap-distance-bottom:0pt;mso-wrap-distance-top:0pt;z-index:251664384;mso-width-relative:page;mso-height-relative:page;" o:ole="t" filled="f" o:preferrelative="t" stroked="f" coordsize="21600,21600">
            <v:path/>
            <v:fill on="f" focussize="0,0"/>
            <v:stroke on="f"/>
            <v:imagedata r:id="rId17" o:title=""/>
            <o:lock v:ext="edit" aspectratio="t"/>
            <w10:wrap type="topAndBottom"/>
          </v:shape>
          <o:OLEObject Type="Embed" ProgID="Excel.Chart.8" ShapeID="Object 17" DrawAspect="Content" ObjectID="_1468075730" r:id="rId16">
            <o:LockedField>false</o:LockedField>
          </o:OLEObject>
        </w:pict>
      </w:r>
      <w:r>
        <w:rPr>
          <w:rFonts w:hint="eastAsia" w:ascii="Times New Roman" w:hAnsi="Times New Roman" w:eastAsia="仿宋" w:cs="仿宋"/>
          <w:color w:val="auto"/>
          <w:kern w:val="2"/>
          <w:sz w:val="32"/>
          <w:szCs w:val="32"/>
          <w:highlight w:val="none"/>
          <w:lang w:val="en-US" w:eastAsia="zh-CN" w:bidi="ar-SA"/>
        </w:rPr>
        <w:t>（图6：一般公共预算财政拨款支出决算结构）（饼状图）</w:t>
      </w:r>
    </w:p>
    <w:p w14:paraId="0D4BDBA4">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35DBF967">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24" w:name="_Toc15377212"/>
      <w:r>
        <w:rPr>
          <w:rFonts w:hint="eastAsia" w:ascii="Times New Roman" w:hAnsi="Times New Roman" w:eastAsia="楷体" w:cs="楷体"/>
          <w:b/>
          <w:color w:val="auto"/>
          <w:sz w:val="32"/>
          <w:szCs w:val="32"/>
          <w:highlight w:val="none"/>
        </w:rPr>
        <w:t>（三）一般公共预算财政拨款支出决算具体情况</w:t>
      </w:r>
      <w:bookmarkEnd w:id="24"/>
    </w:p>
    <w:p w14:paraId="7DBF0F2F">
      <w:pPr>
        <w:spacing w:line="600" w:lineRule="exact"/>
        <w:ind w:firstLine="640"/>
        <w:rPr>
          <w:rFonts w:hint="eastAsia" w:ascii="Times New Roman" w:hAnsi="Times New Roman" w:eastAsia="仿宋" w:cs="仿宋"/>
          <w:color w:val="auto"/>
          <w:kern w:val="2"/>
          <w:sz w:val="32"/>
          <w:szCs w:val="32"/>
          <w:highlight w:val="none"/>
          <w:lang w:val="en-US" w:eastAsia="zh-CN" w:bidi="ar-SA"/>
        </w:rPr>
      </w:pPr>
      <w:bookmarkStart w:id="25" w:name="_Toc15377444"/>
      <w:bookmarkEnd w:id="25"/>
      <w:bookmarkStart w:id="26" w:name="_Toc15377213"/>
      <w:bookmarkEnd w:id="26"/>
      <w:bookmarkStart w:id="27" w:name="_Toc15378460"/>
      <w:bookmarkEnd w:id="27"/>
      <w:r>
        <w:rPr>
          <w:rFonts w:ascii="Times New Roman" w:hAnsi="Times New Roman" w:eastAsia="仿宋"/>
          <w:sz w:val="32"/>
        </w:rPr>
        <w:t>2025年度一般公共预算支出决算数为220.56万元，完成预算100%。其中：</w:t>
      </w:r>
    </w:p>
    <w:p w14:paraId="6550F26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1.社会保障和就业（类）行政事业单位养老支出（款）机关事业单位基本养老保险缴费支出（项）：支出决算为21.07万元，完成预算100%。决算数等于预算数的主要原因是按照年初预算完成本年度支出，决算数来源于实际支出。</w:t>
      </w:r>
    </w:p>
    <w:p w14:paraId="10404D3F">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2.社会保障和就业（类）行政事业单位养老支出（款）机关事业单位职业年金缴费支出（项）：支出决算为9.65万元，完成预算100%。决算数等于预算数的主要原因是按照年初预算完成本年度支出，决算数来源于实际支出。</w:t>
      </w:r>
    </w:p>
    <w:p w14:paraId="7F74CB16">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3.卫生健康（类）行政事业单位医疗（款）行政单位医疗（项）：支出决算为9.45万元，完成预算100%。决算数等于预算数的主要原因是按照年初预算完成本年度支出，决算数来源于实际支出。</w:t>
      </w:r>
    </w:p>
    <w:p w14:paraId="234E9437">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4.卫生健康（类）行政事业单位医疗（款）公务员医疗补助（项）：支出决算为2.37万元，完成预算100%。决算数等于预算数的主要原因是按照年初预算完成本年度支出，决算数来源于实际支出。</w:t>
      </w:r>
    </w:p>
    <w:p w14:paraId="75782174">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5.城乡社区（类）城乡社区管理事务（款）行政运行（项）：支出决算为162.17万元，完成预算100%。决算数等于预算数的主要原因是按照年初预算完成本年度支出，决算数来源于实际支出。</w:t>
      </w:r>
    </w:p>
    <w:p w14:paraId="53055F43">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6.住房保障（类）住房改革支出（款）住房公积金（项）：支出决算为15.85万元，完成预算100%。决算数等于预算数的主要原因是按照年初预算完成本年度支出，决算数来源于实际支出。</w:t>
      </w:r>
    </w:p>
    <w:p w14:paraId="14817092">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605A9EF6">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571B92B9">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eastAsia="仿宋" w:cs="仿宋"/>
          <w:color w:val="auto"/>
          <w:kern w:val="2"/>
          <w:sz w:val="32"/>
          <w:szCs w:val="32"/>
          <w:highlight w:val="none"/>
          <w:lang w:val="en-US" w:eastAsia="zh-CN" w:bidi="ar-SA"/>
        </w:rPr>
        <w:t>2025年度</w:t>
      </w:r>
      <w:r>
        <w:rPr>
          <w:rFonts w:hint="eastAsia" w:ascii="Times New Roman" w:hAnsi="Times New Roman" w:eastAsia="仿宋" w:cs="仿宋"/>
          <w:color w:val="auto"/>
          <w:kern w:val="2"/>
          <w:sz w:val="32"/>
          <w:szCs w:val="32"/>
          <w:highlight w:val="none"/>
          <w:lang w:val="en-US" w:eastAsia="zh-CN" w:bidi="ar-SA"/>
        </w:rPr>
        <w:t>一般公共预算财政拨款基本支出</w:t>
      </w:r>
      <w:r>
        <w:rPr>
          <w:rFonts w:hint="eastAsia" w:ascii="仿宋" w:hAnsi="仿宋" w:eastAsia="仿宋" w:cs="仿宋"/>
          <w:sz w:val="32"/>
          <w:szCs w:val="32"/>
        </w:rPr>
        <w:t>220.56</w:t>
      </w:r>
      <w:r>
        <w:rPr>
          <w:rFonts w:hint="eastAsia" w:ascii="Times New Roman" w:hAnsi="Times New Roman" w:eastAsia="仿宋" w:cs="仿宋"/>
          <w:color w:val="auto"/>
          <w:kern w:val="2"/>
          <w:sz w:val="32"/>
          <w:szCs w:val="32"/>
          <w:highlight w:val="none"/>
          <w:lang w:val="en-US" w:eastAsia="zh-CN" w:bidi="ar-SA"/>
        </w:rPr>
        <w:t>万元，其中：</w:t>
      </w:r>
    </w:p>
    <w:p w14:paraId="4013A7F8">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人员经费214.47万元，主要包括：基本工资39.35万元、津贴补贴63.34万元、奖金46.25万元、机关事业单位基本养老保险缴费21.07万元、职业年金缴费9.65万元、职工基本医疗保险缴费9.45万元、公务员医疗补助缴费2.37万元、其他社会保障缴费0.25万元、住房公积金15.85万元、医疗费0.77万元、生活补助5.96万元、医疗费补助0.15万元</w:t>
      </w:r>
      <w:r>
        <w:rPr>
          <w:rFonts w:hint="eastAsia" w:eastAsia="仿宋"/>
          <w:sz w:val="32"/>
          <w:lang w:eastAsia="zh-CN"/>
        </w:rPr>
        <w:t>、</w:t>
      </w:r>
      <w:r>
        <w:rPr>
          <w:rFonts w:ascii="Times New Roman" w:hAnsi="Times New Roman" w:eastAsia="仿宋"/>
          <w:sz w:val="32"/>
        </w:rPr>
        <w:t>公用经费6.1万元，主要包括：办公费0.12万元、水费0.2万元、电费0.14万元、差旅费0.5万元、工会经费1.32万元、福利费2.72万元、其他商品和服务支出1.09万元</w:t>
      </w:r>
    </w:p>
    <w:p w14:paraId="0A3E6E3F">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4CD836DE">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69A68DAE">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32" w:name="_Toc15377216"/>
      <w:r>
        <w:rPr>
          <w:rFonts w:hint="eastAsia" w:ascii="Times New Roman" w:hAnsi="Times New Roman" w:eastAsia="楷体" w:cs="楷体"/>
          <w:b/>
          <w:color w:val="auto"/>
          <w:sz w:val="32"/>
          <w:szCs w:val="32"/>
          <w:highlight w:val="none"/>
        </w:rPr>
        <w:t>（一）财政拨款“三公”经费支出决算总体情况说明</w:t>
      </w:r>
      <w:bookmarkEnd w:id="32"/>
    </w:p>
    <w:p w14:paraId="73377AC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2025年度财政拨款“三公”经费支出决算为0万元，完成预算100%，较上年度增加0万元，增长0%。</w:t>
      </w:r>
    </w:p>
    <w:p w14:paraId="64C8B63E">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33" w:name="_Toc15377217"/>
      <w:r>
        <w:rPr>
          <w:rFonts w:hint="eastAsia" w:ascii="Times New Roman" w:hAnsi="Times New Roman" w:eastAsia="楷体" w:cs="楷体"/>
          <w:b/>
          <w:color w:val="auto"/>
          <w:sz w:val="32"/>
          <w:szCs w:val="32"/>
          <w:highlight w:val="none"/>
        </w:rPr>
        <w:t>（二）财政拨款“三公”经费支出决算具体情况说明</w:t>
      </w:r>
      <w:bookmarkEnd w:id="33"/>
    </w:p>
    <w:p w14:paraId="7B01E97B">
      <w:pPr>
        <w:spacing w:line="600" w:lineRule="exact"/>
        <w:ind w:firstLine="640"/>
        <w:rPr>
          <w:rFonts w:ascii="Times New Roman" w:hAnsi="Times New Roman" w:eastAsia="仿宋"/>
          <w:sz w:val="32"/>
        </w:rPr>
      </w:pPr>
      <w:r>
        <w:rPr>
          <w:rFonts w:ascii="Times New Roman" w:hAnsi="Times New Roman" w:eastAsia="仿宋"/>
          <w:sz w:val="32"/>
        </w:rPr>
        <w:t>2025年度财政拨款“三公”经费支出决算中，因公出国（境）费支出决算0万元，占0%；公务用车购置及运行维护费支出决算0万元，占0%；公务接待费支出决算0万元，占0%。具体情况如下：</w:t>
      </w:r>
    </w:p>
    <w:p w14:paraId="5420CF57">
      <w:pPr>
        <w:pStyle w:val="12"/>
        <w:rPr>
          <w:rFonts w:hint="eastAsia"/>
          <w:lang w:val="en-US" w:eastAsia="zh-CN"/>
        </w:rPr>
      </w:pPr>
    </w:p>
    <w:p w14:paraId="59FFA8C8">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仿宋_GB2312" w:eastAsia="仿宋_GB2312" w:cs="仿宋_GB2312"/>
          <w:b/>
          <w:sz w:val="32"/>
          <w:szCs w:val="32"/>
          <w:lang w:bidi="ar-SA"/>
        </w:rPr>
        <w:pict>
          <v:shape id="Object 18" o:spid="_x0000_s1032" o:spt="75" alt="6.emf" type="#_x0000_t75" style="position:absolute;left:0pt;margin-left:8.05pt;margin-top:2pt;height:222.75pt;width:366.75pt;mso-wrap-distance-bottom:0pt;mso-wrap-distance-top:0pt;z-index:251665408;mso-width-relative:page;mso-height-relative:page;" o:ole="t" filled="f" o:preferrelative="t" stroked="f" coordsize="21600,21600">
            <v:path/>
            <v:fill on="f" focussize="0,0"/>
            <v:stroke on="f"/>
            <v:imagedata r:id="rId19" o:title=""/>
            <o:lock v:ext="edit" aspectratio="t"/>
            <w10:wrap type="topAndBottom"/>
          </v:shape>
          <o:OLEObject Type="Embed" ProgID="Excel.Chart.8" ShapeID="Object 18" DrawAspect="Content" ObjectID="_1468075731" r:id="rId18">
            <o:LockedField>false</o:LockedField>
          </o:OLEObject>
        </w:pict>
      </w:r>
      <w:r>
        <w:rPr>
          <w:rFonts w:hint="eastAsia" w:ascii="Times New Roman" w:hAnsi="Times New Roman" w:eastAsia="仿宋" w:cs="仿宋"/>
          <w:color w:val="auto"/>
          <w:kern w:val="2"/>
          <w:sz w:val="32"/>
          <w:szCs w:val="32"/>
          <w:highlight w:val="none"/>
          <w:lang w:val="en-US" w:eastAsia="zh-CN" w:bidi="ar-SA"/>
        </w:rPr>
        <w:t>（图7：财政拨款“三公”经费支出结构）（饼状图）</w:t>
      </w:r>
    </w:p>
    <w:p w14:paraId="4778B181">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1.因公出国（境）经费支出0万元，完成预算0%。全年安排因公出国（境）团组0次，出国（境）0人。因公出国（境）支出决算比上年度增加0万元，增长0%。</w:t>
      </w:r>
    </w:p>
    <w:p w14:paraId="0EC8EA75">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2.公务用车购置及运行维护费支出0万元，完成预算100%。公务用车购置及运行维护费支出决算比上年度增加0万元，增长0%。主要原因是公车运行维护费无增加。</w:t>
      </w:r>
    </w:p>
    <w:p w14:paraId="57AEA04F">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其中：公务用车购置支出0万元。全年按规定更新购置公务用车0辆。截至2025年12月31日，单位共有公务用车0辆。</w:t>
      </w:r>
    </w:p>
    <w:p w14:paraId="0EA092D5">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公务用车运行维护费支出0万元。主要用于所需的公务用车燃料费、维修费、过路过桥费、保险费等支出。</w:t>
      </w:r>
    </w:p>
    <w:p w14:paraId="111A2758">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3.公务接待费支出0万元，完成预算0%。公务接待费支出决算比上年度增加0万元，增长0%，无变化。其中：</w:t>
      </w:r>
    </w:p>
    <w:p w14:paraId="550A99B2">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国内公务接待支出0万元，主要用于执行公务、开展业务活动开支的交通费、住宿费、用餐费等。国内公务接待0批次，0人次（不包括陪同人员），共计支出0万元。</w:t>
      </w:r>
    </w:p>
    <w:p w14:paraId="6E912534">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外事接待支出0万元，外事接待0批次，0人次（不包括陪同人员），共计支出0万元。</w:t>
      </w:r>
    </w:p>
    <w:p w14:paraId="05259BDC">
      <w:pPr>
        <w:spacing w:line="600" w:lineRule="exact"/>
        <w:ind w:firstLine="640"/>
        <w:rPr>
          <w:rFonts w:hint="eastAsia" w:ascii="Times New Roman" w:hAnsi="Times New Roman" w:eastAsia="仿宋" w:cs="仿宋"/>
          <w:color w:val="auto"/>
          <w:kern w:val="2"/>
          <w:sz w:val="32"/>
          <w:szCs w:val="32"/>
          <w:highlight w:val="none"/>
          <w:lang w:val="en-US" w:eastAsia="zh-CN" w:bidi="ar-SA"/>
        </w:rPr>
      </w:pPr>
      <w:bookmarkStart w:id="34" w:name="_Toc15396610"/>
      <w:bookmarkStart w:id="35" w:name="_Toc15377218"/>
    </w:p>
    <w:p w14:paraId="62199DBD">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0790E111">
      <w:pPr>
        <w:spacing w:line="600" w:lineRule="exact"/>
        <w:ind w:firstLine="640"/>
        <w:rPr>
          <w:rFonts w:hint="eastAsia" w:ascii="Times New Roman" w:hAnsi="Times New Roman" w:eastAsia="仿宋" w:cs="仿宋"/>
          <w:b/>
          <w:bCs/>
          <w:color w:val="auto"/>
          <w:kern w:val="2"/>
          <w:sz w:val="32"/>
          <w:szCs w:val="32"/>
          <w:highlight w:val="none"/>
          <w:lang w:val="en-US" w:eastAsia="zh-CN" w:bidi="ar-SA"/>
        </w:rPr>
      </w:pPr>
      <w:r>
        <w:rPr>
          <w:rFonts w:ascii="Times New Roman" w:hAnsi="Times New Roman" w:eastAsia="仿宋"/>
          <w:sz w:val="32"/>
        </w:rPr>
        <w:t>2025年度政府性基金预算财政拨款支出0万元，占本年支出合计的0%。与上年度相比，政府性基金预算财政拨款支出增加0万元，增长0%，无变化。</w:t>
      </w:r>
    </w:p>
    <w:p w14:paraId="2F5B3D2B">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7237AE46">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77219"/>
      <w:bookmarkStart w:id="3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031B9155">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2025年度国有资本经营预算财政拨款支出0万元，占本年支出合计的0%。与上年度相比，国有资本经营预算财政拨款支出增加0万元，增长0%，无变化。</w:t>
      </w:r>
    </w:p>
    <w:p w14:paraId="0261C7C9">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6514848C">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37258792">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40" w:name="_Toc15377222"/>
      <w:r>
        <w:rPr>
          <w:rFonts w:hint="eastAsia" w:ascii="Times New Roman" w:hAnsi="Times New Roman" w:eastAsia="楷体" w:cs="楷体"/>
          <w:b/>
          <w:color w:val="auto"/>
          <w:sz w:val="32"/>
          <w:szCs w:val="32"/>
          <w:highlight w:val="none"/>
        </w:rPr>
        <w:t>（一）机关运行经费支出情况</w:t>
      </w:r>
      <w:bookmarkEnd w:id="40"/>
    </w:p>
    <w:p w14:paraId="5C24A471">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2025年度，阿坝州若尔盖县住房和城乡建设综合行政执法大队机关运行经费支出6.1万元，比上年度增加0.87万元，增长16.63%。主要原因是人员增加，公用经费相应增加。</w:t>
      </w:r>
    </w:p>
    <w:p w14:paraId="55DA5936">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5B78E4A6">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41" w:name="_Toc15377223"/>
      <w:r>
        <w:rPr>
          <w:rFonts w:hint="eastAsia" w:ascii="Times New Roman" w:hAnsi="Times New Roman" w:eastAsia="楷体" w:cs="楷体"/>
          <w:b/>
          <w:color w:val="auto"/>
          <w:sz w:val="32"/>
          <w:szCs w:val="32"/>
          <w:highlight w:val="none"/>
        </w:rPr>
        <w:t>（二）政府采购支出情况</w:t>
      </w:r>
      <w:bookmarkEnd w:id="41"/>
    </w:p>
    <w:p w14:paraId="1A98443B">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2025年度，阿坝州若尔盖县住房和城乡建设综合行政执法大队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06F67D40">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46F11F9B">
      <w:pPr>
        <w:spacing w:line="600" w:lineRule="exact"/>
        <w:ind w:firstLine="643" w:firstLineChars="200"/>
        <w:outlineLvl w:val="2"/>
        <w:rPr>
          <w:rFonts w:hint="eastAsia" w:ascii="Times New Roman" w:hAnsi="Times New Roman" w:eastAsia="楷体" w:cs="楷体"/>
          <w:b/>
          <w:color w:val="auto"/>
          <w:sz w:val="32"/>
          <w:szCs w:val="32"/>
          <w:highlight w:val="none"/>
        </w:rPr>
      </w:pPr>
      <w:bookmarkStart w:id="42" w:name="_Toc15377224"/>
      <w:r>
        <w:rPr>
          <w:rFonts w:hint="eastAsia" w:ascii="Times New Roman" w:hAnsi="Times New Roman" w:eastAsia="楷体" w:cs="楷体"/>
          <w:b/>
          <w:color w:val="auto"/>
          <w:sz w:val="32"/>
          <w:szCs w:val="32"/>
          <w:highlight w:val="none"/>
        </w:rPr>
        <w:t>（三）国有资产占有使用情况</w:t>
      </w:r>
      <w:bookmarkEnd w:id="42"/>
    </w:p>
    <w:p w14:paraId="2582CB01">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ascii="Times New Roman" w:hAnsi="Times New Roman" w:eastAsia="仿宋"/>
          <w:sz w:val="32"/>
        </w:rPr>
        <w:t>截至2025年12月31日，阿坝州若尔盖县住房和城乡建设综合行政执法大队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14:paraId="500A4E37">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3FF615D5">
      <w:pPr>
        <w:spacing w:line="600" w:lineRule="exact"/>
        <w:ind w:firstLine="643" w:firstLineChars="200"/>
        <w:outlineLvl w:val="2"/>
        <w:rPr>
          <w:rFonts w:hint="eastAsia" w:ascii="Times New Roman" w:hAnsi="Times New Roman" w:eastAsia="楷体" w:cs="楷体"/>
          <w:b/>
          <w:color w:val="auto"/>
          <w:sz w:val="32"/>
          <w:szCs w:val="32"/>
          <w:highlight w:val="none"/>
        </w:rPr>
      </w:pPr>
      <w:r>
        <w:rPr>
          <w:rFonts w:hint="eastAsia" w:ascii="Times New Roman" w:hAnsi="Times New Roman" w:eastAsia="楷体" w:cs="楷体"/>
          <w:b/>
          <w:color w:val="auto"/>
          <w:sz w:val="32"/>
          <w:szCs w:val="32"/>
          <w:highlight w:val="none"/>
        </w:rPr>
        <w:t>（四）预算绩效管理情况</w:t>
      </w:r>
    </w:p>
    <w:p w14:paraId="7F07CF16">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根据预算绩效管理要求，</w:t>
      </w:r>
      <w:r>
        <w:rPr>
          <w:rFonts w:hint="eastAsia" w:eastAsia="仿宋" w:cs="仿宋"/>
          <w:color w:val="auto"/>
          <w:kern w:val="2"/>
          <w:sz w:val="32"/>
          <w:szCs w:val="32"/>
          <w:highlight w:val="none"/>
          <w:lang w:val="en-US" w:eastAsia="zh-CN" w:bidi="ar-SA"/>
        </w:rPr>
        <w:t>本单位</w:t>
      </w:r>
      <w:r>
        <w:rPr>
          <w:rFonts w:hint="eastAsia" w:ascii="Times New Roman" w:hAnsi="Times New Roman" w:eastAsia="仿宋" w:cs="仿宋"/>
          <w:color w:val="auto"/>
          <w:kern w:val="2"/>
          <w:sz w:val="32"/>
          <w:szCs w:val="32"/>
          <w:highlight w:val="none"/>
          <w:lang w:val="en-US" w:eastAsia="zh-CN" w:bidi="ar-SA"/>
        </w:rPr>
        <w:t>在2025年度，组织对</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个项目涉及金额</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万元开展了事前绩效评估，对</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个项目编制了绩效目标，预算执行过程中，选取</w:t>
      </w:r>
      <w:r>
        <w:rPr>
          <w:rFonts w:hint="eastAsia" w:eastAsia="仿宋" w:cs="仿宋"/>
          <w:color w:val="auto"/>
          <w:kern w:val="2"/>
          <w:sz w:val="32"/>
          <w:szCs w:val="32"/>
          <w:highlight w:val="none"/>
          <w:lang w:val="en-US" w:eastAsia="zh-CN" w:bidi="ar-SA"/>
        </w:rPr>
        <w:t>0</w:t>
      </w:r>
      <w:r>
        <w:rPr>
          <w:rFonts w:hint="eastAsia" w:ascii="Times New Roman" w:hAnsi="Times New Roman" w:eastAsia="仿宋" w:cs="仿宋"/>
          <w:color w:val="auto"/>
          <w:kern w:val="2"/>
          <w:sz w:val="32"/>
          <w:szCs w:val="32"/>
          <w:highlight w:val="none"/>
          <w:lang w:val="en-US" w:eastAsia="zh-CN" w:bidi="ar-SA"/>
        </w:rPr>
        <w:t>个项目开展绩效监控。</w:t>
      </w:r>
    </w:p>
    <w:p w14:paraId="14A7CE99">
      <w:pPr>
        <w:spacing w:line="600" w:lineRule="exact"/>
        <w:ind w:firstLine="640"/>
        <w:rPr>
          <w:rFonts w:hint="eastAsia" w:ascii="Times New Roman" w:hAnsi="Times New Roman" w:eastAsia="仿宋" w:cs="仿宋"/>
          <w:color w:val="auto"/>
          <w:kern w:val="2"/>
          <w:sz w:val="32"/>
          <w:szCs w:val="32"/>
          <w:highlight w:val="none"/>
          <w:lang w:val="en-US" w:eastAsia="zh-CN" w:bidi="ar-SA"/>
        </w:rPr>
      </w:pPr>
      <w:r>
        <w:rPr>
          <w:rFonts w:hint="eastAsia" w:ascii="Times New Roman" w:hAnsi="Times New Roman" w:eastAsia="仿宋" w:cs="仿宋"/>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w:t>
      </w:r>
      <w:r>
        <w:rPr>
          <w:rFonts w:hint="eastAsia" w:eastAsia="仿宋" w:cs="仿宋"/>
          <w:color w:val="auto"/>
          <w:kern w:val="2"/>
          <w:sz w:val="32"/>
          <w:szCs w:val="32"/>
          <w:highlight w:val="none"/>
          <w:lang w:val="en-US" w:eastAsia="zh-CN" w:bidi="ar-SA"/>
        </w:rPr>
        <w:t>。</w:t>
      </w:r>
      <w:r>
        <w:rPr>
          <w:rFonts w:hint="eastAsia" w:ascii="Times New Roman" w:hAnsi="Times New Roman" w:eastAsia="仿宋" w:cs="仿宋"/>
          <w:color w:val="auto"/>
          <w:kern w:val="2"/>
          <w:sz w:val="32"/>
          <w:szCs w:val="32"/>
          <w:highlight w:val="none"/>
          <w:lang w:val="en-US" w:eastAsia="zh-CN" w:bidi="ar-SA"/>
        </w:rPr>
        <w:t>形成部门预算（含部门预算项目）绩效自评报告（此项单位不涉及）</w:t>
      </w:r>
      <w:r>
        <w:rPr>
          <w:rFonts w:hint="eastAsia" w:eastAsia="仿宋" w:cs="仿宋"/>
          <w:color w:val="auto"/>
          <w:kern w:val="2"/>
          <w:sz w:val="32"/>
          <w:szCs w:val="32"/>
          <w:highlight w:val="none"/>
          <w:lang w:val="en-US" w:eastAsia="zh-CN" w:bidi="ar-SA"/>
        </w:rPr>
        <w:t>。</w:t>
      </w:r>
    </w:p>
    <w:p w14:paraId="04B138FE">
      <w:pPr>
        <w:spacing w:line="600" w:lineRule="exact"/>
        <w:ind w:firstLine="640"/>
        <w:rPr>
          <w:rFonts w:hint="eastAsia" w:ascii="Times New Roman" w:hAnsi="Times New Roman" w:eastAsia="仿宋" w:cs="仿宋"/>
          <w:color w:val="auto"/>
          <w:kern w:val="2"/>
          <w:sz w:val="32"/>
          <w:szCs w:val="32"/>
          <w:highlight w:val="none"/>
          <w:lang w:val="en-US" w:eastAsia="zh-CN" w:bidi="ar-SA"/>
        </w:rPr>
      </w:pPr>
    </w:p>
    <w:p w14:paraId="23CD721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41C62752">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1.财政拨款收入：指单位从同级财政部门取得的财政预算资金。</w:t>
      </w:r>
    </w:p>
    <w:p w14:paraId="61889709">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2.事业收入：指事业单位开展专业业务活动及辅助活动取得的收入。</w:t>
      </w:r>
    </w:p>
    <w:p w14:paraId="74E6AF45">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3.经营收入：指事业单位在专业业务活动及其辅助活动之外开展非独立核算经营活动取得的收入。</w:t>
      </w:r>
    </w:p>
    <w:p w14:paraId="4494C8C7">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4.其他收入：指单位取得的除上述收入以外的各项收入。</w:t>
      </w:r>
    </w:p>
    <w:p w14:paraId="4B7D3029">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5.使用非财政拨款结余（含专用结余）：指事业单位使用以前年度积累的非财政拨款结余弥补当年收支差额的金额。</w:t>
      </w:r>
    </w:p>
    <w:p w14:paraId="45E5DBF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6.年初结转和结余：指以前年度尚未完成、结转到本年按有关规定继续使用的资金。</w:t>
      </w:r>
    </w:p>
    <w:p w14:paraId="6EFA4FAB">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7.结余分配：指事业单位按照会计制度规定缴纳的所得税、提取的专用结余以及转入非财政拨款结余的金额等。</w:t>
      </w:r>
    </w:p>
    <w:p w14:paraId="735752E8">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8.年末结转和结余：指单位按有关规定结转到下年或以后年度继续使用的资金。</w:t>
      </w:r>
    </w:p>
    <w:p w14:paraId="27EC79DD">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9.社会保障和就业208（类）05（款）05（项）：指反映机关事业单位实施养老保险制度由单位缴纳的基本养老保险费支出。</w:t>
      </w:r>
    </w:p>
    <w:p w14:paraId="62B73946">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10.社会保障和就业208（类）05（款）06（项）：指反映机关事业单位实施养老保险制度由单位实际缴纳的职业年金支出。</w:t>
      </w:r>
    </w:p>
    <w:p w14:paraId="6FFC91D6">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11.卫生健康210（类）11（款）01（项）：指反映财政部门安排的行政事业单位基本医疗保险缴费经费，未参加医疗保险的行政事业单位的公费医疗经费，按国家规定享受离休人员、红军老战士待遇人员的医疗经费。</w:t>
      </w:r>
    </w:p>
    <w:p w14:paraId="502345AE">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12.卫生健康210（类）11（款）03（项）：指反映财政部门安排的公务员医疗补助经费。</w:t>
      </w:r>
    </w:p>
    <w:p w14:paraId="6EF7812E">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13.城乡社区212（类）01（款）01（项）：指反映行政单位（包括实行公务员管理的事业单位）的基本支出。</w:t>
      </w:r>
    </w:p>
    <w:p w14:paraId="48D65B57">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14.住房保障221（类）02（款）01（项）：指反映行政事业单位按人力资源和社会保障部、财政部规定的基本工资和津贴补贴以及按规定比例为职工缴纳的住房公积金。</w:t>
      </w:r>
    </w:p>
    <w:p w14:paraId="557B4728">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15.基本支出：指为保障机构正常运转、完成日常工作任务而发生的人员支出和公用支出。</w:t>
      </w:r>
    </w:p>
    <w:p w14:paraId="1B54926D">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16.项目支出：指在基本支出之外为完成特定行政任务和事业发展目标所发生的支出。</w:t>
      </w:r>
    </w:p>
    <w:p w14:paraId="2ADA973D">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17.经营支出：指事业单位在专业业务活动及其辅助活动之外开展非独立核算经营活动发生的支出。</w:t>
      </w:r>
    </w:p>
    <w:p w14:paraId="31C3B602">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9C55FB0">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ascii="Times New Roman" w:hAnsi="Times New Roman" w:eastAsia="仿宋"/>
          <w:sz w:val="32"/>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ECA413A">
      <w:pPr>
        <w:spacing w:line="600" w:lineRule="exact"/>
        <w:jc w:val="left"/>
        <w:rPr>
          <w:rFonts w:ascii="Times New Roman" w:hAnsi="Times New Roman"/>
          <w:b/>
          <w:color w:val="auto"/>
          <w:sz w:val="44"/>
          <w:szCs w:val="44"/>
          <w:highlight w:val="none"/>
        </w:rPr>
      </w:pPr>
    </w:p>
    <w:p w14:paraId="6FB07F50">
      <w:pPr>
        <w:spacing w:line="600" w:lineRule="exact"/>
        <w:jc w:val="center"/>
        <w:rPr>
          <w:rStyle w:val="28"/>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 w:cs="仿宋"/>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731B6930">
      <w:pPr>
        <w:spacing w:line="600" w:lineRule="exact"/>
        <w:jc w:val="center"/>
        <w:rPr>
          <w:rStyle w:val="28"/>
          <w:rFonts w:hint="eastAsia" w:ascii="Times New Roman" w:hAnsi="Times New Roman" w:eastAsia="黑体"/>
          <w:b w:val="0"/>
          <w:color w:val="auto"/>
          <w:highlight w:val="none"/>
          <w:lang w:eastAsia="zh-CN"/>
        </w:rPr>
      </w:pPr>
      <w:r>
        <w:rPr>
          <w:rFonts w:ascii="Times New Roman" w:hAnsi="Times New Roman" w:eastAsia="仿宋"/>
          <w:sz w:val="32"/>
        </w:rPr>
        <w:t>附件1.部门预算绩效自评报告（2025年度）</w:t>
      </w:r>
    </w:p>
    <w:p w14:paraId="464ACC1C">
      <w:pPr>
        <w:spacing w:line="600" w:lineRule="exact"/>
        <w:jc w:val="center"/>
        <w:rPr>
          <w:rStyle w:val="28"/>
          <w:rFonts w:hint="eastAsia" w:ascii="Times New Roman" w:hAnsi="Times New Roman" w:eastAsia="黑体"/>
          <w:b w:val="0"/>
          <w:color w:val="auto"/>
          <w:highlight w:val="none"/>
          <w:lang w:eastAsia="zh-CN"/>
        </w:rPr>
      </w:pPr>
      <w:r>
        <w:rPr>
          <w:rFonts w:ascii="Times New Roman" w:hAnsi="Times New Roman" w:eastAsia="仿宋"/>
          <w:sz w:val="32"/>
        </w:rPr>
        <w:t>附件2.部门预算项目支出绩效自评表（2025年度）</w:t>
      </w:r>
    </w:p>
    <w:p w14:paraId="432E456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980157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 w:cs="仿宋"/>
          <w:b w:val="0"/>
          <w:bCs w:val="0"/>
          <w:kern w:val="0"/>
          <w:position w:val="0"/>
          <w:sz w:val="32"/>
          <w:szCs w:val="32"/>
          <w:highlight w:val="none"/>
          <w:lang w:val="en-US" w:eastAsia="zh-CN" w:bidi="ar-SA"/>
        </w:rPr>
      </w:pPr>
    </w:p>
    <w:p w14:paraId="7C2CA6A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 w:cs="仿宋"/>
          <w:b w:val="0"/>
          <w:bCs w:val="0"/>
          <w:kern w:val="0"/>
          <w:position w:val="0"/>
          <w:sz w:val="32"/>
          <w:szCs w:val="32"/>
          <w:highlight w:val="none"/>
          <w:lang w:val="en-US" w:eastAsia="zh-CN" w:bidi="ar-SA"/>
        </w:rPr>
      </w:pPr>
    </w:p>
    <w:p w14:paraId="7E0FB81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 w:cs="仿宋"/>
          <w:b w:val="0"/>
          <w:bCs w:val="0"/>
          <w:kern w:val="0"/>
          <w:position w:val="0"/>
          <w:sz w:val="32"/>
          <w:szCs w:val="32"/>
          <w:highlight w:val="none"/>
          <w:lang w:val="en-US" w:eastAsia="zh-CN" w:bidi="ar-SA"/>
        </w:rPr>
      </w:pPr>
      <w:bookmarkStart w:id="47" w:name="_Toc15396618"/>
      <w:r>
        <w:rPr>
          <w:rFonts w:hint="eastAsia" w:ascii="Times New Roman" w:hAnsi="Times New Roman" w:eastAsia="仿宋" w:cs="仿宋"/>
          <w:b w:val="0"/>
          <w:bCs w:val="0"/>
          <w:kern w:val="0"/>
          <w:position w:val="0"/>
          <w:sz w:val="32"/>
          <w:szCs w:val="32"/>
          <w:highlight w:val="none"/>
          <w:lang w:val="en-US" w:eastAsia="zh-CN" w:bidi="ar-SA"/>
        </w:rPr>
        <w:br w:type="page"/>
      </w:r>
    </w:p>
    <w:p w14:paraId="44F590E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14:paraId="0E2E1CE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p>
    <w:p w14:paraId="62D96B4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一、收入支出决算总表</w:t>
      </w:r>
      <w:bookmarkEnd w:id="48"/>
    </w:p>
    <w:p w14:paraId="1FBF48A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49" w:name="_Toc15396620"/>
      <w:r>
        <w:rPr>
          <w:rFonts w:hint="eastAsia" w:ascii="Times New Roman" w:hAnsi="Times New Roman" w:eastAsia="仿宋" w:cs="仿宋"/>
          <w:color w:val="auto"/>
          <w:sz w:val="32"/>
          <w:szCs w:val="32"/>
          <w:highlight w:val="none"/>
        </w:rPr>
        <w:t>二、收入决算表</w:t>
      </w:r>
      <w:bookmarkEnd w:id="49"/>
    </w:p>
    <w:p w14:paraId="774D378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0" w:name="_Toc15396621"/>
      <w:r>
        <w:rPr>
          <w:rFonts w:hint="eastAsia" w:ascii="Times New Roman" w:hAnsi="Times New Roman" w:eastAsia="仿宋" w:cs="仿宋"/>
          <w:color w:val="auto"/>
          <w:sz w:val="32"/>
          <w:szCs w:val="32"/>
          <w:highlight w:val="none"/>
        </w:rPr>
        <w:t>三、支出决算表</w:t>
      </w:r>
      <w:bookmarkEnd w:id="50"/>
    </w:p>
    <w:p w14:paraId="3C96D59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1" w:name="_Toc15396622"/>
      <w:r>
        <w:rPr>
          <w:rFonts w:hint="eastAsia" w:ascii="Times New Roman" w:hAnsi="Times New Roman" w:eastAsia="仿宋" w:cs="仿宋"/>
          <w:color w:val="auto"/>
          <w:sz w:val="32"/>
          <w:szCs w:val="32"/>
          <w:highlight w:val="none"/>
        </w:rPr>
        <w:t>四、财政拨款收入支出决算总表</w:t>
      </w:r>
      <w:bookmarkEnd w:id="51"/>
    </w:p>
    <w:p w14:paraId="44BC2F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2" w:name="_Toc15396623"/>
      <w:r>
        <w:rPr>
          <w:rFonts w:hint="eastAsia" w:ascii="Times New Roman" w:hAnsi="Times New Roman" w:eastAsia="仿宋" w:cs="仿宋"/>
          <w:color w:val="auto"/>
          <w:sz w:val="32"/>
          <w:szCs w:val="32"/>
          <w:highlight w:val="none"/>
        </w:rPr>
        <w:t>五、财政拨款支出决算明细表</w:t>
      </w:r>
      <w:bookmarkEnd w:id="52"/>
      <w:bookmarkStart w:id="53" w:name="_Toc15396624"/>
    </w:p>
    <w:p w14:paraId="516E476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r>
        <w:rPr>
          <w:rFonts w:hint="eastAsia" w:ascii="Times New Roman" w:hAnsi="Times New Roman" w:eastAsia="仿宋" w:cs="仿宋"/>
          <w:color w:val="auto"/>
          <w:sz w:val="32"/>
          <w:szCs w:val="32"/>
          <w:highlight w:val="none"/>
        </w:rPr>
        <w:t>六、一般公共预算财政拨款支出决算表</w:t>
      </w:r>
      <w:bookmarkEnd w:id="53"/>
    </w:p>
    <w:p w14:paraId="507663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4" w:name="_Toc15396625"/>
      <w:r>
        <w:rPr>
          <w:rFonts w:hint="eastAsia" w:ascii="Times New Roman" w:hAnsi="Times New Roman" w:eastAsia="仿宋" w:cs="仿宋"/>
          <w:color w:val="auto"/>
          <w:sz w:val="32"/>
          <w:szCs w:val="32"/>
          <w:highlight w:val="none"/>
        </w:rPr>
        <w:t>七、一般公共预算财政拨款支出决算明细表</w:t>
      </w:r>
      <w:bookmarkEnd w:id="54"/>
    </w:p>
    <w:p w14:paraId="6A5D233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5" w:name="_Toc15396626"/>
      <w:r>
        <w:rPr>
          <w:rFonts w:hint="eastAsia" w:ascii="Times New Roman" w:hAnsi="Times New Roman" w:eastAsia="仿宋" w:cs="仿宋"/>
          <w:color w:val="auto"/>
          <w:sz w:val="32"/>
          <w:szCs w:val="32"/>
          <w:highlight w:val="none"/>
        </w:rPr>
        <w:t>八、一般公共预算财政拨款基本支出决算表</w:t>
      </w:r>
      <w:bookmarkEnd w:id="55"/>
    </w:p>
    <w:p w14:paraId="1B2462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6" w:name="_Toc15396627"/>
      <w:r>
        <w:rPr>
          <w:rFonts w:hint="eastAsia" w:ascii="Times New Roman" w:hAnsi="Times New Roman" w:eastAsia="仿宋" w:cs="仿宋"/>
          <w:color w:val="auto"/>
          <w:sz w:val="32"/>
          <w:szCs w:val="32"/>
          <w:highlight w:val="none"/>
        </w:rPr>
        <w:t>九、一般公共预算财政拨款项目支出决算表</w:t>
      </w:r>
      <w:bookmarkEnd w:id="56"/>
    </w:p>
    <w:p w14:paraId="7F89FA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7" w:name="_Toc15396628"/>
      <w:r>
        <w:rPr>
          <w:rFonts w:hint="eastAsia" w:ascii="Times New Roman" w:hAnsi="Times New Roman" w:eastAsia="仿宋" w:cs="仿宋"/>
          <w:color w:val="auto"/>
          <w:sz w:val="32"/>
          <w:szCs w:val="32"/>
          <w:highlight w:val="none"/>
        </w:rPr>
        <w:t>十、</w:t>
      </w:r>
      <w:bookmarkEnd w:id="57"/>
      <w:r>
        <w:rPr>
          <w:rFonts w:hint="eastAsia" w:ascii="Times New Roman" w:hAnsi="Times New Roman" w:eastAsia="仿宋" w:cs="仿宋"/>
          <w:color w:val="auto"/>
          <w:sz w:val="32"/>
          <w:szCs w:val="32"/>
          <w:highlight w:val="none"/>
        </w:rPr>
        <w:t>政府性基金预算财政拨款收入支出决算表</w:t>
      </w:r>
    </w:p>
    <w:p w14:paraId="2961D6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8" w:name="_Toc15396629"/>
      <w:r>
        <w:rPr>
          <w:rFonts w:hint="eastAsia" w:ascii="Times New Roman" w:hAnsi="Times New Roman" w:eastAsia="仿宋" w:cs="仿宋"/>
          <w:color w:val="auto"/>
          <w:sz w:val="32"/>
          <w:szCs w:val="32"/>
          <w:highlight w:val="none"/>
        </w:rPr>
        <w:t>十一、</w:t>
      </w:r>
      <w:bookmarkEnd w:id="58"/>
      <w:r>
        <w:rPr>
          <w:rFonts w:hint="eastAsia" w:ascii="Times New Roman" w:hAnsi="Times New Roman" w:eastAsia="仿宋" w:cs="仿宋"/>
          <w:color w:val="auto"/>
          <w:sz w:val="32"/>
          <w:szCs w:val="32"/>
          <w:highlight w:val="none"/>
        </w:rPr>
        <w:t>国有资本经营预算</w:t>
      </w:r>
      <w:r>
        <w:rPr>
          <w:rFonts w:hint="eastAsia" w:ascii="Times New Roman" w:hAnsi="Times New Roman" w:eastAsia="仿宋" w:cs="仿宋"/>
          <w:color w:val="auto"/>
          <w:sz w:val="32"/>
          <w:szCs w:val="32"/>
          <w:highlight w:val="none"/>
          <w:lang w:eastAsia="zh-CN"/>
        </w:rPr>
        <w:t>财政拨款收入</w:t>
      </w:r>
      <w:r>
        <w:rPr>
          <w:rFonts w:hint="eastAsia" w:ascii="Times New Roman" w:hAnsi="Times New Roman" w:eastAsia="仿宋" w:cs="仿宋"/>
          <w:color w:val="auto"/>
          <w:sz w:val="32"/>
          <w:szCs w:val="32"/>
          <w:highlight w:val="none"/>
        </w:rPr>
        <w:t>支出决算表</w:t>
      </w:r>
    </w:p>
    <w:p w14:paraId="3F568A3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rPr>
      </w:pPr>
      <w:bookmarkStart w:id="59" w:name="_Toc15396630"/>
      <w:r>
        <w:rPr>
          <w:rFonts w:hint="eastAsia" w:ascii="Times New Roman" w:hAnsi="Times New Roman" w:eastAsia="仿宋" w:cs="仿宋"/>
          <w:color w:val="auto"/>
          <w:sz w:val="32"/>
          <w:szCs w:val="32"/>
          <w:highlight w:val="none"/>
        </w:rPr>
        <w:t>十二、</w:t>
      </w:r>
      <w:bookmarkEnd w:id="59"/>
      <w:r>
        <w:rPr>
          <w:rFonts w:hint="eastAsia" w:ascii="Times New Roman" w:hAnsi="Times New Roman" w:eastAsia="仿宋" w:cs="仿宋"/>
          <w:color w:val="auto"/>
          <w:sz w:val="32"/>
          <w:szCs w:val="32"/>
          <w:highlight w:val="none"/>
          <w:lang w:eastAsia="zh-CN"/>
        </w:rPr>
        <w:t>国有资本经营预算财政拨款支出决算表</w:t>
      </w:r>
    </w:p>
    <w:p w14:paraId="077C966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 w:cs="仿宋"/>
          <w:color w:val="auto"/>
          <w:sz w:val="32"/>
          <w:szCs w:val="32"/>
          <w:highlight w:val="none"/>
          <w:lang w:eastAsia="zh-CN"/>
        </w:rPr>
      </w:pPr>
      <w:bookmarkStart w:id="60" w:name="_Toc15396631"/>
      <w:r>
        <w:rPr>
          <w:rFonts w:hint="eastAsia" w:ascii="Times New Roman" w:hAnsi="Times New Roman" w:eastAsia="仿宋" w:cs="仿宋"/>
          <w:color w:val="auto"/>
          <w:sz w:val="32"/>
          <w:szCs w:val="32"/>
          <w:highlight w:val="none"/>
        </w:rPr>
        <w:t>十三、</w:t>
      </w:r>
      <w:bookmarkEnd w:id="60"/>
      <w:r>
        <w:rPr>
          <w:rFonts w:hint="eastAsia" w:ascii="Times New Roman" w:hAnsi="Times New Roman" w:eastAsia="仿宋" w:cs="仿宋"/>
          <w:color w:val="auto"/>
          <w:sz w:val="32"/>
          <w:szCs w:val="32"/>
          <w:highlight w:val="none"/>
          <w:lang w:eastAsia="zh-CN"/>
        </w:rPr>
        <w:t>财政拨款“三公”经费支出决算表</w:t>
      </w:r>
    </w:p>
    <w:p w14:paraId="38187C3D">
      <w:pPr>
        <w:rPr>
          <w:rFonts w:hint="eastAsia" w:ascii="Times New Roman" w:hAnsi="Times New Roman"/>
          <w:lang w:eastAsia="zh-CN"/>
        </w:rPr>
      </w:pPr>
    </w:p>
    <w:sectPr>
      <w:footerReference r:id="rId4" w:type="first"/>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E155F">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70E72">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270E72">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444ECBF3">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6767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B175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28B175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C6AB8D"/>
    <w:multiLevelType w:val="singleLevel"/>
    <w:tmpl w:val="17C6AB8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80501B"/>
    <w:rsid w:val="061E35DE"/>
    <w:rsid w:val="066E0107"/>
    <w:rsid w:val="07996F6E"/>
    <w:rsid w:val="07DFD8BA"/>
    <w:rsid w:val="08DB07E4"/>
    <w:rsid w:val="09816AA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9EA6AAF"/>
    <w:rsid w:val="1B7D550C"/>
    <w:rsid w:val="1BE8440E"/>
    <w:rsid w:val="1D155CEE"/>
    <w:rsid w:val="1DE178F3"/>
    <w:rsid w:val="1DEA5A81"/>
    <w:rsid w:val="1E740ACF"/>
    <w:rsid w:val="1FF35744"/>
    <w:rsid w:val="1FF6BC77"/>
    <w:rsid w:val="21962A9E"/>
    <w:rsid w:val="21A65759"/>
    <w:rsid w:val="21AE7C77"/>
    <w:rsid w:val="22BC3C41"/>
    <w:rsid w:val="23860B96"/>
    <w:rsid w:val="240371BF"/>
    <w:rsid w:val="260F557C"/>
    <w:rsid w:val="281408E2"/>
    <w:rsid w:val="29FD04D3"/>
    <w:rsid w:val="2BBC43B1"/>
    <w:rsid w:val="2BFF7BC6"/>
    <w:rsid w:val="2C8A61B5"/>
    <w:rsid w:val="2D2E01CF"/>
    <w:rsid w:val="2DF04E50"/>
    <w:rsid w:val="2E9545B0"/>
    <w:rsid w:val="2F040D46"/>
    <w:rsid w:val="2FAE5751"/>
    <w:rsid w:val="2FB1A395"/>
    <w:rsid w:val="2FD9A7D8"/>
    <w:rsid w:val="319F7F4E"/>
    <w:rsid w:val="321B2544"/>
    <w:rsid w:val="3304709D"/>
    <w:rsid w:val="34281836"/>
    <w:rsid w:val="349D6851"/>
    <w:rsid w:val="352549E8"/>
    <w:rsid w:val="35A75808"/>
    <w:rsid w:val="35BA6CAF"/>
    <w:rsid w:val="35D37231"/>
    <w:rsid w:val="364D14C1"/>
    <w:rsid w:val="36AA5135"/>
    <w:rsid w:val="36BE0DA7"/>
    <w:rsid w:val="376B6AA6"/>
    <w:rsid w:val="376D39B2"/>
    <w:rsid w:val="37E16F03"/>
    <w:rsid w:val="37F53A3B"/>
    <w:rsid w:val="389B6C89"/>
    <w:rsid w:val="38D469F0"/>
    <w:rsid w:val="39627CCD"/>
    <w:rsid w:val="397BAF1F"/>
    <w:rsid w:val="39D0617D"/>
    <w:rsid w:val="3AB79AF3"/>
    <w:rsid w:val="3B7EF35A"/>
    <w:rsid w:val="3B9FDB6C"/>
    <w:rsid w:val="3BF5BC2F"/>
    <w:rsid w:val="3CEBA265"/>
    <w:rsid w:val="3D430101"/>
    <w:rsid w:val="3D98207C"/>
    <w:rsid w:val="3D9B0D99"/>
    <w:rsid w:val="3DEE7CF3"/>
    <w:rsid w:val="3DF02244"/>
    <w:rsid w:val="3E78745D"/>
    <w:rsid w:val="3F051B12"/>
    <w:rsid w:val="3FF4CAE0"/>
    <w:rsid w:val="3FF7B227"/>
    <w:rsid w:val="40E54C45"/>
    <w:rsid w:val="41313393"/>
    <w:rsid w:val="43A407DF"/>
    <w:rsid w:val="44515BEA"/>
    <w:rsid w:val="44E268DA"/>
    <w:rsid w:val="453F7E5B"/>
    <w:rsid w:val="486A6C7A"/>
    <w:rsid w:val="49176D9B"/>
    <w:rsid w:val="494006BD"/>
    <w:rsid w:val="4A627F82"/>
    <w:rsid w:val="4A8A26EC"/>
    <w:rsid w:val="4B0E749A"/>
    <w:rsid w:val="4B4F25DA"/>
    <w:rsid w:val="4BDA0CFB"/>
    <w:rsid w:val="4BE068DB"/>
    <w:rsid w:val="4D3C0CCC"/>
    <w:rsid w:val="4D577224"/>
    <w:rsid w:val="4DBF1CEB"/>
    <w:rsid w:val="4DEC4DFF"/>
    <w:rsid w:val="4EAB630A"/>
    <w:rsid w:val="4ECE2238"/>
    <w:rsid w:val="4F833267"/>
    <w:rsid w:val="4FE9BD67"/>
    <w:rsid w:val="4FFB052F"/>
    <w:rsid w:val="53083A92"/>
    <w:rsid w:val="531D077F"/>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4E5711"/>
    <w:rsid w:val="664B1D71"/>
    <w:rsid w:val="67AA3209"/>
    <w:rsid w:val="681C4F0D"/>
    <w:rsid w:val="69046D0F"/>
    <w:rsid w:val="698D0931"/>
    <w:rsid w:val="6A2E5AA3"/>
    <w:rsid w:val="6A993CED"/>
    <w:rsid w:val="6AC8196B"/>
    <w:rsid w:val="6ADA35A3"/>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15050B"/>
    <w:rsid w:val="70496804"/>
    <w:rsid w:val="712A28F1"/>
    <w:rsid w:val="715C0E4B"/>
    <w:rsid w:val="72233669"/>
    <w:rsid w:val="72734D90"/>
    <w:rsid w:val="72770E66"/>
    <w:rsid w:val="7332FE48"/>
    <w:rsid w:val="73AB61DA"/>
    <w:rsid w:val="73AD73D5"/>
    <w:rsid w:val="73B6EB34"/>
    <w:rsid w:val="73FA497D"/>
    <w:rsid w:val="744731E5"/>
    <w:rsid w:val="74527205"/>
    <w:rsid w:val="74BBD01D"/>
    <w:rsid w:val="74ED5379"/>
    <w:rsid w:val="74FC2395"/>
    <w:rsid w:val="75DEEEC2"/>
    <w:rsid w:val="76E3355F"/>
    <w:rsid w:val="76FF5125"/>
    <w:rsid w:val="776F6FFA"/>
    <w:rsid w:val="777C0F2A"/>
    <w:rsid w:val="778769C8"/>
    <w:rsid w:val="77DC22F5"/>
    <w:rsid w:val="79086DAD"/>
    <w:rsid w:val="79974F09"/>
    <w:rsid w:val="79D7FD79"/>
    <w:rsid w:val="79EE5BA4"/>
    <w:rsid w:val="7A894339"/>
    <w:rsid w:val="7A9E6DEC"/>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 w:eastAsia="仿宋"/>
      <w:kern w:val="0"/>
      <w:sz w:val="30"/>
    </w:rPr>
  </w:style>
  <w:style w:type="paragraph" w:styleId="6">
    <w:name w:val="Body Text Indent"/>
    <w:basedOn w:val="1"/>
    <w:qFormat/>
    <w:uiPriority w:val="0"/>
    <w:pPr>
      <w:spacing w:after="120"/>
      <w:ind w:leftChars="200"/>
    </w:pPr>
    <w:rPr>
      <w:rFonts w:ascii="仿宋"/>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next w:val="1"/>
    <w:unhideWhenUsed/>
    <w:qFormat/>
    <w:uiPriority w:val="99"/>
    <w:pPr>
      <w:ind w:firstLine="420" w:firstLineChars="200"/>
    </w:p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 w:hAnsi="Times New Roman" w:eastAsia="仿宋"/>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6485</Words>
  <Characters>6903</Characters>
  <Lines>61</Lines>
  <Paragraphs>17</Paragraphs>
  <TotalTime>7</TotalTime>
  <ScaleCrop>false</ScaleCrop>
  <LinksUpToDate>false</LinksUpToDate>
  <CharactersWithSpaces>6923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sang ji cuo</cp:lastModifiedBy>
  <cp:lastPrinted>2026-08-03T09:27:00Z</cp:lastPrinted>
  <dcterms:modified xsi:type="dcterms:W3CDTF">2026-10-26T08:56:27Z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89E4FC331F8A4464A31F0D53BEF765BA_13</vt:lpwstr>
  </property>
  <property fmtid="{D5CDD505-2E9C-101B-9397-08002B2CF9AE}" pid="4" name="KSOTemplateDocerSaveRecord">
    <vt:lpwstr>eyJoZGlkIjoiY2Y3MjIzM2U2MDgzODZmNDczOTZlNDcyNzZhMGNiN2QiLCJ1c2VySWQiOiIzMTg3MDAwMzIifQ==</vt:lpwstr>
  </property>
</Properties>
</file>