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62A31">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78442"/>
      <w:bookmarkStart w:id="1" w:name="_Toc15377426"/>
      <w:bookmarkStart w:id="2" w:name="_Toc15377194"/>
      <w:bookmarkStart w:id="3" w:name="_Toc15396476"/>
      <w:bookmarkStart w:id="4"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Start w:id="5" w:name="_Toc15306268"/>
      <w:r>
        <w:rPr>
          <w:rFonts w:hint="eastAsia" w:ascii="Times New Roman" w:hAnsi="Times New Roman" w:eastAsia="方正小标宋简体" w:cs="Times New Roman"/>
          <w:color w:val="auto"/>
          <w:kern w:val="2"/>
          <w:sz w:val="44"/>
          <w:szCs w:val="44"/>
          <w:highlight w:val="none"/>
          <w:lang w:val="en-US" w:eastAsia="zh-CN" w:bidi="ar-SA"/>
        </w:rPr>
        <w:t>阿坝州若尔盖县住房和城乡建设局（质安站）</w:t>
      </w: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0"/>
      <w:bookmarkEnd w:id="1"/>
      <w:bookmarkEnd w:id="2"/>
      <w:bookmarkEnd w:id="3"/>
      <w:bookmarkEnd w:id="4"/>
      <w:bookmarkEnd w:id="5"/>
    </w:p>
    <w:p w14:paraId="35958ED7">
      <w:pPr>
        <w:pStyle w:val="8"/>
        <w:jc w:val="center"/>
        <w:rPr>
          <w:rFonts w:hint="eastAsia" w:ascii="Times New Roman" w:eastAsia="方正小标宋简体" w:cs="Times New Roman"/>
          <w:color w:val="auto"/>
          <w:kern w:val="2"/>
          <w:sz w:val="44"/>
          <w:szCs w:val="44"/>
          <w:highlight w:val="none"/>
          <w:lang w:val="en-US" w:eastAsia="zh-CN" w:bidi="ar-SA"/>
        </w:rPr>
      </w:pPr>
    </w:p>
    <w:p w14:paraId="2FB0FC67">
      <w:pPr>
        <w:pStyle w:val="8"/>
        <w:jc w:val="center"/>
        <w:rPr>
          <w:rFonts w:hint="eastAsia" w:ascii="Times New Roman" w:eastAsia="方正小标宋简体" w:cs="Times New Roman"/>
          <w:color w:val="auto"/>
          <w:kern w:val="2"/>
          <w:sz w:val="44"/>
          <w:szCs w:val="44"/>
          <w:highlight w:val="none"/>
          <w:lang w:val="en-US" w:eastAsia="zh-CN" w:bidi="ar-SA"/>
        </w:rPr>
      </w:pPr>
    </w:p>
    <w:p w14:paraId="1C28A6D7">
      <w:pPr>
        <w:pStyle w:val="8"/>
        <w:jc w:val="center"/>
        <w:rPr>
          <w:rFonts w:hint="eastAsia" w:ascii="Times New Roman" w:eastAsia="方正小标宋简体" w:cs="Times New Roman"/>
          <w:color w:val="auto"/>
          <w:kern w:val="2"/>
          <w:sz w:val="44"/>
          <w:szCs w:val="44"/>
          <w:highlight w:val="none"/>
          <w:lang w:val="en-US" w:eastAsia="zh-CN" w:bidi="ar-SA"/>
        </w:rPr>
      </w:pPr>
    </w:p>
    <w:p w14:paraId="6EE6B20A">
      <w:pPr>
        <w:pStyle w:val="8"/>
        <w:jc w:val="center"/>
        <w:rPr>
          <w:rFonts w:hint="eastAsia" w:ascii="Times New Roman" w:eastAsia="方正小标宋简体" w:cs="Times New Roman"/>
          <w:color w:val="auto"/>
          <w:kern w:val="2"/>
          <w:sz w:val="44"/>
          <w:szCs w:val="44"/>
          <w:highlight w:val="none"/>
          <w:lang w:val="en-US" w:eastAsia="zh-CN" w:bidi="ar-SA"/>
        </w:rPr>
      </w:pPr>
    </w:p>
    <w:p w14:paraId="37320973">
      <w:pPr>
        <w:pStyle w:val="8"/>
        <w:jc w:val="center"/>
        <w:rPr>
          <w:rFonts w:hint="eastAsia" w:ascii="Times New Roman" w:eastAsia="方正小标宋简体" w:cs="Times New Roman"/>
          <w:color w:val="auto"/>
          <w:kern w:val="2"/>
          <w:sz w:val="44"/>
          <w:szCs w:val="44"/>
          <w:highlight w:val="none"/>
          <w:lang w:val="en-US" w:eastAsia="zh-CN" w:bidi="ar-SA"/>
        </w:rPr>
      </w:pPr>
    </w:p>
    <w:p w14:paraId="025271AF">
      <w:pPr>
        <w:pStyle w:val="8"/>
        <w:jc w:val="center"/>
        <w:rPr>
          <w:rFonts w:hint="eastAsia" w:ascii="Times New Roman" w:eastAsia="方正小标宋简体" w:cs="Times New Roman"/>
          <w:color w:val="auto"/>
          <w:kern w:val="2"/>
          <w:sz w:val="44"/>
          <w:szCs w:val="44"/>
          <w:highlight w:val="none"/>
          <w:lang w:val="en-US" w:eastAsia="zh-CN" w:bidi="ar-SA"/>
        </w:rPr>
      </w:pPr>
    </w:p>
    <w:p w14:paraId="6F493E9E">
      <w:pPr>
        <w:pStyle w:val="8"/>
        <w:jc w:val="center"/>
        <w:rPr>
          <w:rFonts w:hint="eastAsia" w:ascii="Times New Roman" w:eastAsia="方正小标宋简体" w:cs="Times New Roman"/>
          <w:color w:val="auto"/>
          <w:kern w:val="2"/>
          <w:sz w:val="44"/>
          <w:szCs w:val="44"/>
          <w:highlight w:val="none"/>
          <w:lang w:val="en-US" w:eastAsia="zh-CN" w:bidi="ar-SA"/>
        </w:rPr>
      </w:pPr>
    </w:p>
    <w:p w14:paraId="17D260FA">
      <w:pPr>
        <w:pStyle w:val="8"/>
        <w:jc w:val="center"/>
        <w:rPr>
          <w:rFonts w:hint="eastAsia" w:ascii="Times New Roman" w:eastAsia="方正小标宋简体" w:cs="Times New Roman"/>
          <w:color w:val="auto"/>
          <w:kern w:val="2"/>
          <w:sz w:val="44"/>
          <w:szCs w:val="44"/>
          <w:highlight w:val="none"/>
          <w:lang w:val="en-US" w:eastAsia="zh-CN" w:bidi="ar-SA"/>
        </w:rPr>
      </w:pPr>
    </w:p>
    <w:p w14:paraId="4E720F30">
      <w:pPr>
        <w:pStyle w:val="8"/>
        <w:jc w:val="center"/>
        <w:rPr>
          <w:rFonts w:hint="eastAsia" w:ascii="Times New Roman" w:eastAsia="方正小标宋简体" w:cs="Times New Roman"/>
          <w:color w:val="auto"/>
          <w:kern w:val="2"/>
          <w:sz w:val="44"/>
          <w:szCs w:val="44"/>
          <w:highlight w:val="none"/>
          <w:lang w:val="en-US" w:eastAsia="zh-CN" w:bidi="ar-SA"/>
        </w:rPr>
      </w:pPr>
    </w:p>
    <w:p w14:paraId="376B00BF">
      <w:pPr>
        <w:pStyle w:val="8"/>
        <w:jc w:val="center"/>
        <w:rPr>
          <w:rFonts w:hint="eastAsia" w:ascii="Times New Roman" w:eastAsia="方正小标宋简体" w:cs="Times New Roman"/>
          <w:color w:val="auto"/>
          <w:kern w:val="2"/>
          <w:sz w:val="44"/>
          <w:szCs w:val="44"/>
          <w:highlight w:val="none"/>
          <w:lang w:val="en-US" w:eastAsia="zh-CN" w:bidi="ar-SA"/>
        </w:rPr>
      </w:pPr>
    </w:p>
    <w:p w14:paraId="1BE78F22">
      <w:pPr>
        <w:pStyle w:val="8"/>
        <w:jc w:val="center"/>
        <w:rPr>
          <w:rFonts w:hint="eastAsia" w:ascii="Times New Roman" w:eastAsia="方正小标宋简体" w:cs="Times New Roman"/>
          <w:color w:val="auto"/>
          <w:kern w:val="2"/>
          <w:sz w:val="44"/>
          <w:szCs w:val="44"/>
          <w:highlight w:val="none"/>
          <w:lang w:val="en-US" w:eastAsia="zh-CN" w:bidi="ar-SA"/>
        </w:rPr>
      </w:pPr>
    </w:p>
    <w:p w14:paraId="457BECBC">
      <w:pPr>
        <w:pStyle w:val="8"/>
        <w:jc w:val="center"/>
        <w:rPr>
          <w:rFonts w:hint="eastAsia" w:ascii="Times New Roman" w:eastAsia="方正小标宋简体" w:cs="Times New Roman"/>
          <w:color w:val="auto"/>
          <w:kern w:val="2"/>
          <w:sz w:val="44"/>
          <w:szCs w:val="44"/>
          <w:highlight w:val="none"/>
          <w:lang w:val="en-US" w:eastAsia="zh-CN" w:bidi="ar-SA"/>
        </w:rPr>
      </w:pPr>
    </w:p>
    <w:p w14:paraId="6D305376">
      <w:pPr>
        <w:pStyle w:val="8"/>
        <w:jc w:val="center"/>
        <w:rPr>
          <w:rFonts w:hint="eastAsia" w:ascii="Times New Roman" w:eastAsia="方正小标宋简体" w:cs="Times New Roman"/>
          <w:color w:val="auto"/>
          <w:kern w:val="2"/>
          <w:sz w:val="44"/>
          <w:szCs w:val="44"/>
          <w:highlight w:val="none"/>
          <w:lang w:val="en-US" w:eastAsia="zh-CN" w:bidi="ar-SA"/>
        </w:rPr>
      </w:pPr>
    </w:p>
    <w:p w14:paraId="4BEB3850">
      <w:pPr>
        <w:pStyle w:val="8"/>
        <w:jc w:val="center"/>
        <w:rPr>
          <w:rFonts w:hint="eastAsia" w:ascii="Times New Roman" w:eastAsia="方正小标宋简体" w:cs="Times New Roman"/>
          <w:color w:val="auto"/>
          <w:kern w:val="2"/>
          <w:sz w:val="44"/>
          <w:szCs w:val="44"/>
          <w:highlight w:val="none"/>
          <w:lang w:val="en-US" w:eastAsia="zh-CN" w:bidi="ar-SA"/>
        </w:rPr>
      </w:pPr>
    </w:p>
    <w:p w14:paraId="1E2343EC">
      <w:pPr>
        <w:pStyle w:val="8"/>
        <w:jc w:val="center"/>
        <w:rPr>
          <w:rFonts w:hint="eastAsia" w:ascii="Times New Roman" w:eastAsia="方正小标宋简体" w:cs="Times New Roman"/>
          <w:color w:val="auto"/>
          <w:kern w:val="2"/>
          <w:sz w:val="44"/>
          <w:szCs w:val="44"/>
          <w:highlight w:val="none"/>
          <w:lang w:val="en-US" w:eastAsia="zh-CN" w:bidi="ar-SA"/>
        </w:rPr>
      </w:pPr>
    </w:p>
    <w:p w14:paraId="18EAF5E6">
      <w:pPr>
        <w:pStyle w:val="8"/>
        <w:jc w:val="center"/>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已经保密审查、内容审定、同意对外公开</w:t>
      </w:r>
    </w:p>
    <w:p w14:paraId="457AF955">
      <w:pPr>
        <w:pStyle w:val="19"/>
        <w:rPr>
          <w:rFonts w:hint="eastAsia" w:ascii="Times New Roman" w:hAnsi="Times New Roman" w:eastAsia="仿宋" w:cs="仿宋"/>
          <w:color w:val="auto"/>
          <w:kern w:val="2"/>
          <w:sz w:val="32"/>
          <w:szCs w:val="32"/>
          <w:highlight w:val="none"/>
          <w:lang w:val="en-US" w:eastAsia="zh-CN" w:bidi="ar-SA"/>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pPr>
    </w:p>
    <w:p w14:paraId="2088E4B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699C758">
      <w:pPr>
        <w:widowControl/>
        <w:jc w:val="center"/>
        <w:rPr>
          <w:rFonts w:ascii="Times New Roman" w:hAnsi="Times New Roman" w:eastAsia="黑体" w:cstheme="minorBidi"/>
          <w:color w:val="auto"/>
          <w:sz w:val="28"/>
          <w:szCs w:val="28"/>
          <w:highlight w:val="none"/>
        </w:rPr>
      </w:pPr>
    </w:p>
    <w:p w14:paraId="34CBB5F5">
      <w:pPr>
        <w:pStyle w:val="13"/>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公开时间：20</w:t>
      </w:r>
      <w:r>
        <w:rPr>
          <w:rFonts w:hint="eastAsia" w:ascii="Times New Roman" w:hAnsi="Times New Roman" w:eastAsia="仿宋" w:cs="仿宋"/>
          <w:color w:val="auto"/>
          <w:sz w:val="32"/>
          <w:szCs w:val="32"/>
          <w:highlight w:val="none"/>
          <w:lang w:val="en-US" w:eastAsia="zh-CN"/>
        </w:rPr>
        <w:t>26</w:t>
      </w:r>
      <w:r>
        <w:rPr>
          <w:rFonts w:hint="eastAsia" w:ascii="Times New Roman" w:hAnsi="Times New Roman" w:eastAsia="仿宋" w:cs="仿宋"/>
          <w:color w:val="auto"/>
          <w:sz w:val="32"/>
          <w:szCs w:val="32"/>
          <w:highlight w:val="none"/>
        </w:rPr>
        <w:t>年</w:t>
      </w:r>
      <w:r>
        <w:rPr>
          <w:rFonts w:hint="eastAsia" w:ascii="Times New Roman" w:hAnsi="Times New Roman" w:eastAsia="仿宋" w:cs="仿宋"/>
          <w:color w:val="auto"/>
          <w:sz w:val="32"/>
          <w:szCs w:val="32"/>
          <w:highlight w:val="none"/>
          <w:lang w:val="en-US" w:eastAsia="zh-CN"/>
        </w:rPr>
        <w:t xml:space="preserve"> 10 </w:t>
      </w:r>
      <w:r>
        <w:rPr>
          <w:rFonts w:hint="eastAsia" w:ascii="Times New Roman" w:hAnsi="Times New Roman" w:eastAsia="仿宋" w:cs="仿宋"/>
          <w:color w:val="auto"/>
          <w:sz w:val="32"/>
          <w:szCs w:val="32"/>
          <w:highlight w:val="none"/>
        </w:rPr>
        <w:t>月</w:t>
      </w:r>
      <w:r>
        <w:rPr>
          <w:rFonts w:hint="eastAsia" w:ascii="Times New Roman" w:hAnsi="Times New Roman" w:eastAsia="仿宋" w:cs="仿宋"/>
          <w:color w:val="auto"/>
          <w:sz w:val="32"/>
          <w:szCs w:val="32"/>
          <w:highlight w:val="none"/>
          <w:lang w:val="en-US" w:eastAsia="zh-CN"/>
        </w:rPr>
        <w:t xml:space="preserve"> 10 </w:t>
      </w:r>
      <w:r>
        <w:rPr>
          <w:rFonts w:hint="eastAsia" w:ascii="Times New Roman" w:hAnsi="Times New Roman" w:eastAsia="仿宋" w:cs="仿宋"/>
          <w:color w:val="auto"/>
          <w:sz w:val="32"/>
          <w:szCs w:val="32"/>
          <w:highlight w:val="none"/>
        </w:rPr>
        <w:t>日</w:t>
      </w:r>
    </w:p>
    <w:p w14:paraId="3E6946AF">
      <w:pPr>
        <w:rPr>
          <w:rFonts w:ascii="Times New Roman" w:hAnsi="Times New Roman"/>
          <w:color w:val="auto"/>
          <w:highlight w:val="none"/>
        </w:rPr>
      </w:pPr>
    </w:p>
    <w:p w14:paraId="4381C98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14444F9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w:t>
      </w:r>
      <w:r>
        <w:rPr>
          <w:rFonts w:hint="eastAsia" w:ascii="Times New Roman" w:hAnsi="Times New Roman" w:eastAsia="仿宋" w:cs="仿宋"/>
          <w:color w:val="auto"/>
          <w:sz w:val="32"/>
          <w:szCs w:val="32"/>
          <w:highlight w:val="none"/>
          <w:lang w:eastAsia="zh-CN"/>
        </w:rPr>
        <w:t>部门职责</w:t>
      </w:r>
    </w:p>
    <w:p w14:paraId="216661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二、机构设置</w:t>
      </w:r>
    </w:p>
    <w:p w14:paraId="0082672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7141E4B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一、收入支出决算总体情况说明</w:t>
      </w:r>
    </w:p>
    <w:p w14:paraId="45B09B2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二、收入决算情况说明</w:t>
      </w:r>
    </w:p>
    <w:p w14:paraId="0A299C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三、支出决算情况说明</w:t>
      </w:r>
    </w:p>
    <w:p w14:paraId="2FBA8B4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四、财政拨款收入支出决算总体情况说明</w:t>
      </w:r>
    </w:p>
    <w:p w14:paraId="48C871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五、一般公共预算财政拨款支出决算情况说明</w:t>
      </w:r>
    </w:p>
    <w:p w14:paraId="3250FB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六、一般公共预算财政拨款基本支出决算情况说明</w:t>
      </w:r>
    </w:p>
    <w:p w14:paraId="7DC8018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七、财政拨款</w:t>
      </w:r>
      <w:r>
        <w:rPr>
          <w:rFonts w:hint="eastAsia" w:ascii="Times New Roman" w:hAnsi="Times New Roman" w:eastAsia="仿宋" w:cs="仿宋"/>
          <w:color w:val="auto"/>
          <w:sz w:val="32"/>
          <w:szCs w:val="32"/>
          <w:highlight w:val="none"/>
          <w:lang w:eastAsia="zh-CN"/>
        </w:rPr>
        <w:t>“</w:t>
      </w:r>
      <w:r>
        <w:rPr>
          <w:rFonts w:hint="eastAsia" w:ascii="Times New Roman" w:hAnsi="Times New Roman" w:eastAsia="仿宋" w:cs="仿宋"/>
          <w:color w:val="auto"/>
          <w:sz w:val="32"/>
          <w:szCs w:val="32"/>
          <w:highlight w:val="none"/>
        </w:rPr>
        <w:t>三公”经费支出决算情况说明</w:t>
      </w:r>
    </w:p>
    <w:p w14:paraId="7B8BB59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八、政府性基金预算支出决算情况说明</w:t>
      </w:r>
    </w:p>
    <w:p w14:paraId="3B59B20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九、</w:t>
      </w:r>
      <w:r>
        <w:rPr>
          <w:rFonts w:hint="eastAsia" w:ascii="Times New Roman" w:hAnsi="Times New Roman" w:eastAsia="仿宋" w:cs="仿宋"/>
          <w:color w:val="auto"/>
          <w:sz w:val="32"/>
          <w:szCs w:val="32"/>
          <w:highlight w:val="none"/>
          <w:lang w:eastAsia="zh-CN"/>
        </w:rPr>
        <w:t>国</w:t>
      </w:r>
      <w:r>
        <w:rPr>
          <w:rFonts w:hint="eastAsia" w:ascii="Times New Roman" w:hAnsi="Times New Roman" w:eastAsia="仿宋" w:cs="仿宋"/>
          <w:color w:val="auto"/>
          <w:sz w:val="32"/>
          <w:szCs w:val="32"/>
          <w:highlight w:val="none"/>
        </w:rPr>
        <w:t>有资本经营预算支出决算情况说明</w:t>
      </w:r>
    </w:p>
    <w:p w14:paraId="7765F38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lang w:eastAsia="zh-CN"/>
        </w:rPr>
        <w:t>十</w:t>
      </w:r>
      <w:r>
        <w:rPr>
          <w:rFonts w:hint="eastAsia" w:ascii="Times New Roman" w:hAnsi="Times New Roman" w:eastAsia="仿宋" w:cs="仿宋"/>
          <w:color w:val="auto"/>
          <w:sz w:val="32"/>
          <w:szCs w:val="32"/>
          <w:highlight w:val="none"/>
        </w:rPr>
        <w:t>、其他重要事项的情况说明</w:t>
      </w:r>
    </w:p>
    <w:p w14:paraId="2C8BE8F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15A6DAE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ABCBFB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0E66EA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一、收入支出决算总表</w:t>
      </w:r>
    </w:p>
    <w:p w14:paraId="3CCE2C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二、收入决算表</w:t>
      </w:r>
    </w:p>
    <w:p w14:paraId="71223C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三、支出决算表</w:t>
      </w:r>
    </w:p>
    <w:p w14:paraId="73645D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四、财政拨款收入支出决算总表</w:t>
      </w:r>
    </w:p>
    <w:p w14:paraId="41B7F1A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五、财政拨款支出决算明细表</w:t>
      </w:r>
    </w:p>
    <w:p w14:paraId="7D6B25E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六、一般公共预算财政拨款支出决算表</w:t>
      </w:r>
    </w:p>
    <w:p w14:paraId="54805D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七、一般公共预算财政拨款支出决算明细表</w:t>
      </w:r>
    </w:p>
    <w:p w14:paraId="61F33CE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八、一般公共预算财政拨款基本支出决算</w:t>
      </w:r>
      <w:r>
        <w:rPr>
          <w:rFonts w:hint="eastAsia" w:ascii="Times New Roman" w:hAnsi="Times New Roman" w:eastAsia="仿宋" w:cs="仿宋"/>
          <w:color w:val="auto"/>
          <w:sz w:val="32"/>
          <w:szCs w:val="32"/>
          <w:highlight w:val="none"/>
          <w:lang w:eastAsia="zh-CN"/>
        </w:rPr>
        <w:t>明细</w:t>
      </w:r>
      <w:r>
        <w:rPr>
          <w:rFonts w:hint="eastAsia" w:ascii="Times New Roman" w:hAnsi="Times New Roman" w:eastAsia="仿宋" w:cs="仿宋"/>
          <w:color w:val="auto"/>
          <w:sz w:val="32"/>
          <w:szCs w:val="32"/>
          <w:highlight w:val="none"/>
        </w:rPr>
        <w:t>表</w:t>
      </w:r>
    </w:p>
    <w:p w14:paraId="317BD92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九、一般公共预算财政拨款项目支出决算表</w:t>
      </w:r>
    </w:p>
    <w:p w14:paraId="716D80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十、政府性基金预算财政拨款收入支出决算表</w:t>
      </w:r>
    </w:p>
    <w:p w14:paraId="4C284B9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十一、国有资本经营预算财政拨款收入支出决算表</w:t>
      </w:r>
    </w:p>
    <w:p w14:paraId="6BAE8B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十二、</w:t>
      </w:r>
      <w:r>
        <w:rPr>
          <w:rFonts w:hint="eastAsia" w:ascii="Times New Roman" w:hAnsi="Times New Roman" w:eastAsia="仿宋" w:cs="仿宋"/>
          <w:color w:val="auto"/>
          <w:sz w:val="32"/>
          <w:szCs w:val="32"/>
          <w:highlight w:val="none"/>
          <w:lang w:val="en-US" w:eastAsia="zh-CN"/>
        </w:rPr>
        <w:t>国有资本经营预算财政拨款支出决算表</w:t>
      </w:r>
    </w:p>
    <w:p w14:paraId="11A90CC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十三、财政拨款“三公”经费支出决算表</w:t>
      </w:r>
    </w:p>
    <w:p w14:paraId="1569F017">
      <w:pPr>
        <w:widowControl/>
        <w:jc w:val="center"/>
        <w:rPr>
          <w:rFonts w:hint="eastAsia" w:ascii="Times New Roman" w:hAnsi="Times New Roman" w:eastAsia="黑体"/>
          <w:color w:val="auto"/>
          <w:sz w:val="48"/>
          <w:szCs w:val="48"/>
          <w:highlight w:val="none"/>
        </w:rPr>
        <w:sectPr>
          <w:footerReference r:id="rId8" w:type="first"/>
          <w:footerReference r:id="rId7" w:type="default"/>
          <w:pgSz w:w="11906" w:h="16838"/>
          <w:pgMar w:top="1440" w:right="1800" w:bottom="1440" w:left="1800" w:header="851" w:footer="992" w:gutter="0"/>
          <w:pgNumType w:fmt="decimal"/>
          <w:cols w:space="425" w:num="1"/>
          <w:titlePg/>
          <w:docGrid w:type="lines" w:linePitch="312" w:charSpace="0"/>
        </w:sectPr>
      </w:pPr>
    </w:p>
    <w:p w14:paraId="4A951A82">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p>
    <w:p w14:paraId="76A63B10">
      <w:pPr>
        <w:pStyle w:val="6"/>
        <w:rPr>
          <w:rFonts w:hint="eastAsia" w:ascii="Times New Roman" w:hAnsi="Times New Roman" w:eastAsia="黑体"/>
          <w:b w:val="0"/>
          <w:color w:val="000000" w:themeColor="text1"/>
          <w:highlight w:val="none"/>
          <w:lang w:eastAsia="zh-CN"/>
          <w14:textFill>
            <w14:solidFill>
              <w14:schemeClr w14:val="tx1"/>
            </w14:solidFill>
          </w14:textFill>
        </w:rPr>
      </w:pPr>
      <w:bookmarkStart w:id="6" w:name="_Toc15377197"/>
      <w:bookmarkStart w:id="7" w:name="_Toc15396600"/>
      <w:r>
        <w:rPr>
          <w:rFonts w:hint="eastAsia" w:ascii="Times New Roman" w:hAnsi="Times New Roman" w:eastAsia="黑体"/>
          <w:b w:val="0"/>
          <w:color w:val="000000" w:themeColor="text1"/>
          <w:highlight w:val="none"/>
          <w14:textFill>
            <w14:solidFill>
              <w14:schemeClr w14:val="tx1"/>
            </w14:solidFill>
          </w14:textFill>
        </w:rPr>
        <w:t>一、</w:t>
      </w:r>
      <w:bookmarkEnd w:id="6"/>
      <w:bookmarkEnd w:id="7"/>
      <w:r>
        <w:rPr>
          <w:rFonts w:hint="eastAsia" w:ascii="Times New Roman" w:hAnsi="Times New Roman" w:eastAsia="黑体"/>
          <w:b w:val="0"/>
          <w:color w:val="000000" w:themeColor="text1"/>
          <w:highlight w:val="none"/>
          <w:lang w:eastAsia="zh-CN"/>
          <w14:textFill>
            <w14:solidFill>
              <w14:schemeClr w14:val="tx1"/>
            </w14:solidFill>
          </w14:textFill>
        </w:rPr>
        <w:t>部门职责</w:t>
      </w:r>
    </w:p>
    <w:p w14:paraId="64C2DC66">
      <w:pPr>
        <w:widowControl/>
        <w:spacing w:line="560" w:lineRule="exact"/>
        <w:rPr>
          <w:rFonts w:hint="eastAsia" w:ascii="宋体" w:eastAsia="宋体" w:cs="宋体"/>
          <w:b/>
          <w:bCs/>
          <w:kern w:val="0"/>
          <w:sz w:val="32"/>
          <w:szCs w:val="32"/>
          <w:lang w:bidi="ar-SA"/>
        </w:rPr>
      </w:pPr>
      <w:r>
        <w:rPr>
          <w:rFonts w:hint="eastAsia" w:ascii="宋体" w:eastAsia="宋体" w:cs="宋体"/>
          <w:b/>
          <w:bCs/>
          <w:kern w:val="0"/>
          <w:sz w:val="32"/>
          <w:szCs w:val="32"/>
          <w:lang w:bidi="ar-SA"/>
        </w:rPr>
        <w:t>1、办公室（财务室）</w:t>
      </w:r>
    </w:p>
    <w:p w14:paraId="71E19EFB">
      <w:pPr>
        <w:widowControl/>
        <w:spacing w:line="560" w:lineRule="exact"/>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局机关政务协调、文电处理、政务信息、机要、安全、保密、文书档案管理；并按规定指导全县城乡建设档案工作。负责重要综合性会议的组织协调、新闻宣传、目标管理、外事、信访工作；负责重要文件、会议决议、领导指示的督办工作，协调各股、室、站、队、开展业务工作。协调组织相关股、室、站、队办理人大代表建议、政协委员提案。负责局机关人事管理工作，负责本局退休人员的管理；承担局机关和直属事业单位的机构编制管理和人事劳资工作。负责局机关社会治安综合治理和维护稳定工作，开展精神文明建设活动，协助局机关支部开展理论学习。综合管理中央和省、州级财政用于住房城乡建设系统的各专项资金；协调、指导和监督住房和城乡建设领域财税、价格政策的落实；负责局行政机关和直属事业单位的财务及国有资产的监督管理。行业普法和法治宣传教育工作。负责住房和城乡建设志的编撰工作。负责综合协调住房和城乡规划建设系统行政审批以及行政复议、诉讼、信访等工作。</w:t>
      </w:r>
    </w:p>
    <w:p w14:paraId="47393FBB">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会计个人工作：做好预算会计工作，及时准确报送财务报表，负责财务预决算的编制，审核、编制经费总预决算。做好记账凭证的编制，账簿登记及票据的保管工作。</w:t>
      </w:r>
    </w:p>
    <w:p w14:paraId="039F8BEA">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出纳个人工作：负责日常款项的划拨和费用的报销工作，做好项目报账资料的审核工作。严格报账程序</w:t>
      </w:r>
    </w:p>
    <w:p w14:paraId="02870C92">
      <w:pPr>
        <w:widowControl/>
        <w:spacing w:line="56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2、建设管理股</w:t>
      </w:r>
    </w:p>
    <w:p w14:paraId="1C5C960E">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负责城乡建设许可行政审批工作; 负责拟订城乡建设行政许可事项审查（审核）的政策、规定、标准、规程细则；指导城乡基础设施建设、城乡管理和市政、公用事业、环卫事业的发展；拟订城乡建设、环境综合治理、市政公用事业、环卫事业的发展战略、中长期规划、产业政策、技术标准和村镇建设的发展战略及政策，并监督实施；负责建制镇的供水、排水、节水、燃气、热力、市政设施（城镇道路、桥梁、河道、路灯等）、市容环境卫生、垃圾处理、防汛排涝、城镇雕塑的监督管理工作；负责城镇污水处理设施和管网配套建设及运营监督管理工作；指导城镇市容环境综合治理工作。指导和管理全县乡镇和村庄建设工作；指导农村住房建设、建设工程质量安全管理、危房改造；组织村镇建设试点工作，指导和管理全县重点镇的建设。监督执行招标代理、建筑施工、工程监理、工程检测、工程担保等市场准入与清算管理的规章制度；负责建设工程施工许可、工程质量和施工安全、工程竣工验收备案的监督检查，参与工程重大质量、安全事故的调查处理；负责县外入县建设类企业及个人执业行为的监督管理；配合相关部门开展房屋建筑和市政基础设施工程项目招投标活动的监督。负责指导建筑行业诚信体系建设；组织实施建筑活动监督执法；负责城建档案收集、立卷、归档、整理和管理工作，指导全县建造师和建筑施工企业执业人员资格管理。指导农村建筑工匠培训和管理。管理勘察设计市场；指导城镇勘察、城镇地下空间规划及开发利用工作；拟订行业科技发展和建筑节能规划及相关技术政策并组织实施。</w:t>
      </w:r>
    </w:p>
    <w:p w14:paraId="44552885">
      <w:pPr>
        <w:widowControl/>
        <w:spacing w:line="54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3、住房保障股</w:t>
      </w:r>
    </w:p>
    <w:p w14:paraId="4E0F90A6">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拟订全县住房政策、规章制度并组织实施；指导全县住房建设和住房制度改革；组织编制全县保障性住房建设规划、住房保障发展规划和年度计划并监督实施，拟订全县房地产市场监督管理和稳定住房价格的政策、措施并监督执行；指导城镇土地使用权有偿转让和开发利用工作；拟订房地产业的发展规划、产业政策和规章制度；提出进城定居农民的住房政策建议以及农房产权产籍管理工作；拟订商品住宅发展规划；组织拟订城镇住宅建设、房地产开发、房屋征收拆迁、房地产交易、房屋权属管理、房屋面积管理、房地产中介、物业管理、房屋安全鉴定等工作的规章制度并监督实施；负责规定范围内的房屋产权确权登记发证；组织建设并管理全县房屋权属信息系统。</w:t>
      </w:r>
    </w:p>
    <w:p w14:paraId="3F7F1F3E">
      <w:pPr>
        <w:pStyle w:val="3"/>
        <w:ind w:left="0" w:leftChars="0" w:firstLine="321" w:firstLineChars="100"/>
        <w:rPr>
          <w:rFonts w:hint="eastAsia" w:ascii="宋体" w:eastAsia="宋体" w:cs="宋体"/>
          <w:b/>
          <w:bCs/>
          <w:kern w:val="0"/>
          <w:sz w:val="32"/>
          <w:szCs w:val="32"/>
          <w:lang w:bidi="ar-SA"/>
        </w:rPr>
      </w:pPr>
      <w:r>
        <w:rPr>
          <w:rFonts w:hint="eastAsia" w:ascii="宋体" w:eastAsia="宋体" w:cs="宋体"/>
          <w:b/>
          <w:bCs/>
          <w:kern w:val="0"/>
          <w:sz w:val="32"/>
          <w:szCs w:val="32"/>
          <w:lang w:bidi="ar-SA"/>
        </w:rPr>
        <w:t>4、村镇股</w:t>
      </w:r>
    </w:p>
    <w:p w14:paraId="6C2DB8FD">
      <w:pPr>
        <w:numPr>
          <w:ilvl w:val="0"/>
          <w:numId w:val="0"/>
        </w:numPr>
        <w:rPr>
          <w:rFonts w:hint="eastAsia"/>
          <w:lang w:eastAsia="zh-CN"/>
        </w:rPr>
      </w:pPr>
      <w:r>
        <w:rPr>
          <w:rFonts w:hint="eastAsia" w:ascii="仿宋" w:eastAsia="仿宋" w:cs="Times New Roman"/>
          <w:kern w:val="0"/>
          <w:sz w:val="32"/>
          <w:szCs w:val="32"/>
          <w:lang w:val="en-US" w:eastAsia="zh-CN" w:bidi="ar-SA"/>
        </w:rPr>
        <w:t>指导乡镇和村庄建设工作；拟订村镇建设发展战略和政策并监督实施；组织村镇建设相关试点工作，指导全县小城镇建设、传统村落建设工作；指导乡村建筑风貌引导、保护利用乡土建筑文化等工作；指导农村住房建设、危旧房改造及农房建设管理人才培训等工作；承担历史文化名镇、名村的审核报批、保护和监督管理有关工作。</w:t>
      </w:r>
    </w:p>
    <w:p w14:paraId="625A329F">
      <w:pPr>
        <w:rPr>
          <w:rFonts w:hint="eastAsia"/>
          <w:lang w:eastAsia="zh-CN"/>
        </w:rPr>
      </w:pPr>
    </w:p>
    <w:p w14:paraId="7A050D8E">
      <w:pPr>
        <w:pStyle w:val="6"/>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571F6C81">
      <w:pPr>
        <w:ind w:firstLine="800" w:firstLineChars="250"/>
        <w:rPr>
          <w:rFonts w:hint="eastAsia" w:ascii="Times New Roman" w:hAnsi="Times New Roman" w:eastAsia="仿宋" w:cs="仿宋"/>
          <w:color w:val="auto"/>
          <w:sz w:val="32"/>
          <w:szCs w:val="32"/>
          <w:highlight w:val="none"/>
        </w:rPr>
      </w:pPr>
      <w:r>
        <w:rPr>
          <w:rFonts w:hint="eastAsia" w:ascii="仿宋" w:hAnsi="仿宋" w:eastAsia="仿宋" w:cs="仿宋"/>
          <w:color w:val="auto"/>
          <w:sz w:val="32"/>
          <w:szCs w:val="32"/>
          <w:highlight w:val="none"/>
        </w:rPr>
        <w:t>阿坝州若尔盖县建设工程质量安全监督站</w:t>
      </w:r>
      <w:r>
        <w:rPr>
          <w:rFonts w:hint="eastAsia" w:ascii="Times New Roman" w:hAnsi="Times New Roman" w:eastAsia="仿宋" w:cs="仿宋"/>
          <w:color w:val="auto"/>
          <w:sz w:val="32"/>
          <w:szCs w:val="32"/>
          <w:highlight w:val="none"/>
        </w:rPr>
        <w:t>下属二级</w:t>
      </w:r>
      <w:r>
        <w:rPr>
          <w:rFonts w:hint="eastAsia" w:ascii="Times New Roman" w:hAnsi="Times New Roman" w:eastAsia="仿宋" w:cs="仿宋"/>
          <w:color w:val="auto"/>
          <w:sz w:val="32"/>
          <w:szCs w:val="32"/>
          <w:highlight w:val="none"/>
          <w:lang w:eastAsia="zh-CN"/>
        </w:rPr>
        <w:t>预算</w:t>
      </w:r>
      <w:r>
        <w:rPr>
          <w:rFonts w:hint="eastAsia" w:ascii="Times New Roman" w:hAnsi="Times New Roman" w:eastAsia="仿宋" w:cs="仿宋"/>
          <w:color w:val="auto"/>
          <w:sz w:val="32"/>
          <w:szCs w:val="32"/>
          <w:highlight w:val="none"/>
        </w:rPr>
        <w:t>单位</w:t>
      </w:r>
      <w:r>
        <w:rPr>
          <w:rFonts w:hint="eastAsia" w:eastAsia="仿宋" w:cs="仿宋"/>
          <w:color w:val="auto"/>
          <w:sz w:val="32"/>
          <w:szCs w:val="32"/>
          <w:highlight w:val="none"/>
          <w:lang w:val="en-US" w:eastAsia="zh-CN"/>
        </w:rPr>
        <w:t>0</w:t>
      </w:r>
      <w:r>
        <w:rPr>
          <w:rFonts w:hint="eastAsia" w:ascii="Times New Roman" w:hAnsi="Times New Roman" w:eastAsia="仿宋" w:cs="仿宋"/>
          <w:color w:val="auto"/>
          <w:sz w:val="32"/>
          <w:szCs w:val="32"/>
          <w:highlight w:val="none"/>
        </w:rPr>
        <w:t>个，其中行政单位</w:t>
      </w:r>
      <w:r>
        <w:rPr>
          <w:rFonts w:hint="eastAsia" w:eastAsia="仿宋" w:cs="仿宋"/>
          <w:color w:val="auto"/>
          <w:sz w:val="32"/>
          <w:szCs w:val="32"/>
          <w:highlight w:val="none"/>
          <w:lang w:val="en-US" w:eastAsia="zh-CN"/>
        </w:rPr>
        <w:t>0</w:t>
      </w:r>
      <w:r>
        <w:rPr>
          <w:rFonts w:hint="eastAsia" w:ascii="Times New Roman" w:hAnsi="Times New Roman" w:eastAsia="仿宋" w:cs="仿宋"/>
          <w:color w:val="auto"/>
          <w:sz w:val="32"/>
          <w:szCs w:val="32"/>
          <w:highlight w:val="none"/>
        </w:rPr>
        <w:t>个，参照公务员法管理的事业单位</w:t>
      </w:r>
      <w:r>
        <w:rPr>
          <w:rFonts w:hint="eastAsia" w:eastAsia="仿宋" w:cs="仿宋"/>
          <w:color w:val="auto"/>
          <w:sz w:val="32"/>
          <w:szCs w:val="32"/>
          <w:highlight w:val="none"/>
          <w:lang w:val="en-US" w:eastAsia="zh-CN"/>
        </w:rPr>
        <w:t>0</w:t>
      </w:r>
      <w:r>
        <w:rPr>
          <w:rFonts w:hint="eastAsia" w:ascii="Times New Roman" w:hAnsi="Times New Roman" w:eastAsia="仿宋" w:cs="仿宋"/>
          <w:color w:val="auto"/>
          <w:sz w:val="32"/>
          <w:szCs w:val="32"/>
          <w:highlight w:val="none"/>
        </w:rPr>
        <w:t>个，其他事业单位</w:t>
      </w:r>
      <w:r>
        <w:rPr>
          <w:rFonts w:hint="eastAsia" w:eastAsia="仿宋" w:cs="仿宋"/>
          <w:color w:val="auto"/>
          <w:sz w:val="32"/>
          <w:szCs w:val="32"/>
          <w:highlight w:val="none"/>
          <w:lang w:val="en-US" w:eastAsia="zh-CN"/>
        </w:rPr>
        <w:t>0</w:t>
      </w:r>
      <w:r>
        <w:rPr>
          <w:rFonts w:hint="eastAsia" w:ascii="Times New Roman" w:hAnsi="Times New Roman" w:eastAsia="仿宋" w:cs="仿宋"/>
          <w:color w:val="auto"/>
          <w:sz w:val="32"/>
          <w:szCs w:val="32"/>
          <w:highlight w:val="none"/>
        </w:rPr>
        <w:t>个。</w:t>
      </w:r>
    </w:p>
    <w:p w14:paraId="5F801593">
      <w:pPr>
        <w:pStyle w:val="8"/>
        <w:numPr>
          <w:ilvl w:val="0"/>
          <w:numId w:val="0"/>
        </w:numPr>
        <w:adjustRightInd w:val="0"/>
        <w:snapToGrid w:val="0"/>
        <w:spacing w:before="93" w:line="600" w:lineRule="exact"/>
        <w:ind w:firstLine="640" w:firstLineChars="200"/>
        <w:outlineLvl w:val="2"/>
        <w:rPr>
          <w:rFonts w:hint="eastAsia" w:ascii="Times New Roman" w:hAnsi="Times New Roman" w:eastAsia="仿宋" w:cs="仿宋"/>
          <w:color w:val="auto"/>
          <w:sz w:val="32"/>
          <w:szCs w:val="32"/>
          <w:highlight w:val="none"/>
        </w:rPr>
      </w:pPr>
    </w:p>
    <w:p w14:paraId="3AB3C194">
      <w:pPr>
        <w:pStyle w:val="5"/>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661A8EC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370476D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 w:cs="仿宋"/>
          <w:color w:val="auto"/>
          <w:sz w:val="32"/>
          <w:szCs w:val="32"/>
          <w:highlight w:val="none"/>
          <w:lang w:eastAsia="zh-CN"/>
        </w:rPr>
      </w:pPr>
      <w:r>
        <w:rPr>
          <w:rFonts w:hint="eastAsia" w:eastAsia="仿宋" w:cs="仿宋"/>
          <w:color w:val="auto"/>
          <w:sz w:val="32"/>
          <w:szCs w:val="32"/>
          <w:highlight w:val="none"/>
          <w:lang w:eastAsia="zh-CN"/>
        </w:rPr>
        <w:t>2025年度收入、支出总计均为240.91万元。与上年度相比，收入、支出总计各减少49.55万元，下降17.06%。主要变动原因是项目支出减少。</w:t>
      </w:r>
    </w:p>
    <w:p w14:paraId="4FC34A2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 w:cs="仿宋"/>
          <w:color w:val="auto"/>
          <w:sz w:val="32"/>
          <w:szCs w:val="32"/>
          <w:highlight w:val="none"/>
          <w:lang w:eastAsia="zh-CN"/>
        </w:rPr>
      </w:pPr>
      <w:r>
        <w:rPr>
          <w:rFonts w:ascii="仿宋_GB2312" w:eastAsia="仿宋_GB2312" w:cs="仿宋_GB2312"/>
          <w:sz w:val="32"/>
          <w:szCs w:val="32"/>
          <w:lang w:bidi="ar-SA"/>
        </w:rPr>
        <w:pict>
          <v:shape id="Object 9" o:spid="_x0000_s1026" o:spt="75" alt="0.emf" type="#_x0000_t75" style="position:absolute;left:0pt;margin-left:20.55pt;margin-top:-606.25pt;height:245.2pt;width:377.25pt;mso-wrap-distance-bottom:0pt;mso-wrap-distance-left:9pt;mso-wrap-distance-right:9pt;mso-wrap-distance-top:0pt;z-index:251659264;mso-width-relative:page;mso-height-relative:page;" o:ole="t" filled="f" o:preferrelative="t" stroked="f" coordsize="21600,21600">
            <v:path/>
            <v:fill on="f" focussize="0,0"/>
            <v:stroke on="f"/>
            <v:imagedata r:id="rId13" o:title=""/>
            <o:lock v:ext="edit" aspectratio="t"/>
            <w10:wrap type="square"/>
          </v:shape>
          <o:OLEObject Type="Embed" ProgID="Excel.Chart.8" ShapeID="Object 9" DrawAspect="Content" ObjectID="_1468075725" r:id="rId12">
            <o:LockedField>false</o:LockedField>
          </o:OLEObject>
        </w:pict>
      </w:r>
    </w:p>
    <w:p w14:paraId="386F007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
          <w:color w:val="auto"/>
          <w:sz w:val="32"/>
          <w:szCs w:val="32"/>
          <w:highlight w:val="none"/>
        </w:rPr>
      </w:pPr>
      <w:r>
        <w:rPr>
          <w:rFonts w:hint="eastAsia" w:eastAsia="仿宋" w:cs="仿宋"/>
          <w:color w:val="auto"/>
          <w:sz w:val="32"/>
          <w:szCs w:val="32"/>
          <w:highlight w:val="none"/>
          <w:lang w:eastAsia="zh-CN"/>
        </w:rPr>
        <w:t>（图1：收入、支出决算总计变动情况图）（柱状图）</w:t>
      </w:r>
    </w:p>
    <w:p w14:paraId="7CC9D43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2EB5584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 w:cs="仿宋"/>
          <w:color w:val="auto"/>
          <w:sz w:val="32"/>
          <w:szCs w:val="32"/>
          <w:highlight w:val="none"/>
          <w:lang w:eastAsia="zh-CN"/>
        </w:rPr>
      </w:pPr>
      <w:r>
        <w:rPr>
          <w:rFonts w:hint="eastAsia" w:eastAsia="仿宋" w:cs="仿宋"/>
          <w:color w:val="auto"/>
          <w:sz w:val="32"/>
          <w:szCs w:val="32"/>
          <w:highlight w:val="none"/>
          <w:lang w:eastAsia="zh-CN"/>
        </w:rPr>
        <w:t>2025年度本年收入合计240.91万元，其中：一般公共预算财政拨款收入240.91万元，占100%；政府性基金预算财政拨款收入0万元，占0%；国有资本经营预算财政拨款收入0万元，占0%；上级补助收入0万元，占0%；事业收入0万元，占0%；经营收入0万元，占0%；附属单位上缴收入0万元，占0%；其他收入0万元，占0%。</w:t>
      </w:r>
    </w:p>
    <w:p w14:paraId="0049EEF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eastAsia="仿宋" w:cs="仿宋"/>
          <w:color w:val="auto"/>
          <w:sz w:val="32"/>
          <w:szCs w:val="32"/>
          <w:highlight w:val="none"/>
          <w:lang w:eastAsia="zh-CN"/>
        </w:rPr>
      </w:pPr>
      <w:r>
        <w:rPr>
          <w:rFonts w:ascii="仿宋_GB2312" w:eastAsia="仿宋_GB2312" w:cs="仿宋_GB2312"/>
          <w:b/>
          <w:sz w:val="32"/>
          <w:szCs w:val="32"/>
          <w:lang w:bidi="ar-SA"/>
        </w:rPr>
        <w:pict>
          <v:shape id="Object 11" o:spid="_x0000_s1027" o:spt="75" alt="1.emf" type="#_x0000_t75" style="position:absolute;left:0pt;margin-left:10.6pt;margin-top:19.45pt;height:212.25pt;width:369pt;mso-wrap-distance-bottom:0pt;mso-wrap-distance-top:0pt;z-index:251660288;mso-width-relative:page;mso-height-relative:page;" o:ole="t" filled="f" o:preferrelative="t" stroked="f" coordsize="21600,21600">
            <v:path/>
            <v:fill on="f" focussize="0,0"/>
            <v:stroke on="f"/>
            <v:imagedata r:id="rId15" o:title=""/>
            <o:lock v:ext="edit" aspectratio="t"/>
            <w10:wrap type="topAndBottom"/>
          </v:shape>
          <o:OLEObject Type="Embed" ProgID="Excel.Chart.8" ShapeID="Object 11" DrawAspect="Content" ObjectID="_1468075726" r:id="rId14">
            <o:LockedField>false</o:LockedField>
          </o:OLEObject>
        </w:pict>
      </w:r>
    </w:p>
    <w:p w14:paraId="387C304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
          <w:color w:val="auto"/>
          <w:sz w:val="32"/>
          <w:szCs w:val="32"/>
          <w:highlight w:val="none"/>
          <w:lang w:eastAsia="zh-CN"/>
        </w:rPr>
      </w:pPr>
      <w:r>
        <w:rPr>
          <w:rFonts w:hint="eastAsia" w:ascii="Times New Roman" w:hAnsi="Times New Roman" w:eastAsia="仿宋" w:cs="仿宋"/>
          <w:color w:val="auto"/>
          <w:sz w:val="32"/>
          <w:szCs w:val="32"/>
          <w:highlight w:val="none"/>
          <w:lang w:eastAsia="zh-CN"/>
        </w:rPr>
        <w:t>（图2：收入决算结构图）（饼状图）</w:t>
      </w:r>
    </w:p>
    <w:p w14:paraId="4FA127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550AE37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eastAsia="仿宋" w:cs="仿宋"/>
          <w:color w:val="auto"/>
          <w:sz w:val="32"/>
          <w:szCs w:val="32"/>
          <w:highlight w:val="none"/>
          <w:lang w:eastAsia="zh-CN"/>
        </w:rPr>
      </w:pPr>
      <w:r>
        <w:rPr>
          <w:rFonts w:ascii="仿宋_GB2312" w:eastAsia="仿宋_GB2312" w:cs="仿宋_GB2312"/>
          <w:b/>
          <w:sz w:val="32"/>
          <w:szCs w:val="32"/>
          <w:lang w:bidi="ar-SA"/>
        </w:rPr>
        <w:pict>
          <v:shape id="Object 12" o:spid="_x0000_s1028" o:spt="75" alt="2.emf" type="#_x0000_t75" style="position:absolute;left:0pt;margin-left:2.9pt;margin-top:141.15pt;height:222.75pt;width:366.75pt;mso-wrap-distance-bottom:0pt;mso-wrap-distance-top:0pt;z-index:251661312;mso-width-relative:page;mso-height-relative:page;" o:ole="t" filled="f" o:preferrelative="t" stroked="f" coordsize="21600,21600">
            <v:path/>
            <v:fill on="f" focussize="0,0"/>
            <v:stroke on="f"/>
            <v:imagedata r:id="rId17" o:title=""/>
            <o:lock v:ext="edit" aspectratio="t"/>
            <w10:wrap type="topAndBottom"/>
          </v:shape>
          <o:OLEObject Type="Embed" ProgID="Excel.Chart.8" ShapeID="Object 12" DrawAspect="Content" ObjectID="_1468075727" r:id="rId16">
            <o:LockedField>false</o:LockedField>
          </o:OLEObject>
        </w:pict>
      </w:r>
      <w:r>
        <w:rPr>
          <w:rFonts w:hint="eastAsia" w:eastAsia="仿宋" w:cs="仿宋"/>
          <w:color w:val="auto"/>
          <w:sz w:val="32"/>
          <w:szCs w:val="32"/>
          <w:highlight w:val="none"/>
          <w:lang w:eastAsia="zh-CN"/>
        </w:rPr>
        <w:t>2025年度本年支出合计240.91万元，其中：基本支出240.91万元，占100%；项目支出0万元，占0%；上缴上级支出0万元，占0%；经营支出0万元，占0%；对附属单位补助支出0万元，占0%。</w:t>
      </w:r>
    </w:p>
    <w:p w14:paraId="18DECED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 w:cs="仿宋"/>
          <w:color w:val="auto"/>
          <w:sz w:val="32"/>
          <w:szCs w:val="32"/>
          <w:highlight w:val="none"/>
          <w:lang w:eastAsia="zh-CN"/>
        </w:rPr>
      </w:pPr>
    </w:p>
    <w:p w14:paraId="7EB20C2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
          <w:color w:val="auto"/>
          <w:sz w:val="32"/>
          <w:szCs w:val="32"/>
          <w:highlight w:val="none"/>
          <w:lang w:eastAsia="zh-CN"/>
        </w:rPr>
      </w:pPr>
      <w:r>
        <w:rPr>
          <w:rFonts w:hint="eastAsia" w:ascii="Times New Roman" w:hAnsi="Times New Roman" w:eastAsia="仿宋" w:cs="仿宋"/>
          <w:color w:val="auto"/>
          <w:sz w:val="32"/>
          <w:szCs w:val="32"/>
          <w:highlight w:val="none"/>
          <w:lang w:eastAsia="zh-CN"/>
        </w:rPr>
        <w:t>（图3：支出决算结构图）（饼状图）</w:t>
      </w:r>
    </w:p>
    <w:p w14:paraId="315C721F">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320335C1">
      <w:pPr>
        <w:spacing w:line="600" w:lineRule="exact"/>
        <w:ind w:firstLine="640"/>
        <w:rPr>
          <w:rFonts w:hint="eastAsia"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2025年度财政拨款收入、支出总计均为240.91万元。与上年度相比，财政拨款收入、支出总计各减少49.55万元，下降17.06%。主要变动原因是项目支出减少。</w:t>
      </w:r>
    </w:p>
    <w:p w14:paraId="6352D9B6">
      <w:pPr>
        <w:pStyle w:val="2"/>
        <w:rPr>
          <w:rFonts w:hint="eastAsia"/>
          <w:lang w:val="en-US" w:eastAsia="zh-CN"/>
        </w:rPr>
      </w:pPr>
    </w:p>
    <w:p w14:paraId="27F1F805">
      <w:pPr>
        <w:pStyle w:val="2"/>
        <w:rPr>
          <w:rFonts w:hint="eastAsia"/>
          <w:lang w:val="en-US" w:eastAsia="zh-CN"/>
        </w:rPr>
      </w:pPr>
    </w:p>
    <w:p w14:paraId="6B0770AE">
      <w:pPr>
        <w:pStyle w:val="2"/>
        <w:rPr>
          <w:rFonts w:hint="eastAsia"/>
          <w:lang w:val="en-US" w:eastAsia="zh-CN"/>
        </w:rPr>
      </w:pPr>
    </w:p>
    <w:p w14:paraId="2D65A5C0">
      <w:pPr>
        <w:pStyle w:val="2"/>
        <w:rPr>
          <w:rFonts w:hint="eastAsia"/>
          <w:lang w:val="en-US" w:eastAsia="zh-CN"/>
        </w:rPr>
      </w:pPr>
    </w:p>
    <w:p w14:paraId="1077CFD4">
      <w:pPr>
        <w:pStyle w:val="2"/>
        <w:rPr>
          <w:rFonts w:hint="eastAsia"/>
          <w:lang w:val="en-US" w:eastAsia="zh-CN"/>
        </w:rPr>
      </w:pPr>
    </w:p>
    <w:p w14:paraId="092CF9DF">
      <w:pPr>
        <w:pStyle w:val="2"/>
        <w:rPr>
          <w:rFonts w:hint="eastAsia"/>
          <w:lang w:val="en-US" w:eastAsia="zh-CN"/>
        </w:rPr>
      </w:pPr>
      <w:r>
        <w:rPr>
          <w:rFonts w:ascii="仿宋_GB2312" w:eastAsia="仿宋_GB2312" w:cs="仿宋_GB2312"/>
          <w:sz w:val="32"/>
          <w:szCs w:val="32"/>
          <w:lang w:eastAsia="zh-CN" w:bidi="ar-SA"/>
        </w:rPr>
        <w:pict>
          <v:shape id="Object 13" o:spid="_x0000_s1029" o:spt="75" alt="3.emf" type="#_x0000_t75" style="position:absolute;left:0pt;margin-left:36.15pt;margin-top:5.55pt;height:222.75pt;width:377.25pt;mso-wrap-distance-bottom:0pt;mso-wrap-distance-top:0pt;z-index:251662336;mso-width-relative:page;mso-height-relative:page;" o:ole="t" filled="f" o:preferrelative="t" stroked="f" coordsize="21600,21600">
            <v:path/>
            <v:fill on="f" focussize="0,0"/>
            <v:stroke on="f"/>
            <v:imagedata r:id="rId19" o:title=""/>
            <o:lock v:ext="edit" aspectratio="t"/>
            <w10:wrap type="topAndBottom"/>
          </v:shape>
          <o:OLEObject Type="Embed" ProgID="Excel.Chart.8" ShapeID="Object 13" DrawAspect="Content" ObjectID="_1468075728" r:id="rId18">
            <o:LockedField>false</o:LockedField>
          </o:OLEObject>
        </w:pict>
      </w:r>
    </w:p>
    <w:p w14:paraId="5E56C006">
      <w:pPr>
        <w:pStyle w:val="2"/>
        <w:rPr>
          <w:rFonts w:hint="eastAsia"/>
          <w:lang w:val="en-US" w:eastAsia="zh-CN"/>
        </w:rPr>
      </w:pPr>
    </w:p>
    <w:p w14:paraId="7C12CE2A">
      <w:pPr>
        <w:pStyle w:val="2"/>
        <w:rPr>
          <w:rFonts w:hint="eastAsia"/>
          <w:lang w:val="en-US" w:eastAsia="zh-CN"/>
        </w:rPr>
      </w:pPr>
    </w:p>
    <w:p w14:paraId="5D3ECD30">
      <w:pPr>
        <w:pStyle w:val="2"/>
        <w:rPr>
          <w:rFonts w:hint="eastAsia"/>
          <w:lang w:val="en-US" w:eastAsia="zh-CN"/>
        </w:rPr>
      </w:pPr>
    </w:p>
    <w:p w14:paraId="6DDBA7DC">
      <w:pPr>
        <w:pStyle w:val="2"/>
        <w:rPr>
          <w:rFonts w:hint="eastAsia"/>
          <w:lang w:val="en-US" w:eastAsia="zh-CN"/>
        </w:rPr>
      </w:pPr>
    </w:p>
    <w:p w14:paraId="6B85F2AC">
      <w:pPr>
        <w:pStyle w:val="2"/>
        <w:rPr>
          <w:rFonts w:hint="eastAsia"/>
          <w:lang w:val="en-US" w:eastAsia="zh-CN"/>
        </w:rPr>
      </w:pPr>
    </w:p>
    <w:p w14:paraId="1F5F442A">
      <w:pPr>
        <w:pStyle w:val="2"/>
        <w:rPr>
          <w:rFonts w:hint="eastAsia"/>
          <w:lang w:val="en-US" w:eastAsia="zh-CN"/>
        </w:rPr>
      </w:pPr>
    </w:p>
    <w:p w14:paraId="22DD8D88">
      <w:pPr>
        <w:pStyle w:val="2"/>
        <w:rPr>
          <w:rFonts w:hint="eastAsia"/>
          <w:lang w:val="en-US" w:eastAsia="zh-CN"/>
        </w:rPr>
      </w:pPr>
    </w:p>
    <w:p w14:paraId="2E9E262E">
      <w:pPr>
        <w:pStyle w:val="2"/>
        <w:rPr>
          <w:rFonts w:hint="eastAsia"/>
          <w:lang w:val="en-US" w:eastAsia="zh-CN"/>
        </w:rPr>
      </w:pPr>
    </w:p>
    <w:p w14:paraId="0F26E5C1">
      <w:pPr>
        <w:pStyle w:val="2"/>
        <w:rPr>
          <w:rFonts w:hint="eastAsia"/>
          <w:lang w:val="en-US" w:eastAsia="zh-CN"/>
        </w:rPr>
      </w:pPr>
    </w:p>
    <w:p w14:paraId="197475E8">
      <w:pPr>
        <w:spacing w:line="600" w:lineRule="exact"/>
        <w:ind w:firstLine="640" w:firstLineChars="20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（图4：财政拨款收、支决算总计变动情况）（柱状图）</w:t>
      </w:r>
    </w:p>
    <w:p w14:paraId="64C4F5EB">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531AEDF4">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22" w:name="_Toc15377210"/>
      <w:r>
        <w:rPr>
          <w:rFonts w:hint="eastAsia" w:ascii="Times New Roman" w:hAnsi="Times New Roman" w:eastAsia="楷体" w:cs="楷体"/>
          <w:b/>
          <w:color w:val="auto"/>
          <w:sz w:val="32"/>
          <w:szCs w:val="32"/>
          <w:highlight w:val="none"/>
        </w:rPr>
        <w:t>（一）一般公共预算财政拨款支出决算总体情况</w:t>
      </w:r>
      <w:bookmarkEnd w:id="22"/>
    </w:p>
    <w:p w14:paraId="55C01B5C">
      <w:pPr>
        <w:spacing w:line="600" w:lineRule="exact"/>
        <w:ind w:firstLine="640"/>
        <w:rPr>
          <w:rFonts w:hint="eastAsia" w:eastAsia="仿宋" w:cs="仿宋"/>
          <w:color w:val="auto"/>
          <w:kern w:val="2"/>
          <w:sz w:val="32"/>
          <w:szCs w:val="32"/>
          <w:highlight w:val="none"/>
          <w:lang w:val="en-US" w:eastAsia="zh-CN" w:bidi="ar-SA"/>
        </w:rPr>
      </w:pPr>
      <w:r>
        <w:rPr>
          <w:rFonts w:ascii="仿宋_GB2312" w:eastAsia="仿宋_GB2312" w:cs="仿宋_GB2312"/>
          <w:sz w:val="32"/>
          <w:szCs w:val="32"/>
          <w:lang w:eastAsia="zh-CN" w:bidi="ar-SA"/>
        </w:rPr>
        <w:pict>
          <v:shape id="Object 15" o:spid="_x0000_s1031" o:spt="75" alt="4.emf" type="#_x0000_t75" style="position:absolute;left:0pt;margin-left:13.75pt;margin-top:119.8pt;height:222.75pt;width:371.25pt;mso-wrap-distance-left:9pt;mso-wrap-distance-right:9pt;z-index:251663360;mso-width-relative:page;mso-height-relative:page;" o:ole="t" filled="f" o:preferrelative="t" stroked="f" coordsize="21600,21600" wrapcoords="21592 -2 0 0 0 21600 21592 21602 8 21602 21600 21600 21600 0 8 -2 21592 -2">
            <v:path/>
            <v:fill on="f" focussize="0,0"/>
            <v:stroke on="f"/>
            <v:imagedata r:id="rId21" o:title=""/>
            <o:lock v:ext="edit" aspectratio="t"/>
            <w10:wrap type="tight"/>
          </v:shape>
          <o:OLEObject Type="Embed" ProgID="Excel.Chart.8" ShapeID="Object 15" DrawAspect="Content" ObjectID="_1468075729" r:id="rId20">
            <o:LockedField>false</o:LockedField>
          </o:OLEObject>
        </w:pict>
      </w:r>
      <w:r>
        <w:rPr>
          <w:rFonts w:hint="eastAsia" w:eastAsia="仿宋" w:cs="仿宋"/>
          <w:color w:val="auto"/>
          <w:kern w:val="2"/>
          <w:sz w:val="32"/>
          <w:szCs w:val="32"/>
          <w:highlight w:val="none"/>
          <w:lang w:val="en-US" w:eastAsia="zh-CN" w:bidi="ar-SA"/>
        </w:rPr>
        <w:t>2025年度一般公共预算财政拨款支出240.91万元，占本年支出合计的100%。与上年度相比，一般公共预算财政拨款支出减少49.55万元，下降17.06%。主要变动原因是项目支出减少。</w:t>
      </w:r>
    </w:p>
    <w:p w14:paraId="78C1F9DD">
      <w:pPr>
        <w:pStyle w:val="2"/>
        <w:rPr>
          <w:rFonts w:hint="eastAsia"/>
          <w:lang w:val="en-US" w:eastAsia="zh-CN"/>
        </w:rPr>
      </w:pPr>
    </w:p>
    <w:p w14:paraId="4F531B3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（图5：一般公共预算财政拨款支出决算变动情况）（柱状图）</w:t>
      </w:r>
    </w:p>
    <w:p w14:paraId="733A2F33">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23" w:name="_Toc15377211"/>
      <w:r>
        <w:rPr>
          <w:rFonts w:hint="eastAsia" w:ascii="Times New Roman" w:hAnsi="Times New Roman" w:eastAsia="楷体" w:cs="楷体"/>
          <w:b/>
          <w:color w:val="auto"/>
          <w:sz w:val="32"/>
          <w:szCs w:val="32"/>
          <w:highlight w:val="none"/>
        </w:rPr>
        <w:t>（二）一般公共预算财政拨款支出决算结构情况</w:t>
      </w:r>
      <w:bookmarkEnd w:id="23"/>
    </w:p>
    <w:p w14:paraId="21EED68F">
      <w:pPr>
        <w:spacing w:line="600" w:lineRule="exact"/>
        <w:ind w:firstLine="640"/>
        <w:rPr>
          <w:rFonts w:hint="eastAsia"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2025年度一般公共预算财政拨款支出240.91万元，主要用于以下方面：城乡社区支出177.8万元，占73.80%；社会保障和就业支出32.63万元，占13.54%；卫生健康支出12.24万元，占5.08%；住房保障支出18.24万元，占7.57%。</w:t>
      </w:r>
    </w:p>
    <w:p w14:paraId="6D4F16EE">
      <w:pPr>
        <w:pStyle w:val="2"/>
        <w:rPr>
          <w:rFonts w:hint="eastAsia"/>
          <w:lang w:val="en-US" w:eastAsia="zh-CN"/>
        </w:rPr>
      </w:pPr>
    </w:p>
    <w:p w14:paraId="0A14A1B1">
      <w:pPr>
        <w:spacing w:line="600" w:lineRule="exact"/>
        <w:ind w:firstLine="643" w:firstLineChars="200"/>
        <w:rPr>
          <w:rFonts w:hint="eastAsia" w:ascii="Times New Roman" w:hAnsi="Times New Roman" w:eastAsia="仿宋" w:cs="仿宋"/>
          <w:color w:val="auto"/>
          <w:kern w:val="2"/>
          <w:sz w:val="32"/>
          <w:szCs w:val="32"/>
          <w:highlight w:val="none"/>
          <w:lang w:val="en-US" w:eastAsia="zh-CN" w:bidi="ar-SA"/>
        </w:rPr>
      </w:pPr>
      <w:r>
        <w:rPr>
          <w:rFonts w:ascii="仿宋_GB2312" w:eastAsia="仿宋_GB2312" w:cs="仿宋_GB2312"/>
          <w:b/>
          <w:sz w:val="32"/>
          <w:szCs w:val="32"/>
          <w:lang w:bidi="ar-SA"/>
        </w:rPr>
        <w:pict>
          <v:shape id="Object 17" o:spid="_x0000_s1033" o:spt="75" alt="5.emf" type="#_x0000_t75" style="position:absolute;left:0pt;margin-left:39pt;margin-top:3.5pt;height:211.05pt;width:349.6pt;mso-wrap-distance-bottom:0pt;mso-wrap-distance-top:0pt;z-index:251664384;mso-width-relative:page;mso-height-relative:page;" o:ole="t" filled="f" o:preferrelative="t" stroked="f" coordsize="21600,21600">
            <v:path/>
            <v:fill on="f" focussize="0,0"/>
            <v:stroke on="f"/>
            <v:imagedata r:id="rId23" o:title=""/>
            <o:lock v:ext="edit" aspectratio="t"/>
            <w10:wrap type="topAndBottom"/>
          </v:shape>
          <o:OLEObject Type="Embed" ProgID="Excel.Chart.8" ShapeID="Object 17" DrawAspect="Content" ObjectID="_1468075730" r:id="rId22">
            <o:LockedField>false</o:LockedField>
          </o:OLEObject>
        </w:pict>
      </w:r>
      <w:r>
        <w:rPr>
          <w:rFonts w:hint="eastAsia" w:eastAsia="仿宋" w:cs="仿宋"/>
          <w:color w:val="auto"/>
          <w:kern w:val="2"/>
          <w:sz w:val="32"/>
          <w:szCs w:val="32"/>
          <w:highlight w:val="none"/>
          <w:lang w:val="en-US" w:eastAsia="zh-CN" w:bidi="ar-SA"/>
        </w:rPr>
        <w:t>（图6：一般公共预算财政拨款支出决算结构）（饼状图）</w:t>
      </w:r>
    </w:p>
    <w:p w14:paraId="2E11FF30">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24" w:name="_Toc15377212"/>
      <w:r>
        <w:rPr>
          <w:rFonts w:hint="eastAsia" w:ascii="Times New Roman" w:hAnsi="Times New Roman" w:eastAsia="楷体" w:cs="楷体"/>
          <w:b/>
          <w:color w:val="auto"/>
          <w:sz w:val="32"/>
          <w:szCs w:val="32"/>
          <w:highlight w:val="none"/>
        </w:rPr>
        <w:t>（三）一般公共预算财政拨款支出决算具体情况</w:t>
      </w:r>
      <w:bookmarkEnd w:id="24"/>
    </w:p>
    <w:p w14:paraId="3EBD0A16">
      <w:pPr>
        <w:spacing w:line="600" w:lineRule="exact"/>
        <w:ind w:firstLine="640"/>
        <w:rPr>
          <w:rFonts w:hint="eastAsia" w:ascii="Times New Roman" w:hAnsi="Times New Roman" w:eastAsia="仿宋" w:cs="仿宋"/>
          <w:color w:val="auto"/>
          <w:kern w:val="2"/>
          <w:sz w:val="32"/>
          <w:szCs w:val="32"/>
          <w:highlight w:val="none"/>
          <w:lang w:val="en-US" w:eastAsia="zh-CN" w:bidi="ar-SA"/>
        </w:rPr>
      </w:pPr>
      <w:bookmarkStart w:id="25" w:name="_Toc15378460"/>
      <w:bookmarkEnd w:id="25"/>
      <w:bookmarkStart w:id="26" w:name="_Toc15377213"/>
      <w:bookmarkEnd w:id="26"/>
      <w:bookmarkStart w:id="27" w:name="_Toc15377444"/>
      <w:bookmarkEnd w:id="27"/>
      <w:r>
        <w:rPr>
          <w:rFonts w:hint="eastAsia" w:eastAsia="仿宋" w:cs="仿宋"/>
          <w:color w:val="auto"/>
          <w:kern w:val="2"/>
          <w:sz w:val="32"/>
          <w:szCs w:val="32"/>
          <w:highlight w:val="none"/>
          <w:lang w:val="en-US" w:eastAsia="zh-CN" w:bidi="ar-SA"/>
        </w:rPr>
        <w:t>2025年度一般公共预算支出决算数为240.91万元，完成预算100%。其中：</w:t>
      </w:r>
    </w:p>
    <w:p w14:paraId="4073946D">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1.城乡社区支出：支出决算为177.8万元，完成预算100%，决算数等于预算数的主要原因是按照年初预算完成本年度支出，决算数来源于实际支出。</w:t>
      </w:r>
    </w:p>
    <w:p w14:paraId="755BF37F">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2.社会保障和就业支出：支出决算为32.63万元，完成预算100%，决算数等于预算数的主要原因是按照年初预算完成本年度支出，决算数来源于实际支出。</w:t>
      </w:r>
    </w:p>
    <w:p w14:paraId="296FF208">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3.卫生健康支出：支出决算为12.24万元，完成预算100%，决算数等于预算数的主要原因是按照年初预算完成本年度支出，决算数来源于实际支出。</w:t>
      </w:r>
    </w:p>
    <w:p w14:paraId="66E785AF">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4.住房保障支出：支出决算为18.24万元，完成预算100%，决算数等于预算数的主要原因是按照年初预算完成本年度支出，决算数来源于实际支出。</w:t>
      </w:r>
    </w:p>
    <w:p w14:paraId="7B615C24">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5C02C44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w:t>
      </w:r>
      <w:r>
        <w:rPr>
          <w:rFonts w:hint="eastAsia" w:ascii="Times New Roman" w:hAnsi="Times New Roman" w:eastAsia="仿宋" w:cs="仿宋"/>
          <w:color w:val="auto"/>
          <w:kern w:val="2"/>
          <w:sz w:val="32"/>
          <w:szCs w:val="32"/>
          <w:highlight w:val="none"/>
          <w:lang w:val="en-US" w:eastAsia="zh-CN" w:bidi="ar-SA"/>
        </w:rPr>
        <w:t>一般公共预算财政拨款基本支出</w:t>
      </w:r>
      <w:r>
        <w:rPr>
          <w:rFonts w:hint="eastAsia" w:ascii="仿宋" w:hAnsi="仿宋" w:eastAsia="仿宋" w:cs="仿宋"/>
          <w:sz w:val="32"/>
          <w:szCs w:val="32"/>
        </w:rPr>
        <w:t>240.91</w:t>
      </w:r>
      <w:r>
        <w:rPr>
          <w:rFonts w:hint="eastAsia" w:ascii="Times New Roman" w:hAnsi="Times New Roman" w:eastAsia="仿宋" w:cs="仿宋"/>
          <w:color w:val="auto"/>
          <w:kern w:val="2"/>
          <w:sz w:val="32"/>
          <w:szCs w:val="32"/>
          <w:highlight w:val="none"/>
          <w:lang w:val="en-US" w:eastAsia="zh-CN" w:bidi="ar-SA"/>
        </w:rPr>
        <w:t>万元，其中：</w:t>
      </w:r>
    </w:p>
    <w:p w14:paraId="499D2C41">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人员经费228.94万元，主要包括：基本工资48.46万元、津贴补贴33.81万元、绩效工资82.17万元、机关事业单位基本养老保险缴费22.06万元、职业年金缴费10.57万元、职工基本医疗保险缴费10.06万元、公务员医疗补助缴费2.18万元、其他社会保障缴费1.08万元、住房公积金18.24万元、医疗费补助0.31万元。公用经费11.97万元，主要包括：办公费1.73万元、电费0.5万元、邮电费0.2万元、差旅费2.56万元、工会经费2.1万元、福利费3.15万元、其他商品和服务支出1.73万元。</w:t>
      </w:r>
    </w:p>
    <w:p w14:paraId="2EB3E9E0">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14:paraId="50DE8569">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32" w:name="_Toc15377216"/>
      <w:r>
        <w:rPr>
          <w:rFonts w:hint="eastAsia" w:ascii="Times New Roman" w:hAnsi="Times New Roman" w:eastAsia="楷体" w:cs="楷体"/>
          <w:b/>
          <w:color w:val="auto"/>
          <w:sz w:val="32"/>
          <w:szCs w:val="32"/>
          <w:highlight w:val="none"/>
        </w:rPr>
        <w:t>（一）财政拨款“三公”经费支出决算总体情况说明</w:t>
      </w:r>
      <w:bookmarkEnd w:id="32"/>
    </w:p>
    <w:p w14:paraId="5AFEA042">
      <w:pPr>
        <w:spacing w:line="600" w:lineRule="exact"/>
        <w:ind w:firstLine="640"/>
        <w:rPr>
          <w:rFonts w:hint="eastAsia" w:ascii="Times New Roman" w:hAnsi="Times New Roman" w:eastAsia="仿宋" w:cs="仿宋"/>
          <w:b/>
          <w:bCs/>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2025年度财政拨款“三公”经费支出决算为0万元，完成预算0%，较上年度增加0万元，增长0%。</w:t>
      </w:r>
    </w:p>
    <w:p w14:paraId="493EB9D1">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33" w:name="_Toc15377217"/>
      <w:r>
        <w:rPr>
          <w:rFonts w:hint="eastAsia" w:ascii="Times New Roman" w:hAnsi="Times New Roman" w:eastAsia="楷体" w:cs="楷体"/>
          <w:b/>
          <w:color w:val="auto"/>
          <w:sz w:val="32"/>
          <w:szCs w:val="32"/>
          <w:highlight w:val="none"/>
        </w:rPr>
        <w:t>（二）财政拨款“三公”经费支出决算具体情况说明</w:t>
      </w:r>
      <w:bookmarkEnd w:id="33"/>
    </w:p>
    <w:p w14:paraId="63F74884">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w:t>
      </w:r>
      <w:r>
        <w:rPr>
          <w:rFonts w:hint="eastAsia" w:ascii="Times New Roman" w:hAnsi="Times New Roman" w:eastAsia="仿宋" w:cs="仿宋"/>
          <w:color w:val="auto"/>
          <w:kern w:val="2"/>
          <w:sz w:val="32"/>
          <w:szCs w:val="32"/>
          <w:highlight w:val="none"/>
          <w:lang w:val="en-US" w:eastAsia="zh-CN" w:bidi="ar-SA"/>
        </w:rPr>
        <w:t>财政拨款“三公”经费支出决算中，因公出国（境）费支出决算</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万元，占</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%；公务用车购置及运行维护费支出决算</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万元，占</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%；公务接待费支出决算</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万元，占</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%。具体情况如下：</w:t>
      </w:r>
    </w:p>
    <w:p w14:paraId="2171F1CD">
      <w:pPr>
        <w:pStyle w:val="2"/>
        <w:rPr>
          <w:rFonts w:hint="eastAsia"/>
          <w:lang w:val="en-US" w:eastAsia="zh-CN"/>
        </w:rPr>
      </w:pPr>
      <w:r>
        <w:rPr>
          <w:rFonts w:ascii="仿宋_GB2312" w:eastAsia="仿宋_GB2312" w:cs="仿宋_GB2312"/>
          <w:b/>
          <w:sz w:val="32"/>
          <w:szCs w:val="32"/>
          <w:lang w:bidi="ar-SA"/>
        </w:rPr>
        <w:pict>
          <v:shape id="Object 18" o:spid="_x0000_s1034" o:spt="75" alt="6.emf" type="#_x0000_t75" style="position:absolute;left:0pt;margin-left:20.95pt;margin-top:16.9pt;height:222.75pt;width:366.75pt;mso-wrap-distance-bottom:0pt;mso-wrap-distance-top:0pt;z-index:251665408;mso-width-relative:page;mso-height-relative:page;" o:ole="t" filled="f" o:preferrelative="t" stroked="f" coordsize="21600,21600">
            <v:path/>
            <v:fill on="f" focussize="0,0"/>
            <v:stroke on="f"/>
            <v:imagedata r:id="rId25" o:title=""/>
            <o:lock v:ext="edit" aspectratio="t"/>
            <w10:wrap type="topAndBottom"/>
          </v:shape>
          <o:OLEObject Type="Embed" ProgID="Excel.Chart.8" ShapeID="Object 18" DrawAspect="Content" ObjectID="_1468075731" r:id="rId24">
            <o:LockedField>false</o:LockedField>
          </o:OLEObject>
        </w:pict>
      </w:r>
    </w:p>
    <w:p w14:paraId="0257A5A5">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（图7：财政拨款“三公”经费支出结构）（饼状图）</w:t>
      </w:r>
    </w:p>
    <w:p w14:paraId="16F23DEC">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b/>
          <w:bCs/>
          <w:color w:val="auto"/>
          <w:kern w:val="2"/>
          <w:sz w:val="32"/>
          <w:szCs w:val="32"/>
          <w:highlight w:val="none"/>
          <w:lang w:val="en-US" w:eastAsia="zh-CN" w:bidi="ar-SA"/>
        </w:rPr>
        <w:t>1.因公出国（境）经费支出0万元，完成预算0%。全年安排因公出国（境）团组0次，出国（境）0人。因公出国（境）支出决算比上年度增加0万元，增长0%。</w:t>
      </w:r>
    </w:p>
    <w:p w14:paraId="4092C66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b/>
          <w:bCs/>
          <w:color w:val="auto"/>
          <w:kern w:val="2"/>
          <w:sz w:val="32"/>
          <w:szCs w:val="32"/>
          <w:highlight w:val="none"/>
          <w:lang w:val="en-US" w:eastAsia="zh-CN" w:bidi="ar-SA"/>
        </w:rPr>
        <w:t>2.公务用车购置及运行维护费支出0万元，完成预算0%。公务用车购置及运行维护费支出决算比上年度增加0万元，增长0%。主要原因是公车运行维护费无增加。</w:t>
      </w:r>
    </w:p>
    <w:p w14:paraId="2C559B06">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其中：公务用车购置支出0万元。全年按规定更新购置公务用车0辆，截至2025年12月31日，单位共有公务用车0辆，其中：轿车0辆、越野车0辆、载客汽车0辆。</w:t>
      </w:r>
    </w:p>
    <w:p w14:paraId="4F977E6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公务用车运行维护费支出0万元。主要用于所需的公务用车燃料费、维修费、过路过桥费、保险费等支出。</w:t>
      </w:r>
    </w:p>
    <w:p w14:paraId="2E2CF8BF">
      <w:pPr>
        <w:spacing w:line="600" w:lineRule="exact"/>
        <w:outlineLvl w:val="1"/>
        <w:rPr>
          <w:rFonts w:hint="eastAsia" w:ascii="Times New Roman" w:hAnsi="Times New Roman" w:eastAsia="仿宋" w:cs="仿宋"/>
          <w:color w:val="auto"/>
          <w:kern w:val="2"/>
          <w:sz w:val="32"/>
          <w:szCs w:val="32"/>
          <w:highlight w:val="none"/>
          <w:lang w:val="en-US" w:eastAsia="zh-CN" w:bidi="ar-SA"/>
        </w:rPr>
      </w:pPr>
      <w:bookmarkStart w:id="34" w:name="_Toc15377218"/>
      <w:bookmarkStart w:id="35" w:name="_Toc15396610"/>
      <w:r>
        <w:rPr>
          <w:rFonts w:hint="eastAsia" w:ascii="Times New Roman" w:hAnsi="Times New Roman" w:eastAsia="仿宋" w:cs="仿宋"/>
          <w:b/>
          <w:bCs/>
          <w:color w:val="auto"/>
          <w:kern w:val="2"/>
          <w:sz w:val="32"/>
          <w:szCs w:val="32"/>
          <w:highlight w:val="none"/>
          <w:lang w:val="en-US" w:eastAsia="zh-CN" w:bidi="ar-SA"/>
        </w:rPr>
        <w:t>3.公务接待费支出0万元，完成预算0%。公务接待费支出决算比上年度增加0万元，增长0%，无变化。其中：国内公务接待支出0万元，主要用于执行公务、开展业务活动开支的交通费、住宿费、用餐费等。国内公务接待0批次，0人次（不包括陪同人员），共计支出0万元。外事接待支出0万元，外事接待0批次，0人次（不包括陪同人员），共计支出0万元。</w:t>
      </w:r>
    </w:p>
    <w:p w14:paraId="01F66829">
      <w:pPr>
        <w:spacing w:line="600" w:lineRule="exact"/>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0436BEDF">
      <w:pPr>
        <w:numPr>
          <w:ilvl w:val="0"/>
          <w:numId w:val="0"/>
        </w:numPr>
        <w:spacing w:line="600" w:lineRule="exact"/>
        <w:ind w:left="630" w:leftChars="0"/>
        <w:outlineLvl w:val="1"/>
        <w:rPr>
          <w:rFonts w:hint="eastAsia" w:eastAsia="仿宋" w:cs="仿宋"/>
          <w:color w:val="auto"/>
          <w:kern w:val="2"/>
          <w:sz w:val="32"/>
          <w:szCs w:val="32"/>
          <w:highlight w:val="none"/>
          <w:lang w:val="en-US" w:eastAsia="zh-CN" w:bidi="ar-SA"/>
        </w:rPr>
      </w:pPr>
      <w:bookmarkStart w:id="36" w:name="_Toc15396611"/>
      <w:bookmarkStart w:id="37" w:name="_Toc15377219"/>
      <w:r>
        <w:rPr>
          <w:rFonts w:hint="eastAsia" w:eastAsia="仿宋" w:cs="仿宋"/>
          <w:color w:val="auto"/>
          <w:kern w:val="2"/>
          <w:sz w:val="32"/>
          <w:szCs w:val="32"/>
          <w:highlight w:val="none"/>
          <w:lang w:val="en-US" w:eastAsia="zh-CN" w:bidi="ar-SA"/>
        </w:rPr>
        <w:t>2025年度政府性基金预算财政拨款支出0万元，占本年支出合计的0%。与上年度相比，政府性基金预算财政拨款支出增加0万元，增长0%，无变化。</w:t>
      </w:r>
    </w:p>
    <w:p w14:paraId="35BC2EF8">
      <w:pPr>
        <w:numPr>
          <w:ilvl w:val="0"/>
          <w:numId w:val="0"/>
        </w:numPr>
        <w:spacing w:line="600" w:lineRule="exact"/>
        <w:ind w:left="630" w:leftChars="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3D07268F">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96612"/>
      <w:bookmarkEnd w:id="38"/>
      <w:bookmarkStart w:id="39" w:name="_Toc15377221"/>
      <w:bookmarkEnd w:id="39"/>
      <w:r>
        <w:rPr>
          <w:rFonts w:hint="eastAsia" w:eastAsia="仿宋" w:cs="仿宋"/>
          <w:color w:val="auto"/>
          <w:kern w:val="2"/>
          <w:sz w:val="32"/>
          <w:szCs w:val="32"/>
          <w:highlight w:val="none"/>
          <w:lang w:val="en-US" w:eastAsia="zh-CN" w:bidi="ar-SA"/>
        </w:rPr>
        <w:t>2025年度国有资本经营预算财政拨款支出0万元，占本年支出合计的0%。与上年度相比，国有资本经营预算财政拨款支出增加0万元，增长0%，无变化。</w:t>
      </w:r>
    </w:p>
    <w:p w14:paraId="020A4FFF">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Fonts w:hint="eastAsia" w:eastAsia="仿宋" w:cs="仿宋"/>
          <w:color w:val="auto"/>
          <w:kern w:val="2"/>
          <w:sz w:val="32"/>
          <w:szCs w:val="32"/>
          <w:highlight w:val="none"/>
          <w:lang w:val="en-US" w:eastAsia="zh-CN" w:bidi="ar-SA"/>
        </w:rPr>
        <w:t>十、其他重要事项的情况说明</w:t>
      </w:r>
    </w:p>
    <w:p w14:paraId="253D58F2">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40" w:name="_Toc15377222"/>
      <w:r>
        <w:rPr>
          <w:rFonts w:hint="eastAsia" w:ascii="Times New Roman" w:hAnsi="Times New Roman" w:eastAsia="楷体" w:cs="楷体"/>
          <w:b/>
          <w:color w:val="auto"/>
          <w:sz w:val="32"/>
          <w:szCs w:val="32"/>
          <w:highlight w:val="none"/>
        </w:rPr>
        <w:t>（一）机关运行经费支出情况</w:t>
      </w:r>
      <w:bookmarkEnd w:id="40"/>
    </w:p>
    <w:p w14:paraId="399FFBF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2025年度，阿坝州若尔盖县建设工程质量安全监督站机关运行经费支出0万元，比上年度增加0万元，增长0%。</w:t>
      </w:r>
    </w:p>
    <w:p w14:paraId="24CE02BA">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41" w:name="_Toc15377223"/>
      <w:r>
        <w:rPr>
          <w:rFonts w:hint="eastAsia" w:ascii="Times New Roman" w:hAnsi="Times New Roman" w:eastAsia="楷体" w:cs="楷体"/>
          <w:b/>
          <w:color w:val="auto"/>
          <w:sz w:val="32"/>
          <w:szCs w:val="32"/>
          <w:highlight w:val="none"/>
        </w:rPr>
        <w:t>（二）政府采购支出情况</w:t>
      </w:r>
      <w:bookmarkEnd w:id="41"/>
    </w:p>
    <w:p w14:paraId="1E221C6D">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w:t>
      </w:r>
      <w:r>
        <w:rPr>
          <w:rFonts w:hint="eastAsia" w:ascii="Times New Roman" w:hAnsi="Times New Roman" w:eastAsia="仿宋" w:cs="仿宋"/>
          <w:color w:val="auto"/>
          <w:kern w:val="2"/>
          <w:sz w:val="32"/>
          <w:szCs w:val="32"/>
          <w:highlight w:val="none"/>
          <w:lang w:val="en-US" w:eastAsia="zh-CN" w:bidi="ar-SA"/>
        </w:rPr>
        <w:t>，</w:t>
      </w:r>
      <w:r>
        <w:rPr>
          <w:rFonts w:hint="eastAsia" w:ascii="仿宋" w:hAnsi="仿宋" w:eastAsia="仿宋" w:cs="仿宋"/>
          <w:sz w:val="32"/>
          <w:szCs w:val="32"/>
        </w:rPr>
        <w:t>阿坝州若尔盖县建设工程质量安全监督站</w:t>
      </w:r>
      <w:r>
        <w:rPr>
          <w:rFonts w:hint="eastAsia" w:ascii="Times New Roman" w:hAnsi="Times New Roman" w:eastAsia="仿宋" w:cs="仿宋"/>
          <w:color w:val="auto"/>
          <w:kern w:val="2"/>
          <w:sz w:val="32"/>
          <w:szCs w:val="32"/>
          <w:highlight w:val="none"/>
          <w:lang w:val="en-US" w:eastAsia="zh-CN" w:bidi="ar-SA"/>
        </w:rPr>
        <w:t>政府采购支出总额</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万元，其中：政府采购货物支出</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万元、政府采购工程支出</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万元、政府采购服务支出</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万元。授予中小企业合同金额</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万元，占政府采购支出总额的</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%，其中：授予小微企业合同金额</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万元，占政府采购支出总额的</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w:t>
      </w:r>
    </w:p>
    <w:p w14:paraId="433C5B35">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42" w:name="_Toc15377224"/>
      <w:r>
        <w:rPr>
          <w:rFonts w:hint="eastAsia" w:ascii="Times New Roman" w:hAnsi="Times New Roman" w:eastAsia="楷体" w:cs="楷体"/>
          <w:b/>
          <w:color w:val="auto"/>
          <w:sz w:val="32"/>
          <w:szCs w:val="32"/>
          <w:highlight w:val="none"/>
        </w:rPr>
        <w:t>（三）国有资产占有使用情况</w:t>
      </w:r>
      <w:bookmarkEnd w:id="42"/>
    </w:p>
    <w:p w14:paraId="5E0BCD92">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截至202</w:t>
      </w:r>
      <w:r>
        <w:rPr>
          <w:rFonts w:hint="eastAsia" w:eastAsia="仿宋" w:cs="仿宋"/>
          <w:color w:val="auto"/>
          <w:kern w:val="2"/>
          <w:sz w:val="32"/>
          <w:szCs w:val="32"/>
          <w:highlight w:val="none"/>
          <w:lang w:val="en-US" w:eastAsia="zh-CN" w:bidi="ar-SA"/>
        </w:rPr>
        <w:t>5</w:t>
      </w:r>
      <w:r>
        <w:rPr>
          <w:rFonts w:hint="eastAsia" w:ascii="Times New Roman" w:hAnsi="Times New Roman" w:eastAsia="仿宋" w:cs="仿宋"/>
          <w:color w:val="auto"/>
          <w:kern w:val="2"/>
          <w:sz w:val="32"/>
          <w:szCs w:val="32"/>
          <w:highlight w:val="none"/>
          <w:lang w:val="en-US" w:eastAsia="zh-CN" w:bidi="ar-SA"/>
        </w:rPr>
        <w:t>年12月31日，</w:t>
      </w:r>
      <w:r>
        <w:rPr>
          <w:rFonts w:hint="eastAsia" w:ascii="仿宋" w:hAnsi="仿宋" w:eastAsia="仿宋" w:cs="仿宋"/>
          <w:sz w:val="32"/>
          <w:szCs w:val="32"/>
        </w:rPr>
        <w:t>阿坝州若尔盖县建设工程质量安全监督站</w:t>
      </w:r>
      <w:r>
        <w:rPr>
          <w:rFonts w:hint="eastAsia" w:ascii="Times New Roman" w:hAnsi="Times New Roman" w:eastAsia="仿宋" w:cs="仿宋"/>
          <w:color w:val="auto"/>
          <w:kern w:val="2"/>
          <w:sz w:val="32"/>
          <w:szCs w:val="32"/>
          <w:highlight w:val="none"/>
          <w:lang w:val="en-US" w:eastAsia="zh-CN" w:bidi="ar-SA"/>
        </w:rPr>
        <w:t>共有车辆</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辆，其中：副部（省）级及以上领导用车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辆、主要</w:t>
      </w:r>
      <w:r>
        <w:rPr>
          <w:rFonts w:hint="eastAsia" w:eastAsia="仿宋" w:cs="仿宋"/>
          <w:color w:val="auto"/>
          <w:kern w:val="2"/>
          <w:sz w:val="32"/>
          <w:szCs w:val="32"/>
          <w:highlight w:val="none"/>
          <w:lang w:val="en-US" w:eastAsia="zh-CN" w:bidi="ar-SA"/>
        </w:rPr>
        <w:t>负责人</w:t>
      </w:r>
      <w:r>
        <w:rPr>
          <w:rFonts w:hint="eastAsia" w:ascii="Times New Roman" w:hAnsi="Times New Roman" w:eastAsia="仿宋" w:cs="仿宋"/>
          <w:color w:val="auto"/>
          <w:kern w:val="2"/>
          <w:sz w:val="32"/>
          <w:szCs w:val="32"/>
          <w:highlight w:val="none"/>
          <w:lang w:val="en-US" w:eastAsia="zh-CN" w:bidi="ar-SA"/>
        </w:rPr>
        <w:t>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辆、机要通信用车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辆、应急保障用车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辆、执法执勤用车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辆、特种专业技术用车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辆、离退休干部服务用车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辆、其他用车</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辆</w:t>
      </w:r>
      <w:r>
        <w:rPr>
          <w:rFonts w:hint="eastAsia" w:eastAsia="仿宋" w:cs="仿宋"/>
          <w:color w:val="auto"/>
          <w:kern w:val="2"/>
          <w:sz w:val="32"/>
          <w:szCs w:val="32"/>
          <w:highlight w:val="none"/>
          <w:lang w:val="en-US" w:eastAsia="zh-CN" w:bidi="ar-SA"/>
        </w:rPr>
        <w:t>。</w:t>
      </w:r>
      <w:r>
        <w:rPr>
          <w:rFonts w:hint="eastAsia" w:ascii="Times New Roman" w:hAnsi="Times New Roman" w:eastAsia="仿宋" w:cs="仿宋"/>
          <w:color w:val="auto"/>
          <w:kern w:val="2"/>
          <w:sz w:val="32"/>
          <w:szCs w:val="32"/>
          <w:highlight w:val="none"/>
          <w:lang w:val="en-US" w:eastAsia="zh-CN" w:bidi="ar-SA"/>
        </w:rPr>
        <w:t>单价100万元</w:t>
      </w:r>
      <w:r>
        <w:rPr>
          <w:rFonts w:hint="eastAsia" w:eastAsia="仿宋" w:cs="仿宋"/>
          <w:color w:val="auto"/>
          <w:kern w:val="2"/>
          <w:sz w:val="32"/>
          <w:szCs w:val="32"/>
          <w:highlight w:val="none"/>
          <w:lang w:val="en-US" w:eastAsia="zh-CN" w:bidi="ar-SA"/>
        </w:rPr>
        <w:t>（含）</w:t>
      </w:r>
      <w:r>
        <w:rPr>
          <w:rFonts w:hint="eastAsia" w:ascii="Times New Roman" w:hAnsi="Times New Roman" w:eastAsia="仿宋" w:cs="仿宋"/>
          <w:color w:val="auto"/>
          <w:kern w:val="2"/>
          <w:sz w:val="32"/>
          <w:szCs w:val="32"/>
          <w:highlight w:val="none"/>
          <w:lang w:val="en-US" w:eastAsia="zh-CN" w:bidi="ar-SA"/>
        </w:rPr>
        <w:t>以上设备（不含车辆）</w:t>
      </w:r>
      <w:r>
        <w:rPr>
          <w:rFonts w:hint="eastAsia" w:ascii="仿宋" w:hAnsi="仿宋" w:eastAsia="仿宋" w:cs="仿宋"/>
          <w:sz w:val="32"/>
          <w:szCs w:val="32"/>
        </w:rPr>
        <w:t>0</w:t>
      </w:r>
      <w:r>
        <w:rPr>
          <w:rFonts w:hint="eastAsia" w:ascii="Times New Roman" w:hAnsi="Times New Roman" w:eastAsia="仿宋" w:cs="仿宋"/>
          <w:color w:val="auto"/>
          <w:kern w:val="2"/>
          <w:sz w:val="32"/>
          <w:szCs w:val="32"/>
          <w:highlight w:val="none"/>
          <w:lang w:val="en-US" w:eastAsia="zh-CN" w:bidi="ar-SA"/>
        </w:rPr>
        <w:t>台（套）。</w:t>
      </w:r>
    </w:p>
    <w:p w14:paraId="7AC93B64">
      <w:pPr>
        <w:spacing w:line="600" w:lineRule="exact"/>
        <w:ind w:firstLine="643" w:firstLineChars="200"/>
        <w:outlineLvl w:val="2"/>
        <w:rPr>
          <w:rFonts w:hint="eastAsia" w:ascii="Times New Roman" w:hAnsi="Times New Roman" w:eastAsia="楷体" w:cs="楷体"/>
          <w:b/>
          <w:color w:val="auto"/>
          <w:sz w:val="32"/>
          <w:szCs w:val="32"/>
          <w:highlight w:val="none"/>
        </w:rPr>
      </w:pPr>
      <w:r>
        <w:rPr>
          <w:rFonts w:hint="eastAsia" w:ascii="Times New Roman" w:hAnsi="Times New Roman" w:eastAsia="楷体" w:cs="楷体"/>
          <w:b/>
          <w:color w:val="auto"/>
          <w:sz w:val="32"/>
          <w:szCs w:val="32"/>
          <w:highlight w:val="none"/>
        </w:rPr>
        <w:t>（四）预算绩效管理情况</w:t>
      </w:r>
    </w:p>
    <w:p w14:paraId="16D662F8">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根据预算绩效管理要求，</w:t>
      </w:r>
      <w:r>
        <w:rPr>
          <w:rFonts w:hint="eastAsia" w:ascii="仿宋" w:eastAsia="仿宋" w:cs="仿宋"/>
          <w:color w:val="auto"/>
          <w:kern w:val="2"/>
          <w:sz w:val="32"/>
          <w:szCs w:val="32"/>
          <w:highlight w:val="none"/>
          <w:lang w:val="en-US" w:eastAsia="zh-CN" w:bidi="ar-SA"/>
        </w:rPr>
        <w:t>本单位</w:t>
      </w:r>
      <w:r>
        <w:rPr>
          <w:rFonts w:hint="eastAsia" w:ascii="Times New Roman" w:hAnsi="Times New Roman" w:eastAsia="仿宋" w:cs="仿宋"/>
          <w:color w:val="auto"/>
          <w:kern w:val="2"/>
          <w:sz w:val="32"/>
          <w:szCs w:val="32"/>
          <w:highlight w:val="none"/>
          <w:lang w:val="en-US" w:eastAsia="zh-CN" w:bidi="ar-SA"/>
        </w:rPr>
        <w:t>在2025年度，组织对</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个项目涉及金额</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万元开展了事前绩效评估，对</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个项目编制了绩效目标，预算执行过程中，选取</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个项目开展绩效监控。</w:t>
      </w:r>
    </w:p>
    <w:p w14:paraId="38284739">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w:t>
      </w:r>
      <w:bookmarkStart w:id="60" w:name="_GoBack"/>
      <w:bookmarkEnd w:id="60"/>
      <w:r>
        <w:rPr>
          <w:rFonts w:hint="eastAsia" w:ascii="Times New Roman" w:hAnsi="Times New Roman" w:eastAsia="仿宋" w:cs="仿宋"/>
          <w:color w:val="auto"/>
          <w:kern w:val="2"/>
          <w:sz w:val="32"/>
          <w:szCs w:val="32"/>
          <w:highlight w:val="none"/>
          <w:lang w:val="en-US" w:eastAsia="zh-CN" w:bidi="ar-SA"/>
        </w:rPr>
        <w:t>等专项预算项目绩效自评报告</w:t>
      </w:r>
      <w:r>
        <w:rPr>
          <w:rFonts w:hint="eastAsia" w:eastAsia="仿宋" w:cs="仿宋"/>
          <w:color w:val="auto"/>
          <w:kern w:val="2"/>
          <w:sz w:val="32"/>
          <w:szCs w:val="32"/>
          <w:highlight w:val="none"/>
          <w:lang w:val="en-US" w:eastAsia="zh-CN" w:bidi="ar-SA"/>
        </w:rPr>
        <w:t>。</w:t>
      </w:r>
    </w:p>
    <w:p w14:paraId="7C4C9C5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7BF43208">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color w:val="auto"/>
          <w:sz w:val="32"/>
          <w:szCs w:val="32"/>
        </w:rPr>
      </w:pPr>
      <w:r>
        <w:rPr>
          <w:rFonts w:hint="eastAsia" w:ascii="仿宋" w:eastAsia="仿宋"/>
          <w:color w:val="auto"/>
          <w:sz w:val="32"/>
          <w:szCs w:val="32"/>
        </w:rPr>
        <w:t>1.财政拨款收入：指单位从同级财政部门取得的财政预算资金。</w:t>
      </w:r>
    </w:p>
    <w:p w14:paraId="014C7EB5">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color w:val="auto"/>
          <w:sz w:val="32"/>
          <w:szCs w:val="32"/>
        </w:rPr>
      </w:pPr>
      <w:r>
        <w:rPr>
          <w:rFonts w:hint="eastAsia" w:ascii="仿宋" w:eastAsia="仿宋"/>
          <w:color w:val="auto"/>
          <w:sz w:val="32"/>
          <w:szCs w:val="32"/>
        </w:rPr>
        <w:t>2.事业收入：指事业单位开展专业业务活动及辅助活动取得的收入。</w:t>
      </w:r>
    </w:p>
    <w:p w14:paraId="65D75EB6">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color w:val="auto"/>
          <w:sz w:val="32"/>
          <w:szCs w:val="32"/>
        </w:rPr>
      </w:pPr>
      <w:r>
        <w:rPr>
          <w:rFonts w:hint="eastAsia" w:ascii="仿宋" w:eastAsia="仿宋"/>
          <w:color w:val="auto"/>
          <w:sz w:val="32"/>
          <w:szCs w:val="32"/>
        </w:rPr>
        <w:t>3.经营收入：指事业单位在专业业务活动及其辅助活动之外开展非独立核算经营活动取得的收入。</w:t>
      </w:r>
    </w:p>
    <w:p w14:paraId="221E447B">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Times New Roman" w:hAnsi="Times New Roman" w:eastAsia="仿宋" w:cs="仿宋"/>
          <w:color w:val="auto"/>
          <w:kern w:val="2"/>
          <w:sz w:val="32"/>
          <w:szCs w:val="32"/>
          <w:highlight w:val="none"/>
          <w:lang w:val="en-US" w:eastAsia="zh-CN" w:bidi="ar-SA"/>
        </w:rPr>
      </w:pPr>
      <w:r>
        <w:rPr>
          <w:rFonts w:hint="eastAsia" w:ascii="仿宋" w:eastAsia="仿宋"/>
          <w:color w:val="auto"/>
          <w:sz w:val="32"/>
          <w:szCs w:val="32"/>
        </w:rPr>
        <w:t>4.其他收入：指单位取得的除上述收入以外的各项收入。</w:t>
      </w:r>
      <w:r>
        <w:rPr>
          <w:rFonts w:hint="eastAsia" w:ascii="Times New Roman" w:hAnsi="Times New Roman" w:eastAsia="仿宋" w:cs="仿宋"/>
          <w:color w:val="auto"/>
          <w:kern w:val="2"/>
          <w:sz w:val="32"/>
          <w:szCs w:val="32"/>
          <w:highlight w:val="none"/>
          <w:lang w:val="en-US" w:eastAsia="zh-CN" w:bidi="ar-SA"/>
        </w:rPr>
        <w:t xml:space="preserve"> </w:t>
      </w:r>
    </w:p>
    <w:p w14:paraId="153103E2">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color w:val="auto"/>
          <w:sz w:val="32"/>
          <w:szCs w:val="32"/>
        </w:rPr>
      </w:pPr>
      <w:r>
        <w:rPr>
          <w:rFonts w:hint="eastAsia" w:ascii="仿宋" w:eastAsia="仿宋"/>
          <w:color w:val="auto"/>
          <w:sz w:val="32"/>
          <w:szCs w:val="32"/>
        </w:rPr>
        <w:t xml:space="preserve">5.使用非财政拨款结余：指事业单位使用以前年度积累的非财政拨款结余弥补当年收支差额的金额。 </w:t>
      </w:r>
    </w:p>
    <w:p w14:paraId="090C3AA8">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color w:val="auto"/>
          <w:sz w:val="32"/>
          <w:szCs w:val="32"/>
        </w:rPr>
      </w:pPr>
      <w:r>
        <w:rPr>
          <w:rFonts w:hint="eastAsia" w:ascii="仿宋" w:eastAsia="仿宋"/>
          <w:color w:val="auto"/>
          <w:sz w:val="32"/>
          <w:szCs w:val="32"/>
        </w:rPr>
        <w:t xml:space="preserve">6.年初结转和结余：指以前年度尚未完成、结转到本年按有关规定继续使用的资金。 </w:t>
      </w:r>
    </w:p>
    <w:p w14:paraId="1A7A010D">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color w:val="auto"/>
          <w:sz w:val="32"/>
          <w:szCs w:val="32"/>
        </w:rPr>
      </w:pPr>
      <w:r>
        <w:rPr>
          <w:rFonts w:hint="eastAsia" w:ascii="仿宋" w:eastAsia="仿宋"/>
          <w:color w:val="auto"/>
          <w:sz w:val="32"/>
          <w:szCs w:val="32"/>
        </w:rPr>
        <w:t>7.结余分配：指事业单位按照会计制度规定缴纳的所得税、提取的专用结余以及转入非财政拨款结余的金额等。</w:t>
      </w:r>
    </w:p>
    <w:p w14:paraId="1E468F8C">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仿宋" w:eastAsia="仿宋"/>
          <w:color w:val="auto"/>
          <w:sz w:val="32"/>
          <w:szCs w:val="32"/>
        </w:rPr>
        <w:t>8.年末结转和结余：指单位按有关规定结转到下年或以后年度继续使用的资金。</w:t>
      </w:r>
    </w:p>
    <w:p w14:paraId="33289EBD">
      <w:pPr>
        <w:pStyle w:val="2"/>
        <w:ind w:firstLine="640" w:firstLineChars="200"/>
        <w:rPr>
          <w:rFonts w:hint="eastAsia" w:ascii="仿宋" w:eastAsia="仿宋"/>
          <w:sz w:val="32"/>
          <w:szCs w:val="32"/>
          <w:lang w:eastAsia="zh-CN"/>
        </w:rPr>
      </w:pPr>
      <w:r>
        <w:rPr>
          <w:rFonts w:hint="eastAsia" w:ascii="仿宋" w:eastAsia="仿宋"/>
          <w:sz w:val="32"/>
          <w:szCs w:val="32"/>
          <w:lang w:val="en-US" w:eastAsia="zh-CN"/>
        </w:rPr>
        <w:t>9.社会保障和就业208（类）05（款）05（项）：指反映机关事业单位实施养老保险制度由单位缴纳的基本养老保险费支出。</w:t>
      </w:r>
    </w:p>
    <w:p w14:paraId="029A7AA3">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sz w:val="32"/>
          <w:szCs w:val="32"/>
          <w:lang w:eastAsia="zh-CN"/>
        </w:rPr>
      </w:pPr>
      <w:r>
        <w:rPr>
          <w:rFonts w:hint="eastAsia" w:ascii="仿宋" w:eastAsia="仿宋"/>
          <w:sz w:val="32"/>
          <w:szCs w:val="32"/>
          <w:lang w:val="en-US" w:eastAsia="zh-CN"/>
        </w:rPr>
        <w:t>10.社会保障和就业208（类）05（款）06（项）：指反映机关事业单位实施养老保险制度由单位实际缴纳的职业年金支出。</w:t>
      </w:r>
    </w:p>
    <w:p w14:paraId="40D0F572">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sz w:val="32"/>
          <w:szCs w:val="32"/>
          <w:lang w:eastAsia="zh-CN"/>
        </w:rPr>
      </w:pPr>
      <w:r>
        <w:rPr>
          <w:rFonts w:hint="eastAsia" w:ascii="仿宋" w:eastAsia="仿宋"/>
          <w:sz w:val="32"/>
          <w:szCs w:val="32"/>
          <w:lang w:val="en-US" w:eastAsia="zh-CN"/>
        </w:rPr>
        <w:t>11.卫生健康210（类）11（款）02（项）：指反映财政部门安排的事业单位基本医疗保险缴费经费，未参加医疗保险的事业单位的公费医疗经费，按国家规定享受离休人员待遇人员的医疗经费。</w:t>
      </w:r>
    </w:p>
    <w:p w14:paraId="0FDC0B9E">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sz w:val="32"/>
          <w:szCs w:val="32"/>
          <w:lang w:eastAsia="zh-CN"/>
        </w:rPr>
      </w:pPr>
      <w:r>
        <w:rPr>
          <w:rFonts w:hint="eastAsia" w:ascii="仿宋" w:eastAsia="仿宋"/>
          <w:sz w:val="32"/>
          <w:szCs w:val="32"/>
          <w:lang w:val="en-US" w:eastAsia="zh-CN"/>
        </w:rPr>
        <w:t>12.卫生健康210（类）11（款）99（项）：指反映除上述项目以外的其他用于行政事业单位医疗方面的支出。</w:t>
      </w:r>
    </w:p>
    <w:p w14:paraId="5BABDAC4">
      <w:pPr>
        <w:pStyle w:val="2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 w:eastAsia="仿宋"/>
          <w:sz w:val="32"/>
          <w:szCs w:val="32"/>
          <w:lang w:eastAsia="zh-CN"/>
        </w:rPr>
      </w:pPr>
      <w:r>
        <w:rPr>
          <w:rFonts w:hint="eastAsia" w:ascii="仿宋" w:eastAsia="仿宋"/>
          <w:sz w:val="32"/>
          <w:szCs w:val="32"/>
          <w:lang w:val="en-US" w:eastAsia="zh-CN"/>
        </w:rPr>
        <w:t>13.城乡社区212（类）01（款）99（项）：指反映除上述项目以外其他用于城乡社区管理事务方面的支出。</w:t>
      </w:r>
    </w:p>
    <w:p w14:paraId="00D3AE04">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仿宋" w:eastAsia="仿宋"/>
          <w:sz w:val="32"/>
          <w:szCs w:val="32"/>
          <w:lang w:val="en-US" w:eastAsia="zh-CN"/>
        </w:rPr>
        <w:t>14.住房保障221（类）02（款）01（项）：指反映行政事业单位按人力资源和社会保障部、财政部规定的基本工资和津贴补贴以及按规定比例为职工缴纳的住房公积金。</w:t>
      </w:r>
    </w:p>
    <w:p w14:paraId="3019EB2D">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15.基本支出：指为保障机构正常运转、完成日常工作任务而发生的人员支出和公用支出。</w:t>
      </w:r>
    </w:p>
    <w:p w14:paraId="402B2612">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16.项目支出：指在基本支出之外为完成特定行政任务和事业发展目标所发生的支出。</w:t>
      </w:r>
    </w:p>
    <w:p w14:paraId="345834A7">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17.经营支出：指事业单位在专业业务活动及其辅助活动之外开展非独立核算经营活动发生的支出。</w:t>
      </w:r>
    </w:p>
    <w:p w14:paraId="27260153">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F3A2D18">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C0871B2">
      <w:pPr>
        <w:spacing w:line="600" w:lineRule="exact"/>
        <w:jc w:val="center"/>
        <w:rPr>
          <w:rStyle w:val="28"/>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 w:cs="仿宋"/>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44BD9C46">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 w:cs="仿宋"/>
          <w:color w:val="auto"/>
          <w:kern w:val="2"/>
          <w:sz w:val="32"/>
          <w:szCs w:val="32"/>
          <w:highlight w:val="none"/>
          <w:lang w:val="en-US" w:eastAsia="zh-CN" w:bidi="ar-SA"/>
        </w:rPr>
        <w:t>附件1.部门预算绩效自评报告（2025年度）</w:t>
      </w:r>
    </w:p>
    <w:p w14:paraId="220B8EB8">
      <w:pPr>
        <w:spacing w:line="600" w:lineRule="exact"/>
        <w:jc w:val="center"/>
        <w:rPr>
          <w:rStyle w:val="28"/>
          <w:rFonts w:hint="eastAsia" w:ascii="Times New Roman" w:hAnsi="Times New Roman" w:eastAsia="黑体"/>
          <w:b w:val="0"/>
          <w:color w:val="auto"/>
          <w:highlight w:val="none"/>
          <w:lang w:eastAsia="zh-CN"/>
        </w:rPr>
      </w:pPr>
      <w:r>
        <w:rPr>
          <w:rFonts w:hint="eastAsia" w:eastAsia="仿宋" w:cs="仿宋"/>
          <w:color w:val="auto"/>
          <w:kern w:val="2"/>
          <w:sz w:val="32"/>
          <w:szCs w:val="32"/>
          <w:highlight w:val="none"/>
          <w:lang w:val="en-US" w:eastAsia="zh-CN" w:bidi="ar-SA"/>
        </w:rPr>
        <w:t xml:space="preserve">      </w:t>
      </w:r>
      <w:r>
        <w:rPr>
          <w:rFonts w:hint="eastAsia" w:ascii="Times New Roman" w:hAnsi="Times New Roman" w:eastAsia="仿宋" w:cs="仿宋"/>
          <w:color w:val="auto"/>
          <w:kern w:val="2"/>
          <w:sz w:val="32"/>
          <w:szCs w:val="32"/>
          <w:highlight w:val="none"/>
          <w:lang w:val="en-US" w:eastAsia="zh-CN" w:bidi="ar-SA"/>
        </w:rPr>
        <w:t>附件2.部门预算项目支出绩效自评表（2025年度）</w:t>
      </w:r>
    </w:p>
    <w:p w14:paraId="6D27CB84">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6"/>
      <w:bookmarkStart w:id="47" w:name="_Toc15396619"/>
    </w:p>
    <w:p w14:paraId="070C1D6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一、收入支出决算总表</w:t>
      </w:r>
      <w:bookmarkEnd w:id="47"/>
    </w:p>
    <w:p w14:paraId="7661A7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48" w:name="_Toc15396620"/>
      <w:r>
        <w:rPr>
          <w:rFonts w:hint="eastAsia" w:ascii="Times New Roman" w:hAnsi="Times New Roman" w:eastAsia="仿宋" w:cs="仿宋"/>
          <w:color w:val="auto"/>
          <w:sz w:val="32"/>
          <w:szCs w:val="32"/>
          <w:highlight w:val="none"/>
        </w:rPr>
        <w:t>二、收入决算表</w:t>
      </w:r>
      <w:bookmarkEnd w:id="48"/>
    </w:p>
    <w:p w14:paraId="7509900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49" w:name="_Toc15396621"/>
      <w:r>
        <w:rPr>
          <w:rFonts w:hint="eastAsia" w:ascii="Times New Roman" w:hAnsi="Times New Roman" w:eastAsia="仿宋" w:cs="仿宋"/>
          <w:color w:val="auto"/>
          <w:sz w:val="32"/>
          <w:szCs w:val="32"/>
          <w:highlight w:val="none"/>
        </w:rPr>
        <w:t>三、支出决算表</w:t>
      </w:r>
      <w:bookmarkEnd w:id="49"/>
    </w:p>
    <w:p w14:paraId="70BD03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0" w:name="_Toc15396622"/>
      <w:r>
        <w:rPr>
          <w:rFonts w:hint="eastAsia" w:ascii="Times New Roman" w:hAnsi="Times New Roman" w:eastAsia="仿宋" w:cs="仿宋"/>
          <w:color w:val="auto"/>
          <w:sz w:val="32"/>
          <w:szCs w:val="32"/>
          <w:highlight w:val="none"/>
        </w:rPr>
        <w:t>四、财政拨款收入支出决算总表</w:t>
      </w:r>
      <w:bookmarkEnd w:id="50"/>
    </w:p>
    <w:p w14:paraId="206138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1" w:name="_Toc15396623"/>
      <w:r>
        <w:rPr>
          <w:rFonts w:hint="eastAsia" w:ascii="Times New Roman" w:hAnsi="Times New Roman" w:eastAsia="仿宋" w:cs="仿宋"/>
          <w:color w:val="auto"/>
          <w:sz w:val="32"/>
          <w:szCs w:val="32"/>
          <w:highlight w:val="none"/>
        </w:rPr>
        <w:t>五、财政拨款支出决算明细表</w:t>
      </w:r>
      <w:bookmarkEnd w:id="51"/>
      <w:bookmarkStart w:id="52" w:name="_Toc15396624"/>
    </w:p>
    <w:p w14:paraId="4A804B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六、一般公共预算财政拨款支出决算表</w:t>
      </w:r>
      <w:bookmarkEnd w:id="52"/>
    </w:p>
    <w:p w14:paraId="2B15F9F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3" w:name="_Toc15396625"/>
      <w:r>
        <w:rPr>
          <w:rFonts w:hint="eastAsia" w:ascii="Times New Roman" w:hAnsi="Times New Roman" w:eastAsia="仿宋" w:cs="仿宋"/>
          <w:color w:val="auto"/>
          <w:sz w:val="32"/>
          <w:szCs w:val="32"/>
          <w:highlight w:val="none"/>
        </w:rPr>
        <w:t>七、一般公共预算财政拨款支出决算明细表</w:t>
      </w:r>
      <w:bookmarkEnd w:id="53"/>
    </w:p>
    <w:p w14:paraId="02B68C7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4" w:name="_Toc15396626"/>
      <w:r>
        <w:rPr>
          <w:rFonts w:hint="eastAsia" w:ascii="Times New Roman" w:hAnsi="Times New Roman" w:eastAsia="仿宋" w:cs="仿宋"/>
          <w:color w:val="auto"/>
          <w:sz w:val="32"/>
          <w:szCs w:val="32"/>
          <w:highlight w:val="none"/>
        </w:rPr>
        <w:t>八、一般公共预算财政拨款基本支出决算表</w:t>
      </w:r>
      <w:bookmarkEnd w:id="54"/>
    </w:p>
    <w:p w14:paraId="01A5A34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5" w:name="_Toc15396627"/>
      <w:r>
        <w:rPr>
          <w:rFonts w:hint="eastAsia" w:ascii="Times New Roman" w:hAnsi="Times New Roman" w:eastAsia="仿宋" w:cs="仿宋"/>
          <w:color w:val="auto"/>
          <w:sz w:val="32"/>
          <w:szCs w:val="32"/>
          <w:highlight w:val="none"/>
        </w:rPr>
        <w:t>九、一般公共预算财政拨款项目支出决算表</w:t>
      </w:r>
      <w:bookmarkEnd w:id="55"/>
    </w:p>
    <w:p w14:paraId="53BDFA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6" w:name="_Toc15396628"/>
      <w:r>
        <w:rPr>
          <w:rFonts w:hint="eastAsia" w:ascii="Times New Roman" w:hAnsi="Times New Roman" w:eastAsia="仿宋" w:cs="仿宋"/>
          <w:color w:val="auto"/>
          <w:sz w:val="32"/>
          <w:szCs w:val="32"/>
          <w:highlight w:val="none"/>
        </w:rPr>
        <w:t>十、</w:t>
      </w:r>
      <w:bookmarkEnd w:id="56"/>
      <w:r>
        <w:rPr>
          <w:rFonts w:hint="eastAsia" w:ascii="Times New Roman" w:hAnsi="Times New Roman" w:eastAsia="仿宋" w:cs="仿宋"/>
          <w:color w:val="auto"/>
          <w:sz w:val="32"/>
          <w:szCs w:val="32"/>
          <w:highlight w:val="none"/>
        </w:rPr>
        <w:t>政府性基金预算财政拨款收入支出决算表</w:t>
      </w:r>
    </w:p>
    <w:p w14:paraId="0342F32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7" w:name="_Toc15396629"/>
      <w:r>
        <w:rPr>
          <w:rFonts w:hint="eastAsia" w:ascii="Times New Roman" w:hAnsi="Times New Roman" w:eastAsia="仿宋" w:cs="仿宋"/>
          <w:color w:val="auto"/>
          <w:sz w:val="32"/>
          <w:szCs w:val="32"/>
          <w:highlight w:val="none"/>
        </w:rPr>
        <w:t>十一、</w:t>
      </w:r>
      <w:bookmarkEnd w:id="57"/>
      <w:r>
        <w:rPr>
          <w:rFonts w:hint="eastAsia" w:ascii="Times New Roman" w:hAnsi="Times New Roman" w:eastAsia="仿宋" w:cs="仿宋"/>
          <w:color w:val="auto"/>
          <w:sz w:val="32"/>
          <w:szCs w:val="32"/>
          <w:highlight w:val="none"/>
        </w:rPr>
        <w:t>国有资本经营预算</w:t>
      </w:r>
      <w:r>
        <w:rPr>
          <w:rFonts w:hint="eastAsia" w:ascii="Times New Roman" w:hAnsi="Times New Roman" w:eastAsia="仿宋" w:cs="仿宋"/>
          <w:color w:val="auto"/>
          <w:sz w:val="32"/>
          <w:szCs w:val="32"/>
          <w:highlight w:val="none"/>
          <w:lang w:eastAsia="zh-CN"/>
        </w:rPr>
        <w:t>财政拨款收入</w:t>
      </w:r>
      <w:r>
        <w:rPr>
          <w:rFonts w:hint="eastAsia" w:ascii="Times New Roman" w:hAnsi="Times New Roman" w:eastAsia="仿宋" w:cs="仿宋"/>
          <w:color w:val="auto"/>
          <w:sz w:val="32"/>
          <w:szCs w:val="32"/>
          <w:highlight w:val="none"/>
        </w:rPr>
        <w:t>支出决算表</w:t>
      </w:r>
    </w:p>
    <w:p w14:paraId="12E9B01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8" w:name="_Toc15396630"/>
      <w:r>
        <w:rPr>
          <w:rFonts w:hint="eastAsia" w:ascii="Times New Roman" w:hAnsi="Times New Roman" w:eastAsia="仿宋" w:cs="仿宋"/>
          <w:color w:val="auto"/>
          <w:sz w:val="32"/>
          <w:szCs w:val="32"/>
          <w:highlight w:val="none"/>
        </w:rPr>
        <w:t>十二、</w:t>
      </w:r>
      <w:bookmarkEnd w:id="58"/>
      <w:r>
        <w:rPr>
          <w:rFonts w:hint="eastAsia" w:ascii="Times New Roman" w:hAnsi="Times New Roman" w:eastAsia="仿宋" w:cs="仿宋"/>
          <w:color w:val="auto"/>
          <w:sz w:val="32"/>
          <w:szCs w:val="32"/>
          <w:highlight w:val="none"/>
          <w:lang w:eastAsia="zh-CN"/>
        </w:rPr>
        <w:t>国有资本经营预算财政拨款支出决算表</w:t>
      </w:r>
    </w:p>
    <w:p w14:paraId="234FB0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lang w:eastAsia="zh-CN"/>
        </w:rPr>
      </w:pPr>
      <w:bookmarkStart w:id="59" w:name="_Toc15396631"/>
      <w:r>
        <w:rPr>
          <w:rFonts w:hint="eastAsia" w:ascii="Times New Roman" w:hAnsi="Times New Roman" w:eastAsia="仿宋" w:cs="仿宋"/>
          <w:color w:val="auto"/>
          <w:sz w:val="32"/>
          <w:szCs w:val="32"/>
          <w:highlight w:val="none"/>
        </w:rPr>
        <w:t>十三、</w:t>
      </w:r>
      <w:bookmarkEnd w:id="59"/>
      <w:r>
        <w:rPr>
          <w:rFonts w:hint="eastAsia" w:ascii="Times New Roman" w:hAnsi="Times New Roman" w:eastAsia="仿宋" w:cs="仿宋"/>
          <w:color w:val="auto"/>
          <w:sz w:val="32"/>
          <w:szCs w:val="32"/>
          <w:highlight w:val="none"/>
          <w:lang w:eastAsia="zh-CN"/>
        </w:rPr>
        <w:t>财政拨款“三公”经费支出决算表</w:t>
      </w:r>
    </w:p>
    <w:sectPr>
      <w:footerReference r:id="rId10" w:type="first"/>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C489E">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4140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41402">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1F92C7F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0875">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D4E0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FD4E02">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30C5">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C2AFE5">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C2AFE5">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3499C7C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81D5F">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6F75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56F75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164E9">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CDFD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72CDFD4">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0281C0A">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4C10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B1B8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14B1B8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4A110">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1C00">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6BF7DC5"/>
    <w:rsid w:val="07996F6E"/>
    <w:rsid w:val="07D433FC"/>
    <w:rsid w:val="07DFD8BA"/>
    <w:rsid w:val="086E1AA3"/>
    <w:rsid w:val="08DB07E4"/>
    <w:rsid w:val="08EC0C19"/>
    <w:rsid w:val="09867E8F"/>
    <w:rsid w:val="0A2032A3"/>
    <w:rsid w:val="0A27015B"/>
    <w:rsid w:val="0C6C4794"/>
    <w:rsid w:val="0CA8290A"/>
    <w:rsid w:val="0CBB3049"/>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4F31E3"/>
    <w:rsid w:val="19A445FC"/>
    <w:rsid w:val="19B7492C"/>
    <w:rsid w:val="1B7D550C"/>
    <w:rsid w:val="1BE8440E"/>
    <w:rsid w:val="1C43567D"/>
    <w:rsid w:val="1C9E5F3C"/>
    <w:rsid w:val="1CBD0105"/>
    <w:rsid w:val="1D155CEE"/>
    <w:rsid w:val="1DE178F3"/>
    <w:rsid w:val="1E740ACF"/>
    <w:rsid w:val="1FF35744"/>
    <w:rsid w:val="1FF6BC77"/>
    <w:rsid w:val="21962A9E"/>
    <w:rsid w:val="21AE7C77"/>
    <w:rsid w:val="22BC3C41"/>
    <w:rsid w:val="23860B96"/>
    <w:rsid w:val="23984DF2"/>
    <w:rsid w:val="240371BF"/>
    <w:rsid w:val="24303C58"/>
    <w:rsid w:val="251D40A6"/>
    <w:rsid w:val="260F557C"/>
    <w:rsid w:val="281408E2"/>
    <w:rsid w:val="29453D02"/>
    <w:rsid w:val="29FD04D3"/>
    <w:rsid w:val="2A4177C6"/>
    <w:rsid w:val="2AF517F7"/>
    <w:rsid w:val="2BFF7BC6"/>
    <w:rsid w:val="2C8A61B5"/>
    <w:rsid w:val="2D045C82"/>
    <w:rsid w:val="2D2E01CF"/>
    <w:rsid w:val="2DF04E50"/>
    <w:rsid w:val="2E183793"/>
    <w:rsid w:val="2E9545B0"/>
    <w:rsid w:val="2F040D46"/>
    <w:rsid w:val="2F7A3380"/>
    <w:rsid w:val="2FAE5751"/>
    <w:rsid w:val="2FB1A395"/>
    <w:rsid w:val="2FD9A7D8"/>
    <w:rsid w:val="319F7F4E"/>
    <w:rsid w:val="321B2544"/>
    <w:rsid w:val="3304709D"/>
    <w:rsid w:val="330C5891"/>
    <w:rsid w:val="34281836"/>
    <w:rsid w:val="342E1B0E"/>
    <w:rsid w:val="349D6851"/>
    <w:rsid w:val="35BA6CAF"/>
    <w:rsid w:val="35D37231"/>
    <w:rsid w:val="364D14C1"/>
    <w:rsid w:val="36AA5135"/>
    <w:rsid w:val="36BE0DA7"/>
    <w:rsid w:val="37056BFF"/>
    <w:rsid w:val="376B6AA6"/>
    <w:rsid w:val="376D39B2"/>
    <w:rsid w:val="37E16F03"/>
    <w:rsid w:val="37F53A3B"/>
    <w:rsid w:val="389B6C89"/>
    <w:rsid w:val="38D469F0"/>
    <w:rsid w:val="392E47B3"/>
    <w:rsid w:val="39627CCD"/>
    <w:rsid w:val="397BAF1F"/>
    <w:rsid w:val="3AB79AF3"/>
    <w:rsid w:val="3B7EF35A"/>
    <w:rsid w:val="3B9FDB6C"/>
    <w:rsid w:val="3BD45780"/>
    <w:rsid w:val="3BD57167"/>
    <w:rsid w:val="3BF5BC2F"/>
    <w:rsid w:val="3CEBA265"/>
    <w:rsid w:val="3D98207C"/>
    <w:rsid w:val="3D9B0D99"/>
    <w:rsid w:val="3DEE7CF3"/>
    <w:rsid w:val="3DF02244"/>
    <w:rsid w:val="3E78745D"/>
    <w:rsid w:val="3FF4CAE0"/>
    <w:rsid w:val="3FF7B227"/>
    <w:rsid w:val="40E54C45"/>
    <w:rsid w:val="41313393"/>
    <w:rsid w:val="413B181B"/>
    <w:rsid w:val="43A407DF"/>
    <w:rsid w:val="44515BEA"/>
    <w:rsid w:val="44E268DA"/>
    <w:rsid w:val="44E45DF2"/>
    <w:rsid w:val="453F7E5B"/>
    <w:rsid w:val="486A6C7A"/>
    <w:rsid w:val="49176D9B"/>
    <w:rsid w:val="494006BD"/>
    <w:rsid w:val="49B26D3A"/>
    <w:rsid w:val="49C5081B"/>
    <w:rsid w:val="4A627F82"/>
    <w:rsid w:val="4B0E749A"/>
    <w:rsid w:val="4B4F25DA"/>
    <w:rsid w:val="4BDA0CFB"/>
    <w:rsid w:val="4BE068DB"/>
    <w:rsid w:val="4D3C0CCC"/>
    <w:rsid w:val="4D577224"/>
    <w:rsid w:val="4DBF1CEB"/>
    <w:rsid w:val="4DF34451"/>
    <w:rsid w:val="4E3715BC"/>
    <w:rsid w:val="4EAB630A"/>
    <w:rsid w:val="4ECE2238"/>
    <w:rsid w:val="4F833267"/>
    <w:rsid w:val="4FE9BD67"/>
    <w:rsid w:val="4FFB052F"/>
    <w:rsid w:val="528A3F48"/>
    <w:rsid w:val="52C34E27"/>
    <w:rsid w:val="53083A92"/>
    <w:rsid w:val="537E6D0A"/>
    <w:rsid w:val="53AF27A2"/>
    <w:rsid w:val="53F74C96"/>
    <w:rsid w:val="54F621D1"/>
    <w:rsid w:val="56E47B74"/>
    <w:rsid w:val="57BD3DD4"/>
    <w:rsid w:val="59080725"/>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2108EC"/>
    <w:rsid w:val="647F5392"/>
    <w:rsid w:val="65055B18"/>
    <w:rsid w:val="664B1D71"/>
    <w:rsid w:val="66AF3F8D"/>
    <w:rsid w:val="67AA3209"/>
    <w:rsid w:val="67BE358C"/>
    <w:rsid w:val="681C4F0D"/>
    <w:rsid w:val="69046D0F"/>
    <w:rsid w:val="693C3AD3"/>
    <w:rsid w:val="698D0931"/>
    <w:rsid w:val="69AC4616"/>
    <w:rsid w:val="6A993CED"/>
    <w:rsid w:val="6B053271"/>
    <w:rsid w:val="6B513865"/>
    <w:rsid w:val="6BCE6674"/>
    <w:rsid w:val="6C4A05C8"/>
    <w:rsid w:val="6C691082"/>
    <w:rsid w:val="6C8742B8"/>
    <w:rsid w:val="6C8A170F"/>
    <w:rsid w:val="6CB54609"/>
    <w:rsid w:val="6DBF5E93"/>
    <w:rsid w:val="6DFF077E"/>
    <w:rsid w:val="6E4D7767"/>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F74D12"/>
    <w:rsid w:val="72233669"/>
    <w:rsid w:val="72734D90"/>
    <w:rsid w:val="7332FE48"/>
    <w:rsid w:val="73AB61DA"/>
    <w:rsid w:val="73AD73D5"/>
    <w:rsid w:val="73B6EB34"/>
    <w:rsid w:val="73CD4475"/>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A2646"/>
    <w:rsid w:val="7AFF7572"/>
    <w:rsid w:val="7B6C7DFB"/>
    <w:rsid w:val="7BBFBED0"/>
    <w:rsid w:val="7BC3E394"/>
    <w:rsid w:val="7C1F3737"/>
    <w:rsid w:val="7C835849"/>
    <w:rsid w:val="7CBFC87B"/>
    <w:rsid w:val="7CFE0F48"/>
    <w:rsid w:val="7D7EC23E"/>
    <w:rsid w:val="7D916348"/>
    <w:rsid w:val="7E7062A0"/>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
      <w:szCs w:val="32"/>
    </w:rPr>
  </w:style>
  <w:style w:type="paragraph" w:styleId="8">
    <w:name w:val="Body Text"/>
    <w:basedOn w:val="1"/>
    <w:link w:val="25"/>
    <w:qFormat/>
    <w:uiPriority w:val="99"/>
    <w:pPr>
      <w:spacing w:beforeLines="30"/>
    </w:pPr>
    <w:rPr>
      <w:rFonts w:ascii="仿宋" w:eastAsia="仿宋"/>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 w:hAnsi="Times New Roman" w:eastAsia="仿宋"/>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7.emf"/><Relationship Id="rId24" Type="http://schemas.openxmlformats.org/officeDocument/2006/relationships/oleObject" Target="embeddings/oleObject7.bin"/><Relationship Id="rId23" Type="http://schemas.openxmlformats.org/officeDocument/2006/relationships/image" Target="media/image6.emf"/><Relationship Id="rId22" Type="http://schemas.openxmlformats.org/officeDocument/2006/relationships/oleObject" Target="embeddings/oleObject6.bin"/><Relationship Id="rId21" Type="http://schemas.openxmlformats.org/officeDocument/2006/relationships/image" Target="media/image5.e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oleObject4.bin"/><Relationship Id="rId17" Type="http://schemas.openxmlformats.org/officeDocument/2006/relationships/image" Target="media/image3.emf"/><Relationship Id="rId16" Type="http://schemas.openxmlformats.org/officeDocument/2006/relationships/oleObject" Target="embeddings/oleObject3.bin"/><Relationship Id="rId15" Type="http://schemas.openxmlformats.org/officeDocument/2006/relationships/image" Target="media/image2.emf"/><Relationship Id="rId14" Type="http://schemas.openxmlformats.org/officeDocument/2006/relationships/oleObject" Target="embeddings/oleObject2.bin"/><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Info spid="_x0000_s1028"/>
    <customShpInfo spid="_x0000_s1029"/>
    <customShpInfo spid="_x0000_s1031"/>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6202</Words>
  <Characters>6588</Characters>
  <Lines>61</Lines>
  <Paragraphs>17</Paragraphs>
  <TotalTime>2</TotalTime>
  <ScaleCrop>false</ScaleCrop>
  <LinksUpToDate>false</LinksUpToDate>
  <CharactersWithSpaces>6617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sang ji cuo</cp:lastModifiedBy>
  <cp:lastPrinted>2026-08-03T09:27:00Z</cp:lastPrinted>
  <dcterms:modified xsi:type="dcterms:W3CDTF">2026-10-26T09:02:13Z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D80ADB32958D4905B223241DBD7CA518_13</vt:lpwstr>
  </property>
  <property fmtid="{D5CDD505-2E9C-101B-9397-08002B2CF9AE}" pid="4" name="KSOTemplateDocerSaveRecord">
    <vt:lpwstr>eyJoZGlkIjoiY2Y3MjIzM2U2MDgzODZmNDczOTZlNDcyNzZhMGNiN2QiLCJ1c2VySWQiOiIzMTg3MDAwMzIifQ==</vt:lpwstr>
  </property>
</Properties>
</file>