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0652E4">
      <w:pPr>
        <w:rPr>
          <w:rFonts w:ascii="Times New Roman" w:hAnsi="Times New Roman"/>
        </w:rPr>
      </w:pPr>
      <w:bookmarkStart w:id="0" w:name="_Toc15378441"/>
      <w:bookmarkStart w:id="1" w:name="_Toc15377425"/>
      <w:bookmarkStart w:id="2" w:name="_Toc15396475"/>
      <w:bookmarkStart w:id="3" w:name="_Toc15377193"/>
      <w:bookmarkStart w:id="4" w:name="_Toc15396597"/>
      <w:bookmarkStart w:id="5" w:name="_Toc15306267"/>
    </w:p>
    <w:p w14:paraId="6E64D49D">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3CD5D0C5">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11BC53C9">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6F5BB725">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44B4051">
      <w:pPr>
        <w:pStyle w:val="5"/>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96598"/>
      <w:bookmarkStart w:id="8" w:name="_Toc15396476"/>
      <w:bookmarkStart w:id="9" w:name="_Toc15378442"/>
      <w:bookmarkStart w:id="10" w:name="_Toc1537742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hAnsi="Times New Roman" w:eastAsia="方正小标宋简体" w:cs="Times New Roman"/>
          <w:color w:val="auto"/>
          <w:kern w:val="2"/>
          <w:sz w:val="44"/>
          <w:szCs w:val="44"/>
          <w:highlight w:val="none"/>
          <w:lang w:val="en-US" w:eastAsia="zh-CN" w:bidi="ar-SA"/>
        </w:rPr>
        <w:t>阿坝州若尔盖县住房和城乡建设局（本级）</w:t>
      </w: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28C69F38">
      <w:pPr>
        <w:widowControl/>
        <w:jc w:val="center"/>
        <w:rPr>
          <w:rFonts w:hint="eastAsia" w:ascii="Times New Roman" w:hAnsi="Times New Roman" w:eastAsia="黑体"/>
          <w:color w:val="auto"/>
          <w:sz w:val="48"/>
          <w:szCs w:val="48"/>
          <w:highlight w:val="none"/>
        </w:rPr>
      </w:pPr>
    </w:p>
    <w:p w14:paraId="535292D9">
      <w:pPr>
        <w:widowControl/>
        <w:jc w:val="both"/>
        <w:rPr>
          <w:rFonts w:hint="eastAsia" w:ascii="Times New Roman" w:hAnsi="Times New Roman" w:eastAsia="黑体"/>
          <w:color w:val="auto"/>
          <w:sz w:val="48"/>
          <w:szCs w:val="48"/>
          <w:highlight w:val="none"/>
        </w:rPr>
      </w:pPr>
    </w:p>
    <w:p w14:paraId="46958A76">
      <w:pPr>
        <w:pStyle w:val="12"/>
        <w:rPr>
          <w:rFonts w:hint="eastAsia" w:ascii="Times New Roman" w:hAnsi="Times New Roman" w:eastAsia="黑体"/>
          <w:color w:val="auto"/>
          <w:sz w:val="48"/>
          <w:szCs w:val="48"/>
          <w:highlight w:val="none"/>
        </w:rPr>
      </w:pPr>
    </w:p>
    <w:p w14:paraId="308EAEAF">
      <w:pPr>
        <w:pStyle w:val="13"/>
        <w:rPr>
          <w:rFonts w:hint="eastAsia" w:ascii="Times New Roman" w:hAnsi="Times New Roman" w:eastAsia="黑体"/>
          <w:color w:val="auto"/>
          <w:sz w:val="48"/>
          <w:szCs w:val="48"/>
          <w:highlight w:val="none"/>
        </w:rPr>
      </w:pPr>
    </w:p>
    <w:p w14:paraId="4A94D8EB">
      <w:pPr>
        <w:rPr>
          <w:rFonts w:hint="eastAsia" w:ascii="Times New Roman" w:hAnsi="Times New Roman" w:eastAsia="黑体"/>
          <w:color w:val="auto"/>
          <w:sz w:val="48"/>
          <w:szCs w:val="48"/>
          <w:highlight w:val="none"/>
        </w:rPr>
      </w:pPr>
    </w:p>
    <w:p w14:paraId="29D2EF9B">
      <w:pPr>
        <w:pStyle w:val="12"/>
        <w:rPr>
          <w:rFonts w:hint="eastAsia" w:ascii="Times New Roman" w:hAnsi="Times New Roman" w:eastAsia="黑体"/>
          <w:color w:val="auto"/>
          <w:sz w:val="48"/>
          <w:szCs w:val="48"/>
          <w:highlight w:val="none"/>
        </w:rPr>
      </w:pPr>
    </w:p>
    <w:p w14:paraId="7287102B">
      <w:pPr>
        <w:pStyle w:val="13"/>
        <w:rPr>
          <w:rFonts w:hint="eastAsia"/>
        </w:rPr>
      </w:pPr>
    </w:p>
    <w:p w14:paraId="07AD95D7">
      <w:pPr>
        <w:widowControl/>
        <w:jc w:val="center"/>
        <w:rPr>
          <w:rFonts w:hint="eastAsia" w:ascii="Times New Roman" w:hAnsi="Times New Roman" w:eastAsia="黑体"/>
          <w:color w:val="auto"/>
          <w:sz w:val="48"/>
          <w:szCs w:val="48"/>
          <w:highlight w:val="none"/>
        </w:rPr>
      </w:pPr>
    </w:p>
    <w:p w14:paraId="0F3B884E">
      <w:pPr>
        <w:widowControl/>
        <w:jc w:val="center"/>
        <w:rPr>
          <w:rFonts w:hint="eastAsia"/>
          <w:sz w:val="32"/>
          <w:szCs w:val="32"/>
        </w:rPr>
      </w:pPr>
    </w:p>
    <w:p w14:paraId="59871A10">
      <w:pPr>
        <w:widowControl/>
        <w:jc w:val="center"/>
        <w:rPr>
          <w:rFonts w:hint="eastAsia"/>
          <w:sz w:val="32"/>
          <w:szCs w:val="32"/>
        </w:rPr>
      </w:pPr>
    </w:p>
    <w:p w14:paraId="0274B976">
      <w:pPr>
        <w:widowControl/>
        <w:jc w:val="center"/>
        <w:rPr>
          <w:rFonts w:hint="eastAsia"/>
          <w:sz w:val="32"/>
          <w:szCs w:val="32"/>
        </w:rPr>
      </w:pPr>
    </w:p>
    <w:p w14:paraId="52CE317B">
      <w:pPr>
        <w:widowControl/>
        <w:jc w:val="center"/>
        <w:rPr>
          <w:rFonts w:hint="eastAsia"/>
          <w:sz w:val="32"/>
          <w:szCs w:val="32"/>
        </w:rPr>
      </w:pPr>
    </w:p>
    <w:p w14:paraId="40637D0D">
      <w:pPr>
        <w:widowControl/>
        <w:jc w:val="center"/>
        <w:rPr>
          <w:rFonts w:hint="eastAsia"/>
          <w:sz w:val="32"/>
          <w:szCs w:val="32"/>
        </w:rPr>
      </w:pPr>
    </w:p>
    <w:p w14:paraId="61C79D57">
      <w:pPr>
        <w:widowControl/>
        <w:jc w:val="center"/>
        <w:rPr>
          <w:rFonts w:hint="eastAsia" w:ascii="Times New Roman" w:hAnsi="Times New Roman" w:eastAsia="黑体"/>
          <w:color w:val="auto"/>
          <w:sz w:val="48"/>
          <w:szCs w:val="48"/>
          <w:highlight w:val="none"/>
        </w:rPr>
      </w:pPr>
      <w:r>
        <w:rPr>
          <w:rFonts w:hint="eastAsia"/>
          <w:sz w:val="32"/>
          <w:szCs w:val="32"/>
        </w:rPr>
        <w:t>已经保密审查、内容审定、同意对外公开</w:t>
      </w:r>
    </w:p>
    <w:p w14:paraId="29AFFE55">
      <w:pPr>
        <w:widowControl/>
        <w:jc w:val="center"/>
        <w:rPr>
          <w:rFonts w:hint="eastAsia" w:ascii="Times New Roman" w:hAnsi="Times New Roman" w:eastAsia="黑体"/>
          <w:color w:val="auto"/>
          <w:sz w:val="48"/>
          <w:szCs w:val="48"/>
          <w:highlight w:val="none"/>
        </w:rPr>
      </w:pPr>
    </w:p>
    <w:p w14:paraId="153BA68B">
      <w:pPr>
        <w:widowControl/>
        <w:jc w:val="center"/>
        <w:rPr>
          <w:rFonts w:hint="eastAsia" w:ascii="Times New Roman" w:hAnsi="Times New Roman" w:eastAsia="黑体"/>
          <w:color w:val="auto"/>
          <w:sz w:val="48"/>
          <w:szCs w:val="48"/>
          <w:highlight w:val="none"/>
        </w:rPr>
      </w:pPr>
    </w:p>
    <w:p w14:paraId="227CEFF7">
      <w:pPr>
        <w:widowControl/>
        <w:jc w:val="center"/>
        <w:rPr>
          <w:rFonts w:hint="eastAsia" w:ascii="Times New Roman" w:hAnsi="Times New Roman" w:eastAsia="黑体"/>
          <w:color w:val="auto"/>
          <w:sz w:val="48"/>
          <w:szCs w:val="48"/>
          <w:highlight w:val="none"/>
        </w:rPr>
      </w:pPr>
    </w:p>
    <w:p w14:paraId="4BC206F7">
      <w:pPr>
        <w:widowControl/>
        <w:jc w:val="center"/>
        <w:rPr>
          <w:rFonts w:hint="eastAsia" w:ascii="Times New Roman" w:hAnsi="Times New Roman" w:eastAsia="黑体"/>
          <w:color w:val="auto"/>
          <w:sz w:val="48"/>
          <w:szCs w:val="48"/>
          <w:highlight w:val="none"/>
        </w:rPr>
      </w:pPr>
    </w:p>
    <w:p w14:paraId="295C80F3">
      <w:pPr>
        <w:widowControl/>
        <w:jc w:val="center"/>
        <w:rPr>
          <w:rFonts w:hint="eastAsia" w:ascii="Times New Roman" w:hAnsi="Times New Roman" w:eastAsia="黑体"/>
          <w:color w:val="auto"/>
          <w:sz w:val="48"/>
          <w:szCs w:val="48"/>
          <w:highlight w:val="none"/>
        </w:rPr>
      </w:pPr>
    </w:p>
    <w:p w14:paraId="3E277B38">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3E4E2B3">
      <w:pPr>
        <w:widowControl/>
        <w:jc w:val="center"/>
        <w:rPr>
          <w:rFonts w:ascii="Times New Roman" w:hAnsi="Times New Roman" w:eastAsia="黑体" w:cstheme="minorBidi"/>
          <w:color w:val="auto"/>
          <w:sz w:val="28"/>
          <w:szCs w:val="28"/>
          <w:highlight w:val="none"/>
        </w:rPr>
      </w:pPr>
    </w:p>
    <w:p w14:paraId="0D6039F7">
      <w:pPr>
        <w:pStyle w:val="1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日</w:t>
      </w:r>
    </w:p>
    <w:p w14:paraId="1D4E77A8">
      <w:pPr>
        <w:rPr>
          <w:rFonts w:ascii="Times New Roman" w:hAnsi="Times New Roman"/>
          <w:color w:val="auto"/>
          <w:highlight w:val="none"/>
        </w:rPr>
      </w:pPr>
    </w:p>
    <w:p w14:paraId="46CF6703">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6F4FAF6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0D945E8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0E5670D9">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6F84844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3EEDA29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517E908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7E8CCF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04F4508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2F2D13D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AFF421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D3AA9E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4E16F96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4E8EF1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32AA85F0">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532EDED4">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0D8E1493">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7A9AB4B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7B84E1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669F991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7554EF4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6D2B7F8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10FF89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5DB6D69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594B1E2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1CC4223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1D6B7F9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25EBCDC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7BF6572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19039C8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B66224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p>
    <w:p w14:paraId="4C07B61E">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3C7230AD">
      <w:pPr>
        <w:pStyle w:val="2"/>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21C1EE33">
      <w:pPr>
        <w:widowControl/>
        <w:jc w:val="left"/>
        <w:rPr>
          <w:rFonts w:ascii="Times New Roman" w:hAnsi="Times New Roman" w:eastAsia="黑体"/>
          <w:color w:val="auto"/>
          <w:sz w:val="32"/>
          <w:szCs w:val="32"/>
          <w:highlight w:val="none"/>
        </w:rPr>
      </w:pPr>
    </w:p>
    <w:p w14:paraId="5A3C3EF3">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2C871EFC">
      <w:pPr>
        <w:widowControl/>
        <w:spacing w:line="560" w:lineRule="exact"/>
        <w:rPr>
          <w:rFonts w:hint="eastAsia" w:ascii="宋体" w:eastAsia="宋体" w:cs="宋体"/>
          <w:b/>
          <w:bCs/>
          <w:kern w:val="0"/>
          <w:sz w:val="32"/>
          <w:szCs w:val="32"/>
          <w:lang w:bidi="ar-SA"/>
        </w:rPr>
      </w:pPr>
      <w:r>
        <w:rPr>
          <w:rFonts w:hint="eastAsia" w:ascii="宋体" w:eastAsia="宋体" w:cs="宋体"/>
          <w:b/>
          <w:bCs/>
          <w:kern w:val="0"/>
          <w:sz w:val="32"/>
          <w:szCs w:val="32"/>
          <w:lang w:bidi="ar-SA"/>
        </w:rPr>
        <w:t>1、办公室（财务室）</w:t>
      </w:r>
    </w:p>
    <w:p w14:paraId="5E691BB4">
      <w:pPr>
        <w:widowControl/>
        <w:spacing w:line="560" w:lineRule="exact"/>
        <w:ind w:firstLine="640" w:firstLineChars="200"/>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负责局机关政务协调、文电处理、政务信息、机要、安全、保密、文书档案管理；并按规定指导全县城乡建设档案工作。负责重要综合性会议的组织协调、新闻宣传、目标管理、外事、信访工作；负责重要文件、会议决议、领导指示的督办工作，协调各股、室、站、队、所开展业务工作。协调组织相关股、室、站、队办理人大代表建议、政协委员提案。负责局机关人事管理工作，负责本局退休人员的管理；承担局机关和直属事业单位的机构编制管理和人事劳资工作。负责局机关社会治安综合治理和维护稳定工作，开展精神文明建设活动，协助局机关支部开展理论学习。综合管理中央和省、州级财政用于住房城乡建设系统的各专项资金；协调、指导和监督住房和城乡建设领域财税、价格政策的落实；负责局行政机关和直属事业单位的财务及国有资产的监督管理。行业普法和法治宣传教育工作。负责住房和城乡建设志的编撰工作。负责综合协调住房和城乡规划建设系统行政审批以及行政复议、诉讼、信访等工作。</w:t>
      </w:r>
    </w:p>
    <w:p w14:paraId="721FFB0D">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会计个人工作：做好预算会计工作，及时准确报送财务报表，负责财务预决算的编制，审核、编制经费总预决算。做好记账凭证的编制，账簿登记及票据的保管工作。</w:t>
      </w:r>
    </w:p>
    <w:p w14:paraId="7F44AA3A">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出纳个人工作：负责日常款项的划拨和费用的报销工作，做好项目报账资料的审核工作。严格报账程序。</w:t>
      </w:r>
    </w:p>
    <w:p w14:paraId="36298567">
      <w:pPr>
        <w:widowControl/>
        <w:spacing w:line="560" w:lineRule="exact"/>
        <w:ind w:firstLine="643" w:firstLineChars="200"/>
        <w:rPr>
          <w:rFonts w:hint="eastAsia" w:ascii="宋体" w:eastAsia="宋体" w:cs="宋体"/>
          <w:b/>
          <w:bCs/>
          <w:kern w:val="0"/>
          <w:sz w:val="32"/>
          <w:szCs w:val="32"/>
          <w:lang w:bidi="ar-SA"/>
        </w:rPr>
      </w:pPr>
      <w:r>
        <w:rPr>
          <w:rFonts w:hint="eastAsia" w:ascii="宋体" w:eastAsia="宋体" w:cs="宋体"/>
          <w:b/>
          <w:bCs/>
          <w:kern w:val="0"/>
          <w:sz w:val="32"/>
          <w:szCs w:val="32"/>
          <w:lang w:bidi="ar-SA"/>
        </w:rPr>
        <w:t>2、建设管理股</w:t>
      </w:r>
    </w:p>
    <w:p w14:paraId="011A7415">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负责城乡建设许可行政审批工作; 负责拟订城乡建设行政许可事项审查（审核）的政策、规定、标准、规程细则；指导城乡基础设施建设、城乡管理和市政、公用事业、环卫事业的发展；拟订城乡建设、环境综合治理、市政公用事业、环卫事业的发展战略、中长期规划、产业政策、技术标准和村镇建设的发展战略及政策，并监督实施；负责建制镇的供水、排水、节水、燃气、热力、市政设施（城镇道路、桥梁、河道、路灯等）、市容环境卫生、垃圾处理、防汛排涝、城镇雕塑的监督管理工作；负责城镇污水处理设施和管网配套建设及运营监督管理工作；指导城镇市容环境综合治理工作。指导和管理全县乡镇和村庄建设工作；指导农村住房建设、建设工程质量安全管理、危房改造；组织村镇建设试点工作，指导和管理全县重点镇的建设。监督执行招标代理、建筑施工、工程监理、工程检测、工程担保等市场准入与清算管理的规章制度；负责建设工程施工许可、工程质量和施工安全、工程竣工验收备案的监督检查，参与工程重大质量、安全事故的调查处理；负责县外入县建设类企业及个人执业行为的监督管理；配合相关部门开展房屋建筑和市政基础设施工程项目招投标活动的监督。负责指导建筑行业诚信体系建设；组织实施建筑活动监督执法；负责城建档案收集、立卷、归档、整理和管理工作，指导全县建造师和建筑施工企业执业人员资格管理。指导农村建筑工匠培训和管理。管理勘察设计市场；指导城镇勘察、城镇地下空间规划及开发利用工作；拟订行业科技发展和建筑节能规划及相关技术政策并组织实施。</w:t>
      </w:r>
    </w:p>
    <w:p w14:paraId="69E286D7">
      <w:pPr>
        <w:widowControl/>
        <w:spacing w:line="540" w:lineRule="exact"/>
        <w:ind w:firstLine="643" w:firstLineChars="200"/>
        <w:rPr>
          <w:rFonts w:hint="eastAsia" w:ascii="宋体" w:eastAsia="宋体" w:cs="宋体"/>
          <w:b/>
          <w:bCs/>
          <w:kern w:val="0"/>
          <w:sz w:val="32"/>
          <w:szCs w:val="32"/>
          <w:lang w:bidi="ar-SA"/>
        </w:rPr>
      </w:pPr>
      <w:r>
        <w:rPr>
          <w:rFonts w:hint="eastAsia" w:ascii="宋体" w:eastAsia="宋体" w:cs="宋体"/>
          <w:b/>
          <w:bCs/>
          <w:kern w:val="0"/>
          <w:sz w:val="32"/>
          <w:szCs w:val="32"/>
          <w:lang w:bidi="ar-SA"/>
        </w:rPr>
        <w:t>3、住房保障股</w:t>
      </w:r>
    </w:p>
    <w:p w14:paraId="38EAFAEA">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拟订全县住房政策、规章制度并组织实施；指导全县住房建设和住房制度改革；组织编制全县保障性住房建设规划、住房保障发展规划和年度计划并监督实施，拟订全县房地产市场监督管理和稳定住房价格的政策、措施并监督执行；指导城镇土地使用权有偿转让和开发利用工作；拟订房地产业的发展规划、产业政策和规章制度；提出进城定居农民的住房政策建议以及农房产权产籍管理工作；拟订商品住宅发展规划；组织拟订城镇住宅建设、房地产开发、房屋征收拆迁、房地产交易、房屋权属管理、房屋面积管理、房地产中介、物业管理、房屋安全鉴定等工作的规章制度并监督实施；负责规定范围内的房屋产权确权登记发证；组织建设并管理全县房屋权属信息系统。</w:t>
      </w:r>
    </w:p>
    <w:p w14:paraId="15DDFAAA">
      <w:pPr>
        <w:pStyle w:val="13"/>
        <w:ind w:left="0" w:leftChars="0" w:firstLine="321" w:firstLineChars="100"/>
        <w:rPr>
          <w:rFonts w:hint="eastAsia" w:ascii="宋体" w:eastAsia="宋体" w:cs="宋体"/>
          <w:b/>
          <w:bCs/>
          <w:kern w:val="0"/>
          <w:sz w:val="32"/>
          <w:szCs w:val="32"/>
          <w:lang w:bidi="ar-SA"/>
        </w:rPr>
      </w:pPr>
      <w:r>
        <w:rPr>
          <w:rFonts w:hint="eastAsia" w:ascii="宋体" w:eastAsia="宋体" w:cs="宋体"/>
          <w:b/>
          <w:bCs/>
          <w:kern w:val="0"/>
          <w:sz w:val="32"/>
          <w:szCs w:val="32"/>
          <w:lang w:bidi="ar-SA"/>
        </w:rPr>
        <w:t>4、村镇股</w:t>
      </w:r>
    </w:p>
    <w:p w14:paraId="467267AC">
      <w:pPr>
        <w:numPr>
          <w:ilvl w:val="0"/>
          <w:numId w:val="0"/>
        </w:numPr>
        <w:rPr>
          <w:rFonts w:hint="eastAsia"/>
          <w:lang w:eastAsia="zh-CN"/>
        </w:rPr>
      </w:pPr>
      <w:r>
        <w:rPr>
          <w:rFonts w:hint="eastAsia" w:ascii="仿宋" w:eastAsia="仿宋" w:cs="Times New Roman"/>
          <w:kern w:val="0"/>
          <w:sz w:val="32"/>
          <w:szCs w:val="32"/>
          <w:lang w:val="en-US" w:eastAsia="zh-CN" w:bidi="ar-SA"/>
        </w:rPr>
        <w:t>指导乡镇和村庄建设工作；拟订村镇建设发展战略和政策并监督实施；组织村镇建设相关试点工作，指导全县小城镇建设、传统村落建设工作；指导乡村建筑风貌引导、保护利用乡土建筑文化等工作；指导农村住房建设、危旧房改造及农房建设管理人才培训等工作；承担历史文化名镇、名村的审核报批、保护和监督管理有关工作。</w:t>
      </w:r>
    </w:p>
    <w:p w14:paraId="5C0FB09A">
      <w:pPr>
        <w:pStyle w:val="3"/>
        <w:rPr>
          <w:rStyle w:val="30"/>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14:paraId="1A93779F">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阿坝州若尔盖县住房和城乡建设局（本级）</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4BFC39D0">
      <w:pPr>
        <w:pStyle w:val="5"/>
        <w:adjustRightInd w:val="0"/>
        <w:snapToGrid w:val="0"/>
        <w:spacing w:before="93" w:line="600" w:lineRule="exact"/>
        <w:ind w:firstLine="1120" w:firstLineChars="350"/>
        <w:rPr>
          <w:rFonts w:hint="eastAsia" w:ascii="Times New Roman" w:hAnsi="Times New Roman" w:eastAsia="仿宋_GB2312" w:cs="仿宋_GB2312"/>
          <w:color w:val="auto"/>
          <w:sz w:val="32"/>
          <w:szCs w:val="32"/>
          <w:highlight w:val="none"/>
        </w:rPr>
      </w:pPr>
    </w:p>
    <w:p w14:paraId="058B313F">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B66AE48">
      <w:pPr>
        <w:pStyle w:val="2"/>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4D243BF0">
      <w:pPr>
        <w:rPr>
          <w:rFonts w:ascii="Times New Roman" w:hAnsi="Times New Roman"/>
          <w:color w:val="auto"/>
          <w:highlight w:val="none"/>
        </w:rPr>
      </w:pPr>
    </w:p>
    <w:p w14:paraId="4858B96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14:paraId="271CA2E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eastAsia="仿宋_GB2312" w:cs="仿宋_GB2312"/>
          <w:sz w:val="32"/>
          <w:szCs w:val="32"/>
          <w:lang w:bidi="ar-SA"/>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40693.05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5725.07</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16.37</w:t>
      </w:r>
      <w:r>
        <w:rPr>
          <w:rFonts w:hint="eastAsia" w:ascii="Times New Roman" w:hAnsi="Times New Roman" w:eastAsia="仿宋_GB2312" w:cs="仿宋_GB2312"/>
          <w:color w:val="auto"/>
          <w:sz w:val="32"/>
          <w:szCs w:val="32"/>
          <w:highlight w:val="none"/>
        </w:rPr>
        <w:t>%。主要变动原因是</w:t>
      </w:r>
      <w:r>
        <w:rPr>
          <w:rFonts w:hint="eastAsia" w:ascii="仿宋_GB2312" w:eastAsia="仿宋_GB2312" w:cs="仿宋_GB2312"/>
          <w:sz w:val="32"/>
          <w:szCs w:val="32"/>
          <w:lang w:val="en-US" w:eastAsia="zh-CN" w:bidi="ar-SA"/>
        </w:rPr>
        <w:t>人员</w:t>
      </w:r>
      <w:r>
        <w:rPr>
          <w:rFonts w:hint="eastAsia" w:ascii="Times New Roman" w:hAnsi="Times New Roman" w:eastAsia="仿宋_GB2312" w:cs="仿宋_GB2312"/>
          <w:color w:val="auto"/>
          <w:sz w:val="32"/>
          <w:szCs w:val="32"/>
          <w:highlight w:val="none"/>
        </w:rPr>
        <w:t>增加</w:t>
      </w:r>
      <w:r>
        <w:rPr>
          <w:rFonts w:hint="eastAsia" w:ascii="仿宋_GB2312" w:eastAsia="仿宋_GB2312" w:cs="仿宋_GB2312"/>
          <w:sz w:val="32"/>
          <w:szCs w:val="32"/>
          <w:lang w:val="en-US" w:eastAsia="zh-CN" w:bidi="ar-SA"/>
        </w:rPr>
        <w:t>以及项目</w:t>
      </w:r>
      <w:r>
        <w:rPr>
          <w:rFonts w:hint="eastAsia" w:ascii="Times New Roman" w:hAnsi="Times New Roman" w:eastAsia="仿宋_GB2312" w:cs="仿宋_GB2312"/>
          <w:color w:val="auto"/>
          <w:sz w:val="32"/>
          <w:szCs w:val="32"/>
          <w:highlight w:val="none"/>
        </w:rPr>
        <w:t>增加</w:t>
      </w:r>
      <w:r>
        <w:rPr>
          <w:rFonts w:hint="eastAsia" w:ascii="仿宋_GB2312" w:eastAsia="仿宋_GB2312" w:cs="仿宋_GB2312"/>
          <w:sz w:val="32"/>
          <w:szCs w:val="32"/>
          <w:lang w:bidi="ar-SA"/>
        </w:rPr>
        <w:t>。</w:t>
      </w:r>
    </w:p>
    <w:p w14:paraId="6DA73FA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仿宋_GB2312" w:eastAsia="仿宋_GB2312" w:cs="仿宋_GB2312"/>
          <w:sz w:val="32"/>
          <w:szCs w:val="32"/>
          <w:lang w:bidi="ar-SA"/>
        </w:rPr>
      </w:pPr>
    </w:p>
    <w:p w14:paraId="1442603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314EA6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ascii="仿宋_GB2312" w:eastAsia="仿宋_GB2312" w:cs="仿宋_GB2312"/>
          <w:sz w:val="32"/>
          <w:szCs w:val="32"/>
          <w:lang w:bidi="ar-SA"/>
        </w:rPr>
        <w:pict>
          <v:shape id="Object 9" o:spid="_x0000_s1037" o:spt="75" alt="0.emf" type="#_x0000_t75" style="position:absolute;left:0pt;margin-left:25.8pt;margin-top:-82.75pt;height:222.75pt;width:377.25pt;mso-wrap-distance-bottom:0pt;mso-wrap-distance-left:9pt;mso-wrap-distance-right:9pt;mso-wrap-distance-top:0pt;z-index:251659264;mso-width-relative:page;mso-height-relative:page;" o:ole="t" filled="f" o:preferrelative="t" stroked="f" coordsize="21600,21600">
            <v:path/>
            <v:fill on="f" focussize="0,0"/>
            <v:stroke on="f"/>
            <v:imagedata r:id="rId8" o:title=""/>
            <o:lock v:ext="edit" aspectratio="t"/>
            <w10:wrap type="square"/>
          </v:shape>
          <o:OLEObject Type="Embed" ProgID="Excel.Chart.8" ShapeID="Object 9" DrawAspect="Content" ObjectID="_1468075725" r:id="rId7">
            <o:LockedField>false</o:LockedField>
          </o:OLEObject>
        </w:pict>
      </w:r>
    </w:p>
    <w:p w14:paraId="335706C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3B3A6F5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31318.16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23218.16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74.13</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8100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25.86</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015DB88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r>
        <w:rPr>
          <w:rFonts w:ascii="仿宋_GB2312" w:eastAsia="仿宋_GB2312" w:cs="仿宋_GB2312"/>
          <w:b/>
          <w:sz w:val="32"/>
          <w:szCs w:val="32"/>
          <w:lang w:bidi="ar-SA"/>
        </w:rPr>
        <w:pict>
          <v:shape id="Object 11" o:spid="_x0000_s1038" o:spt="75" alt="1.emf" type="#_x0000_t75" style="position:absolute;left:0pt;margin-left:25.3pt;margin-top:-82.15pt;height:222.75pt;width:369pt;mso-wrap-distance-bottom:0pt;mso-wrap-distance-top:0pt;z-index:251660288;mso-width-relative:page;mso-height-relative:page;" o:ole="t" filled="f" o:preferrelative="t" stroked="f" coordsize="21600,21600">
            <v:path/>
            <v:fill on="f" focussize="0,0"/>
            <v:stroke on="f"/>
            <v:imagedata r:id="rId10" o:title=""/>
            <o:lock v:ext="edit" aspectratio="t"/>
            <w10:wrap type="topAndBottom"/>
          </v:shape>
          <o:OLEObject Type="Embed" ProgID="Excel.Chart.8" ShapeID="Object 11" DrawAspect="Content" ObjectID="_1468075726" r:id="rId9">
            <o:LockedField>false</o:LockedField>
          </o:OLEObject>
        </w:pict>
      </w:r>
    </w:p>
    <w:p w14:paraId="70C6643F">
      <w:pPr>
        <w:ind w:firstLine="800" w:firstLineChars="250"/>
        <w:rPr>
          <w:rFonts w:hint="eastAsia" w:ascii="Times New Roman" w:hAnsi="Times New Roman" w:eastAsia="仿宋_GB2312" w:cs="仿宋_GB2312"/>
          <w:color w:val="auto"/>
          <w:sz w:val="32"/>
          <w:szCs w:val="32"/>
          <w:highlight w:val="none"/>
          <w:lang w:eastAsia="zh-CN"/>
        </w:rPr>
      </w:pPr>
    </w:p>
    <w:p w14:paraId="5EA433D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14:paraId="389D2A3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40693.05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269.13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0.66</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40423.91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99.33</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315C74E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B96180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55D7296A">
      <w:pPr>
        <w:ind w:firstLine="800" w:firstLineChars="250"/>
        <w:rPr>
          <w:rFonts w:hint="eastAsia" w:ascii="Times New Roman" w:hAnsi="Times New Roman" w:eastAsia="仿宋_GB2312" w:cs="仿宋_GB2312"/>
          <w:color w:val="auto"/>
          <w:sz w:val="32"/>
          <w:szCs w:val="32"/>
          <w:highlight w:val="none"/>
          <w:lang w:eastAsia="zh-CN"/>
          <w14:textFill>
            <w14:noFill/>
          </w14:textFill>
        </w:rPr>
      </w:pPr>
      <w:r>
        <w:rPr>
          <w:rFonts w:hint="eastAsia" w:ascii="Times New Roman" w:hAnsi="Times New Roman" w:eastAsia="仿宋_GB2312" w:cs="仿宋_GB2312"/>
          <w:color w:val="auto"/>
          <w:sz w:val="32"/>
          <w:szCs w:val="32"/>
          <w:lang w:eastAsia="zh-CN"/>
        </w:rPr>
        <w:drawing>
          <wp:inline distT="0" distB="0" distL="114300" distR="114300">
            <wp:extent cx="5086985" cy="3362325"/>
            <wp:effectExtent l="4445" t="4445" r="13970"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EA2AC00">
      <w:pPr>
        <w:ind w:firstLine="800" w:firstLineChars="250"/>
        <w:rPr>
          <w:rFonts w:hint="eastAsia" w:ascii="Times New Roman" w:hAnsi="Times New Roman" w:eastAsia="仿宋_GB2312" w:cs="仿宋_GB2312"/>
          <w:color w:val="auto"/>
          <w:sz w:val="32"/>
          <w:szCs w:val="32"/>
          <w:highlight w:val="none"/>
          <w:lang w:eastAsia="zh-CN"/>
        </w:rPr>
      </w:pPr>
    </w:p>
    <w:p w14:paraId="6AE68F2C">
      <w:pPr>
        <w:ind w:firstLine="800" w:firstLineChars="250"/>
        <w:rPr>
          <w:rFonts w:hint="eastAsia" w:ascii="Times New Roman" w:hAnsi="Times New Roman" w:eastAsia="仿宋_GB2312" w:cs="仿宋_GB2312"/>
          <w:color w:val="auto"/>
          <w:sz w:val="32"/>
          <w:szCs w:val="32"/>
          <w:highlight w:val="none"/>
          <w:lang w:eastAsia="zh-CN"/>
        </w:rPr>
      </w:pPr>
    </w:p>
    <w:p w14:paraId="4CCD067C">
      <w:pPr>
        <w:ind w:firstLine="800" w:firstLineChars="250"/>
        <w:rPr>
          <w:rFonts w:hint="eastAsia" w:ascii="Times New Roman" w:hAnsi="Times New Roman" w:eastAsia="仿宋_GB2312" w:cs="仿宋_GB2312"/>
          <w:color w:val="auto"/>
          <w:sz w:val="32"/>
          <w:szCs w:val="32"/>
          <w:highlight w:val="none"/>
          <w:lang w:eastAsia="zh-CN"/>
        </w:rPr>
      </w:pPr>
    </w:p>
    <w:p w14:paraId="7FF2EA3C">
      <w:pPr>
        <w:ind w:firstLine="800" w:firstLineChars="250"/>
        <w:rPr>
          <w:rFonts w:hint="eastAsia" w:ascii="Times New Roman" w:hAnsi="Times New Roman" w:eastAsia="仿宋_GB2312" w:cs="仿宋_GB2312"/>
          <w:color w:val="auto"/>
          <w:sz w:val="32"/>
          <w:szCs w:val="32"/>
          <w:highlight w:val="none"/>
          <w:lang w:eastAsia="zh-CN"/>
        </w:rPr>
      </w:pPr>
    </w:p>
    <w:p w14:paraId="202AF489">
      <w:pPr>
        <w:spacing w:line="600" w:lineRule="exact"/>
        <w:ind w:firstLine="640" w:firstLineChars="200"/>
        <w:outlineLvl w:val="1"/>
        <w:rPr>
          <w:rStyle w:val="30"/>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14:paraId="1A1F066C">
      <w:pPr>
        <w:spacing w:line="600" w:lineRule="exact"/>
        <w:ind w:firstLine="640"/>
        <w:rPr>
          <w:rFonts w:hint="eastAsia" w:ascii="仿宋_GB2312" w:eastAsia="仿宋_GB2312" w:cs="仿宋_GB2312"/>
          <w:sz w:val="32"/>
          <w:szCs w:val="32"/>
          <w:lang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40693.05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sz w:val="32"/>
          <w:szCs w:val="32"/>
          <w:highlight w:val="none"/>
          <w:lang w:val="en-US" w:eastAsia="zh-CN"/>
        </w:rPr>
        <w:t>5725.07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16.37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eastAsia="仿宋_GB2312" w:cs="仿宋_GB2312"/>
          <w:sz w:val="32"/>
          <w:szCs w:val="32"/>
          <w:lang w:val="en-US" w:eastAsia="zh-CN" w:bidi="ar-SA"/>
        </w:rPr>
        <w:t>人员</w:t>
      </w:r>
      <w:r>
        <w:rPr>
          <w:rFonts w:hint="eastAsia" w:ascii="Times New Roman" w:hAnsi="Times New Roman" w:eastAsia="仿宋_GB2312" w:cs="仿宋_GB2312"/>
          <w:color w:val="auto"/>
          <w:sz w:val="32"/>
          <w:szCs w:val="32"/>
          <w:highlight w:val="none"/>
        </w:rPr>
        <w:t>增加</w:t>
      </w:r>
      <w:r>
        <w:rPr>
          <w:rFonts w:hint="eastAsia" w:ascii="仿宋_GB2312" w:eastAsia="仿宋_GB2312" w:cs="仿宋_GB2312"/>
          <w:sz w:val="32"/>
          <w:szCs w:val="32"/>
          <w:lang w:val="en-US" w:eastAsia="zh-CN" w:bidi="ar-SA"/>
        </w:rPr>
        <w:t>以及项目</w:t>
      </w:r>
      <w:r>
        <w:rPr>
          <w:rFonts w:hint="eastAsia" w:ascii="Times New Roman" w:hAnsi="Times New Roman" w:eastAsia="仿宋_GB2312" w:cs="仿宋_GB2312"/>
          <w:color w:val="auto"/>
          <w:sz w:val="32"/>
          <w:szCs w:val="32"/>
          <w:highlight w:val="none"/>
        </w:rPr>
        <w:t>增加</w:t>
      </w:r>
      <w:r>
        <w:rPr>
          <w:rFonts w:hint="eastAsia" w:ascii="仿宋_GB2312" w:eastAsia="仿宋_GB2312" w:cs="仿宋_GB2312"/>
          <w:sz w:val="32"/>
          <w:szCs w:val="32"/>
          <w:lang w:bidi="ar-SA"/>
        </w:rPr>
        <w:t>。</w:t>
      </w:r>
    </w:p>
    <w:p w14:paraId="6059D3A9">
      <w:pPr>
        <w:spacing w:line="600" w:lineRule="exact"/>
        <w:ind w:firstLine="640"/>
        <w:rPr>
          <w:rFonts w:hint="eastAsia" w:ascii="仿宋_GB2312" w:eastAsia="仿宋_GB2312" w:cs="仿宋_GB2312"/>
          <w:sz w:val="32"/>
          <w:szCs w:val="32"/>
          <w:lang w:bidi="ar-SA"/>
        </w:rPr>
      </w:pPr>
    </w:p>
    <w:p w14:paraId="19ACAC97">
      <w:pPr>
        <w:spacing w:line="600" w:lineRule="exact"/>
        <w:ind w:firstLine="640"/>
        <w:rPr>
          <w:rFonts w:hint="eastAsia" w:ascii="仿宋_GB2312" w:eastAsia="仿宋_GB2312" w:cs="仿宋_GB2312"/>
          <w:sz w:val="32"/>
          <w:szCs w:val="32"/>
          <w:lang w:bidi="ar-SA"/>
        </w:rPr>
      </w:pPr>
    </w:p>
    <w:p w14:paraId="13B051F5">
      <w:pPr>
        <w:spacing w:line="600" w:lineRule="exact"/>
        <w:ind w:firstLine="640"/>
        <w:rPr>
          <w:rFonts w:hint="eastAsia" w:ascii="仿宋_GB2312" w:eastAsia="仿宋_GB2312" w:cs="仿宋_GB2312"/>
          <w:sz w:val="32"/>
          <w:szCs w:val="32"/>
          <w:lang w:bidi="ar-SA"/>
        </w:rPr>
      </w:pPr>
    </w:p>
    <w:p w14:paraId="089F9739">
      <w:pPr>
        <w:spacing w:line="600" w:lineRule="exact"/>
        <w:ind w:firstLine="640"/>
        <w:rPr>
          <w:rFonts w:hint="eastAsia" w:ascii="仿宋_GB2312" w:eastAsia="仿宋_GB2312" w:cs="仿宋_GB2312"/>
          <w:sz w:val="32"/>
          <w:szCs w:val="32"/>
          <w:lang w:bidi="ar-SA"/>
        </w:rPr>
      </w:pPr>
    </w:p>
    <w:p w14:paraId="30FDA68B">
      <w:pPr>
        <w:spacing w:line="600" w:lineRule="exact"/>
        <w:ind w:firstLine="640"/>
        <w:rPr>
          <w:rFonts w:hint="eastAsia" w:ascii="仿宋_GB2312" w:eastAsia="仿宋_GB2312" w:cs="仿宋_GB2312"/>
          <w:sz w:val="32"/>
          <w:szCs w:val="32"/>
          <w:lang w:bidi="ar-SA"/>
        </w:rPr>
      </w:pPr>
      <w:r>
        <w:rPr>
          <w:rFonts w:ascii="仿宋_GB2312" w:eastAsia="仿宋_GB2312" w:cs="仿宋_GB2312"/>
          <w:sz w:val="32"/>
          <w:szCs w:val="32"/>
          <w:lang w:bidi="ar-SA"/>
        </w:rPr>
        <w:pict>
          <v:shape id="_x0000_s1039" o:spid="_x0000_s1039" o:spt="75" alt="0.emf" type="#_x0000_t75" style="position:absolute;left:0pt;margin-left:25.8pt;margin-top:-469.45pt;height:222.75pt;width:377.25pt;mso-wrap-distance-bottom:0pt;mso-wrap-distance-left:9pt;mso-wrap-distance-right:9pt;mso-wrap-distance-top:0pt;z-index:251661312;mso-width-relative:page;mso-height-relative:page;" o:ole="t" filled="f" o:preferrelative="t" stroked="f" coordsize="21600,21600">
            <v:path/>
            <v:fill on="f" focussize="0,0"/>
            <v:stroke on="f"/>
            <v:imagedata r:id="rId8" o:title=""/>
            <o:lock v:ext="edit" aspectratio="t"/>
            <w10:wrap type="square"/>
          </v:shape>
          <o:OLEObject Type="Embed" ProgID="Excel.Chart.8" ShapeID="_x0000_s1039" DrawAspect="Content" ObjectID="_1468075727" r:id="rId12">
            <o:LockedField>false</o:LockedField>
          </o:OLEObject>
        </w:pict>
      </w:r>
    </w:p>
    <w:p w14:paraId="26271ADB">
      <w:pPr>
        <w:spacing w:line="600" w:lineRule="exact"/>
        <w:ind w:firstLine="640"/>
        <w:rPr>
          <w:rFonts w:hint="eastAsia" w:ascii="仿宋_GB2312" w:eastAsia="仿宋_GB2312" w:cs="仿宋_GB2312"/>
          <w:sz w:val="32"/>
          <w:szCs w:val="32"/>
          <w:lang w:val="en-US" w:eastAsia="zh-CN" w:bidi="ar-SA"/>
        </w:rPr>
      </w:pPr>
    </w:p>
    <w:p w14:paraId="30A9902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F29C1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18687F3">
      <w:pPr>
        <w:spacing w:line="600" w:lineRule="exact"/>
        <w:ind w:firstLine="640" w:firstLineChars="200"/>
        <w:outlineLvl w:val="1"/>
        <w:rPr>
          <w:rStyle w:val="30"/>
          <w:rFonts w:ascii="Times New Roman" w:hAnsi="Times New Roman" w:eastAsia="黑体"/>
          <w:b w:val="0"/>
          <w:color w:val="auto"/>
          <w:highlight w:val="none"/>
        </w:rPr>
      </w:pPr>
      <w:bookmarkStart w:id="26" w:name="_Toc15396607"/>
      <w:bookmarkStart w:id="2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14:paraId="5F6504E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4E804A5A">
      <w:pPr>
        <w:spacing w:line="600" w:lineRule="exact"/>
        <w:ind w:firstLine="640"/>
        <w:rPr>
          <w:rFonts w:hint="eastAsia" w:ascii="仿宋_GB2312" w:eastAsia="仿宋_GB2312" w:cs="仿宋_GB2312"/>
          <w:sz w:val="32"/>
          <w:szCs w:val="32"/>
          <w:lang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32593.05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80.09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ascii="Times New Roman" w:hAnsi="Times New Roman" w:eastAsia="仿宋"/>
          <w:b w:val="0"/>
          <w:color w:val="000000"/>
          <w:sz w:val="32"/>
        </w:rPr>
        <w:t>2374.93</w:t>
      </w:r>
      <w:r>
        <w:rPr>
          <w:rFonts w:hint="eastAsia" w:ascii="Times New Roman" w:hAnsi="Times New Roman" w:eastAsia="仿宋_GB2312" w:cs="仿宋_GB2312"/>
          <w:color w:val="auto"/>
          <w:kern w:val="2"/>
          <w:sz w:val="32"/>
          <w:szCs w:val="32"/>
          <w:highlight w:val="none"/>
          <w:lang w:val="en-US" w:eastAsia="zh-CN" w:bidi="ar-SA"/>
        </w:rPr>
        <w:t>万元，下降</w:t>
      </w:r>
      <w:r>
        <w:rPr>
          <w:rFonts w:ascii="Times New Roman" w:hAnsi="Times New Roman" w:eastAsia="仿宋"/>
          <w:b w:val="0"/>
          <w:color w:val="000000"/>
          <w:sz w:val="32"/>
        </w:rPr>
        <w:t>6.79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eastAsia="仿宋_GB2312" w:cs="仿宋_GB2312"/>
          <w:sz w:val="32"/>
          <w:szCs w:val="32"/>
          <w:lang w:val="en-US" w:eastAsia="zh-CN" w:bidi="ar-SA"/>
        </w:rPr>
        <w:t>人员减少以及项目减少</w:t>
      </w:r>
      <w:r>
        <w:rPr>
          <w:rFonts w:hint="eastAsia" w:ascii="仿宋_GB2312" w:eastAsia="仿宋_GB2312" w:cs="仿宋_GB2312"/>
          <w:sz w:val="32"/>
          <w:szCs w:val="32"/>
          <w:lang w:bidi="ar-SA"/>
        </w:rPr>
        <w:t>。</w:t>
      </w:r>
    </w:p>
    <w:p w14:paraId="7D5883E6">
      <w:pPr>
        <w:spacing w:line="600" w:lineRule="exact"/>
        <w:ind w:firstLine="640"/>
        <w:rPr>
          <w:rFonts w:hint="eastAsia" w:ascii="仿宋_GB2312" w:eastAsia="仿宋_GB2312" w:cs="仿宋_GB2312"/>
          <w:sz w:val="32"/>
          <w:szCs w:val="32"/>
          <w:lang w:bidi="ar-SA"/>
        </w:rPr>
      </w:pPr>
      <w:r>
        <w:rPr>
          <w:rFonts w:hint="eastAsia" w:ascii="仿宋_GB2312" w:eastAsia="仿宋_GB2312" w:cs="仿宋_GB2312"/>
          <w:sz w:val="32"/>
          <w:szCs w:val="32"/>
          <w:lang w:eastAsia="zh-CN" w:bidi="ar-SA"/>
        </w:rPr>
        <w:drawing>
          <wp:anchor distT="0" distB="0" distL="114300" distR="114300" simplePos="0" relativeHeight="251662336" behindDoc="0" locked="0" layoutInCell="1" allowOverlap="1">
            <wp:simplePos x="0" y="0"/>
            <wp:positionH relativeFrom="column">
              <wp:posOffset>213360</wp:posOffset>
            </wp:positionH>
            <wp:positionV relativeFrom="paragraph">
              <wp:posOffset>1289685</wp:posOffset>
            </wp:positionV>
            <wp:extent cx="4399915" cy="2425065"/>
            <wp:effectExtent l="4445" t="4445" r="15240" b="889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76AFA9B3">
      <w:pPr>
        <w:spacing w:line="600" w:lineRule="exact"/>
        <w:ind w:firstLine="640"/>
        <w:rPr>
          <w:rFonts w:hint="eastAsia" w:ascii="仿宋_GB2312" w:eastAsia="仿宋_GB2312" w:cs="仿宋_GB2312"/>
          <w:sz w:val="32"/>
          <w:szCs w:val="32"/>
          <w:lang w:bidi="ar-SA"/>
        </w:rPr>
      </w:pPr>
    </w:p>
    <w:p w14:paraId="5BA83C8C">
      <w:pPr>
        <w:spacing w:line="600" w:lineRule="exact"/>
        <w:ind w:firstLine="640"/>
        <w:rPr>
          <w:rFonts w:hint="eastAsia" w:ascii="仿宋_GB2312" w:eastAsia="仿宋_GB2312" w:cs="仿宋_GB2312"/>
          <w:sz w:val="32"/>
          <w:szCs w:val="32"/>
          <w:lang w:bidi="ar-SA"/>
        </w:rPr>
      </w:pPr>
    </w:p>
    <w:p w14:paraId="0DB8DF8B">
      <w:pPr>
        <w:spacing w:line="600" w:lineRule="exact"/>
        <w:ind w:firstLine="640"/>
        <w:rPr>
          <w:rFonts w:hint="eastAsia" w:ascii="仿宋_GB2312" w:eastAsia="仿宋_GB2312" w:cs="仿宋_GB2312"/>
          <w:sz w:val="32"/>
          <w:szCs w:val="32"/>
          <w:lang w:bidi="ar-SA"/>
        </w:rPr>
      </w:pPr>
    </w:p>
    <w:p w14:paraId="46D351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5A07E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6BAF11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172C0340">
      <w:pPr>
        <w:spacing w:line="600" w:lineRule="exact"/>
        <w:ind w:firstLine="640"/>
        <w:rPr>
          <w:rFonts w:ascii="Times New Roman" w:hAnsi="Times New Roman" w:eastAsia="仿宋"/>
          <w:b w:val="0"/>
          <w:color w:val="000000"/>
          <w:sz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32593.05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ascii="Times New Roman" w:hAnsi="Times New Roman" w:eastAsia="仿宋"/>
          <w:b w:val="0"/>
          <w:color w:val="000000"/>
          <w:sz w:val="32"/>
        </w:rPr>
        <w:t>74.84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0.23</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
          <w:b w:val="0"/>
          <w:color w:val="000000"/>
          <w:sz w:val="32"/>
        </w:rPr>
        <w:t>社会保障和就业支出34.54万元，占0.11%；卫生健康支出12.19万元，占0.04%；节能环保支出8308.68万元，占25.49%；城乡社区支出20484.36万元，占62.85%；农林水支出3275.31万元，占10.05%；住房保障支出403.13万元，占1.24%。</w:t>
      </w:r>
    </w:p>
    <w:p w14:paraId="1528A3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lang w:val="en-US" w:eastAsia="zh-CN"/>
        </w:rPr>
        <w:drawing>
          <wp:anchor distT="0" distB="0" distL="114300" distR="114300" simplePos="0" relativeHeight="251663360" behindDoc="0" locked="0" layoutInCell="1" allowOverlap="1">
            <wp:simplePos x="0" y="0"/>
            <wp:positionH relativeFrom="column">
              <wp:posOffset>81915</wp:posOffset>
            </wp:positionH>
            <wp:positionV relativeFrom="paragraph">
              <wp:posOffset>2525395</wp:posOffset>
            </wp:positionV>
            <wp:extent cx="5256530" cy="2988310"/>
            <wp:effectExtent l="5080" t="4445" r="1524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705D39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90DD0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679A7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1941F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7E035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0AA35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0" w:name="_Toc15377212"/>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2DA4F4A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1CAF1ED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00F7EE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7444"/>
      <w:bookmarkStart w:id="3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32593.05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4E99B484">
      <w:pPr>
        <w:spacing w:before="0" w:after="0" w:line="560" w:lineRule="exact"/>
        <w:ind w:firstLine="640" w:firstLineChars="200"/>
      </w:pPr>
      <w:r>
        <w:rPr>
          <w:rFonts w:ascii="Times New Roman" w:hAnsi="Times New Roman" w:eastAsia="仿宋"/>
          <w:b w:val="0"/>
          <w:color w:val="000000"/>
          <w:sz w:val="32"/>
        </w:rPr>
        <w:t>1.一般公共服务（类）社会工作事务（款）专项业务（项）：支出决算为74.84万元，完成预算100%。</w:t>
      </w:r>
    </w:p>
    <w:p w14:paraId="59C8BF1D">
      <w:pPr>
        <w:spacing w:before="0" w:after="0" w:line="560" w:lineRule="exact"/>
        <w:ind w:firstLine="640" w:firstLineChars="200"/>
      </w:pPr>
      <w:r>
        <w:rPr>
          <w:rFonts w:ascii="Times New Roman" w:hAnsi="Times New Roman" w:eastAsia="仿宋"/>
          <w:b w:val="0"/>
          <w:color w:val="000000"/>
          <w:sz w:val="32"/>
        </w:rPr>
        <w:t>2.社会保障和就业（类）行政事业单位养老支出（款）机关事业单位基本养老保险缴费支出（项）：支出决算为23.31万元，完成预算100%。</w:t>
      </w:r>
    </w:p>
    <w:p w14:paraId="5E28C3BF">
      <w:pPr>
        <w:spacing w:before="0" w:after="0" w:line="560" w:lineRule="exact"/>
        <w:ind w:firstLine="640" w:firstLineChars="200"/>
      </w:pPr>
      <w:r>
        <w:rPr>
          <w:rFonts w:ascii="Times New Roman" w:hAnsi="Times New Roman" w:eastAsia="仿宋"/>
          <w:b w:val="0"/>
          <w:color w:val="000000"/>
          <w:sz w:val="32"/>
        </w:rPr>
        <w:t>3.社会保障和就业（类）行政事业单位养老支出（款）机关事业单位职业年金缴费支出（项）：支出决算为11.24万元，完成预算100%。</w:t>
      </w:r>
    </w:p>
    <w:p w14:paraId="75CDE855">
      <w:pPr>
        <w:spacing w:before="0" w:after="0" w:line="560" w:lineRule="exact"/>
        <w:ind w:firstLine="640" w:firstLineChars="200"/>
      </w:pPr>
      <w:r>
        <w:rPr>
          <w:rFonts w:ascii="Times New Roman" w:hAnsi="Times New Roman" w:eastAsia="仿宋"/>
          <w:b w:val="0"/>
          <w:color w:val="000000"/>
          <w:sz w:val="32"/>
        </w:rPr>
        <w:t>4.卫生健康（类）行政事业单位医疗（款）行政单位医疗（项）：支出决算为10.26万元，完成预算100%。</w:t>
      </w:r>
    </w:p>
    <w:p w14:paraId="65D49705">
      <w:pPr>
        <w:spacing w:before="0" w:after="0" w:line="560" w:lineRule="exact"/>
        <w:ind w:firstLine="640" w:firstLineChars="200"/>
      </w:pPr>
      <w:r>
        <w:rPr>
          <w:rFonts w:ascii="Times New Roman" w:hAnsi="Times New Roman" w:eastAsia="仿宋"/>
          <w:b w:val="0"/>
          <w:color w:val="000000"/>
          <w:sz w:val="32"/>
        </w:rPr>
        <w:t>5.卫生健康（类）行政事业单位医疗（款）公务员医疗补助（项）：支出决算为1.93万元，完成预算100%。</w:t>
      </w:r>
    </w:p>
    <w:p w14:paraId="2940BD08">
      <w:pPr>
        <w:spacing w:before="0" w:after="0" w:line="560" w:lineRule="exact"/>
        <w:ind w:firstLine="640" w:firstLineChars="200"/>
      </w:pPr>
      <w:r>
        <w:rPr>
          <w:rFonts w:ascii="Times New Roman" w:hAnsi="Times New Roman" w:eastAsia="仿宋"/>
          <w:b w:val="0"/>
          <w:color w:val="000000"/>
          <w:sz w:val="32"/>
        </w:rPr>
        <w:t>6.节能环保（类）污染防治（款）水体（项）：支出决算为902.30万元，完成预算100%。</w:t>
      </w:r>
    </w:p>
    <w:p w14:paraId="276823B2">
      <w:pPr>
        <w:spacing w:before="0" w:after="0" w:line="560" w:lineRule="exact"/>
        <w:ind w:firstLine="640" w:firstLineChars="200"/>
      </w:pPr>
      <w:r>
        <w:rPr>
          <w:rFonts w:ascii="Times New Roman" w:hAnsi="Times New Roman" w:eastAsia="仿宋"/>
          <w:b w:val="0"/>
          <w:color w:val="000000"/>
          <w:sz w:val="32"/>
        </w:rPr>
        <w:t>7.节能环保（类）自然生态保护（款）生态保护（项）：支出决算为7406.38万元，完成预算100%。</w:t>
      </w:r>
    </w:p>
    <w:p w14:paraId="5A16F0E1">
      <w:pPr>
        <w:spacing w:before="0" w:after="0" w:line="560" w:lineRule="exact"/>
        <w:ind w:firstLine="640" w:firstLineChars="200"/>
      </w:pPr>
      <w:r>
        <w:rPr>
          <w:rFonts w:ascii="Times New Roman" w:hAnsi="Times New Roman" w:eastAsia="仿宋"/>
          <w:b w:val="0"/>
          <w:color w:val="000000"/>
          <w:sz w:val="32"/>
        </w:rPr>
        <w:t>8.城乡社区（类）城乡社区管理事务（款）行政运行（项）：支出决算为204.17万元，完成预算100%。</w:t>
      </w:r>
    </w:p>
    <w:p w14:paraId="3A7A40EE">
      <w:pPr>
        <w:spacing w:before="0" w:after="0" w:line="560" w:lineRule="exact"/>
        <w:ind w:firstLine="640" w:firstLineChars="200"/>
      </w:pPr>
      <w:r>
        <w:rPr>
          <w:rFonts w:ascii="Times New Roman" w:hAnsi="Times New Roman" w:eastAsia="仿宋"/>
          <w:b w:val="0"/>
          <w:color w:val="000000"/>
          <w:sz w:val="32"/>
        </w:rPr>
        <w:t>9.城乡社区（类）城乡社区管理事务（款）城管执法（项）：支出决算为74.88万元，完成预算100%。</w:t>
      </w:r>
    </w:p>
    <w:p w14:paraId="27D1E97D">
      <w:pPr>
        <w:spacing w:before="0" w:after="0" w:line="560" w:lineRule="exact"/>
        <w:ind w:firstLine="640" w:firstLineChars="200"/>
      </w:pPr>
      <w:r>
        <w:rPr>
          <w:rFonts w:ascii="Times New Roman" w:hAnsi="Times New Roman" w:eastAsia="仿宋"/>
          <w:b w:val="0"/>
          <w:color w:val="000000"/>
          <w:sz w:val="32"/>
        </w:rPr>
        <w:t>10.城乡社区（类）城乡社区管理事务（款）其他城乡社区管理事务支出（项）：支出决算为50.72万元，完成预算100%。</w:t>
      </w:r>
    </w:p>
    <w:p w14:paraId="053F7975">
      <w:pPr>
        <w:spacing w:before="0" w:after="0" w:line="560" w:lineRule="exact"/>
        <w:ind w:firstLine="640" w:firstLineChars="200"/>
      </w:pPr>
      <w:r>
        <w:rPr>
          <w:rFonts w:ascii="Times New Roman" w:hAnsi="Times New Roman" w:eastAsia="仿宋"/>
          <w:b w:val="0"/>
          <w:color w:val="000000"/>
          <w:sz w:val="32"/>
        </w:rPr>
        <w:t>11.城乡社区（类）城乡社区规划与管理（款）城乡社区规划与管理（项）：支出决算为7.90万元，完成预算100%。</w:t>
      </w:r>
    </w:p>
    <w:p w14:paraId="2268E6C2">
      <w:pPr>
        <w:spacing w:before="0" w:after="0" w:line="560" w:lineRule="exact"/>
        <w:ind w:firstLine="640" w:firstLineChars="200"/>
      </w:pPr>
      <w:r>
        <w:rPr>
          <w:rFonts w:ascii="Times New Roman" w:hAnsi="Times New Roman" w:eastAsia="仿宋"/>
          <w:b w:val="0"/>
          <w:color w:val="000000"/>
          <w:sz w:val="32"/>
        </w:rPr>
        <w:t>12.城乡社区（类）城乡社区公共设施（款）小城镇基础设施建设（项）：支出决算为1149.96万元，完成预算100%。</w:t>
      </w:r>
    </w:p>
    <w:p w14:paraId="48B74EEA">
      <w:pPr>
        <w:spacing w:before="0" w:after="0" w:line="560" w:lineRule="exact"/>
        <w:ind w:firstLine="640" w:firstLineChars="200"/>
      </w:pPr>
      <w:r>
        <w:rPr>
          <w:rFonts w:ascii="Times New Roman" w:hAnsi="Times New Roman" w:eastAsia="仿宋"/>
          <w:b w:val="0"/>
          <w:color w:val="000000"/>
          <w:sz w:val="32"/>
        </w:rPr>
        <w:t>13.城乡社区（类）城乡社区公共设施（款）其他城乡社区公共设施支出（项）：支出决算为17661.88万元，完成预算100%。</w:t>
      </w:r>
    </w:p>
    <w:p w14:paraId="77C34CD6">
      <w:pPr>
        <w:spacing w:before="0" w:after="0" w:line="560" w:lineRule="exact"/>
        <w:ind w:firstLine="640" w:firstLineChars="200"/>
      </w:pPr>
      <w:r>
        <w:rPr>
          <w:rFonts w:ascii="Times New Roman" w:hAnsi="Times New Roman" w:eastAsia="仿宋"/>
          <w:b w:val="0"/>
          <w:color w:val="000000"/>
          <w:sz w:val="32"/>
        </w:rPr>
        <w:t>14.城乡社区（类）其他城乡社区支出（款）其他城乡社区支出（项）：支出决算为1334.85万元，完成预算100%。</w:t>
      </w:r>
    </w:p>
    <w:p w14:paraId="729606D5">
      <w:pPr>
        <w:spacing w:before="0" w:after="0" w:line="560" w:lineRule="exact"/>
        <w:ind w:firstLine="640" w:firstLineChars="200"/>
      </w:pPr>
      <w:r>
        <w:rPr>
          <w:rFonts w:ascii="Times New Roman" w:hAnsi="Times New Roman" w:eastAsia="仿宋"/>
          <w:b w:val="0"/>
          <w:color w:val="000000"/>
          <w:sz w:val="32"/>
        </w:rPr>
        <w:t>15.农林水（类）</w:t>
      </w:r>
      <w:r>
        <w:rPr>
          <w:rFonts w:hint="eastAsia" w:ascii="Times New Roman" w:hAnsi="Times New Roman" w:eastAsia="仿宋"/>
          <w:b w:val="0"/>
          <w:color w:val="000000"/>
          <w:sz w:val="32"/>
        </w:rPr>
        <w:t>巩固拓展脱贫攻坚成果</w:t>
      </w:r>
      <w:r>
        <w:rPr>
          <w:rFonts w:ascii="Times New Roman" w:hAnsi="Times New Roman" w:eastAsia="仿宋"/>
          <w:b w:val="0"/>
          <w:color w:val="000000"/>
          <w:sz w:val="32"/>
        </w:rPr>
        <w:t>衔接乡村振兴（款）农村基础设施建设（项）：支出决算为424.83万元，完成预算100%。</w:t>
      </w:r>
    </w:p>
    <w:p w14:paraId="4DA5173B">
      <w:pPr>
        <w:spacing w:before="0" w:after="0" w:line="560" w:lineRule="exact"/>
        <w:ind w:firstLine="640" w:firstLineChars="200"/>
      </w:pPr>
      <w:r>
        <w:rPr>
          <w:rFonts w:ascii="Times New Roman" w:hAnsi="Times New Roman" w:eastAsia="仿宋"/>
          <w:b w:val="0"/>
          <w:color w:val="000000"/>
          <w:sz w:val="32"/>
        </w:rPr>
        <w:t>16.农林水（类）</w:t>
      </w:r>
      <w:r>
        <w:rPr>
          <w:rFonts w:hint="eastAsia" w:ascii="Times New Roman" w:hAnsi="Times New Roman" w:eastAsia="仿宋"/>
          <w:b w:val="0"/>
          <w:color w:val="000000"/>
          <w:sz w:val="32"/>
        </w:rPr>
        <w:t>巩固拓展脱贫攻坚成果</w:t>
      </w:r>
      <w:bookmarkStart w:id="67" w:name="_GoBack"/>
      <w:bookmarkEnd w:id="67"/>
      <w:r>
        <w:rPr>
          <w:rFonts w:ascii="Times New Roman" w:hAnsi="Times New Roman" w:eastAsia="仿宋"/>
          <w:b w:val="0"/>
          <w:color w:val="000000"/>
          <w:sz w:val="32"/>
        </w:rPr>
        <w:t>衔接乡村振兴（款）生产发展（项）：支出决算为2850.48万元，完成预算100%。</w:t>
      </w:r>
    </w:p>
    <w:p w14:paraId="7B33BAB1">
      <w:pPr>
        <w:spacing w:before="0" w:after="0" w:line="560" w:lineRule="exact"/>
        <w:ind w:firstLine="640" w:firstLineChars="200"/>
      </w:pPr>
      <w:r>
        <w:rPr>
          <w:rFonts w:ascii="Times New Roman" w:hAnsi="Times New Roman" w:eastAsia="仿宋"/>
          <w:b w:val="0"/>
          <w:color w:val="000000"/>
          <w:sz w:val="32"/>
        </w:rPr>
        <w:t>17.住房保障（类）保障性安居工程支出（款）农村危房改造（项）：支出决算为31.56万元，完成预算100%。</w:t>
      </w:r>
    </w:p>
    <w:p w14:paraId="233D2E53">
      <w:pPr>
        <w:spacing w:before="0" w:after="0" w:line="560" w:lineRule="exact"/>
        <w:ind w:firstLine="640" w:firstLineChars="200"/>
      </w:pPr>
      <w:r>
        <w:rPr>
          <w:rFonts w:ascii="Times New Roman" w:hAnsi="Times New Roman" w:eastAsia="仿宋"/>
          <w:b w:val="0"/>
          <w:color w:val="000000"/>
          <w:sz w:val="32"/>
        </w:rPr>
        <w:t>18.住房保障（类）保障性安居工程支出（款）老旧小区改造（项）：支出决算为353.34万元，完成预算100%。</w:t>
      </w:r>
    </w:p>
    <w:p w14:paraId="00B66101">
      <w:pPr>
        <w:spacing w:line="600" w:lineRule="exact"/>
        <w:ind w:firstLine="640"/>
        <w:rPr>
          <w:rFonts w:ascii="Times New Roman" w:hAnsi="Times New Roman" w:eastAsia="仿宋"/>
          <w:b w:val="0"/>
          <w:color w:val="000000"/>
          <w:sz w:val="32"/>
        </w:rPr>
      </w:pPr>
      <w:r>
        <w:rPr>
          <w:rFonts w:ascii="Times New Roman" w:hAnsi="Times New Roman" w:eastAsia="仿宋"/>
          <w:b w:val="0"/>
          <w:color w:val="000000"/>
          <w:sz w:val="32"/>
        </w:rPr>
        <w:t>19.住房保障（类）住房改革支出（款）住房公积金（项）：支出决算为18.23万元，完成预算100%。</w:t>
      </w:r>
    </w:p>
    <w:p w14:paraId="687757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6301E7C">
      <w:pPr>
        <w:tabs>
          <w:tab w:val="right" w:pos="8306"/>
        </w:tabs>
        <w:spacing w:line="600" w:lineRule="exact"/>
        <w:ind w:firstLine="640"/>
        <w:outlineLvl w:val="1"/>
        <w:rPr>
          <w:rStyle w:val="30"/>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14:paraId="784C42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269.13</w:t>
      </w:r>
      <w:r>
        <w:rPr>
          <w:rFonts w:hint="eastAsia" w:ascii="Times New Roman" w:hAnsi="Times New Roman" w:eastAsia="仿宋_GB2312" w:cs="仿宋_GB2312"/>
          <w:color w:val="auto"/>
          <w:kern w:val="2"/>
          <w:sz w:val="32"/>
          <w:szCs w:val="32"/>
          <w:highlight w:val="none"/>
          <w:lang w:val="en-US" w:eastAsia="zh-CN" w:bidi="ar-SA"/>
        </w:rPr>
        <w:t>万元，其中：</w:t>
      </w:r>
    </w:p>
    <w:p w14:paraId="17BD853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ascii="Times New Roman" w:hAnsi="Times New Roman" w:eastAsia="仿宋"/>
          <w:b w:val="0"/>
          <w:color w:val="000000"/>
          <w:sz w:val="32"/>
        </w:rPr>
        <w:t>人员经费239.57万元，主要包括：基本工资42.46万元、津贴补贴60.74万元、奖金52.61万元、机关事业单位基本养老保险缴费23.31万元、职业年金缴费11.24万元、职工基本医疗保险缴费10.26万元、公务员医疗补助缴费1.93万元、其他社会保障缴费0.44万元、住房公积金18.23万元、医疗费1.38万元、生活补助16.97万元。</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29.57</w:t>
      </w:r>
      <w:r>
        <w:rPr>
          <w:rFonts w:hint="eastAsia" w:ascii="Times New Roman" w:hAnsi="Times New Roman" w:eastAsia="仿宋_GB2312" w:cs="仿宋_GB2312"/>
          <w:color w:val="auto"/>
          <w:kern w:val="2"/>
          <w:sz w:val="32"/>
          <w:szCs w:val="32"/>
          <w:highlight w:val="none"/>
          <w:lang w:val="en-US" w:eastAsia="zh-CN" w:bidi="ar-SA"/>
        </w:rPr>
        <w:t>万元，主要包括：</w:t>
      </w:r>
      <w:r>
        <w:rPr>
          <w:rFonts w:ascii="Times New Roman" w:hAnsi="Times New Roman" w:eastAsia="仿宋"/>
          <w:b w:val="0"/>
          <w:color w:val="000000"/>
          <w:sz w:val="32"/>
        </w:rPr>
        <w:t>办公费7.21万元、水费0.20万元、电费0.60万元、邮电费0.30万元、差旅费2.04万元、维修（护）费0.20万元、劳务费1.20万元、工会经费2.01万元、福利费4.16万元、公务用车运行维护费10.00万元、其他商品和服务支出1.65万元。</w:t>
      </w:r>
    </w:p>
    <w:p w14:paraId="5E63E8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233137B">
      <w:pPr>
        <w:spacing w:line="600" w:lineRule="exact"/>
        <w:ind w:firstLine="640"/>
        <w:outlineLvl w:val="1"/>
        <w:rPr>
          <w:rStyle w:val="30"/>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6"/>
      <w:bookmarkEnd w:id="37"/>
    </w:p>
    <w:p w14:paraId="0BFD634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17F0FE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946628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3AA60B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w:t>
      </w:r>
      <w:r>
        <w:rPr>
          <w:rFonts w:hint="eastAsia"/>
          <w:lang w:val="en-US" w:eastAsia="zh-CN"/>
        </w:rPr>
        <w:drawing>
          <wp:anchor distT="0" distB="0" distL="114300" distR="114300" simplePos="0" relativeHeight="251664384" behindDoc="0" locked="0" layoutInCell="1" allowOverlap="1">
            <wp:simplePos x="0" y="0"/>
            <wp:positionH relativeFrom="column">
              <wp:posOffset>147955</wp:posOffset>
            </wp:positionH>
            <wp:positionV relativeFrom="paragraph">
              <wp:posOffset>2105660</wp:posOffset>
            </wp:positionV>
            <wp:extent cx="5256530" cy="2988310"/>
            <wp:effectExtent l="5080" t="4445" r="15240" b="17145"/>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60A29C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49F10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4244D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636E6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CC2E22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6F209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2A8ACB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ascii="Times New Roman" w:hAnsi="Times New Roman" w:eastAsia="仿宋"/>
          <w:b w:val="0"/>
          <w:color w:val="000000"/>
          <w:sz w:val="32"/>
        </w:rPr>
        <w:t>无变化</w:t>
      </w:r>
      <w:r>
        <w:rPr>
          <w:rFonts w:hint="eastAsia" w:ascii="Times New Roman" w:hAnsi="Times New Roman" w:eastAsia="仿宋_GB2312" w:cs="仿宋_GB2312"/>
          <w:color w:val="auto"/>
          <w:kern w:val="2"/>
          <w:sz w:val="32"/>
          <w:szCs w:val="32"/>
          <w:highlight w:val="none"/>
          <w:lang w:val="en-US" w:eastAsia="zh-CN" w:bidi="ar-SA"/>
        </w:rPr>
        <w:t>。</w:t>
      </w:r>
    </w:p>
    <w:p w14:paraId="7116CC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EC9E8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w:t>
      </w:r>
    </w:p>
    <w:p w14:paraId="053919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ascii="Times New Roman" w:hAnsi="Times New Roman" w:eastAsia="仿宋"/>
          <w:b w:val="0"/>
          <w:color w:val="000000"/>
          <w:sz w:val="32"/>
        </w:rPr>
        <w:t>城乡建设巡查、项目现场督查、应急处置等工作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28B69B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ascii="Times New Roman" w:hAnsi="Times New Roman" w:eastAsia="仿宋"/>
          <w:b w:val="0"/>
          <w:color w:val="000000"/>
          <w:sz w:val="32"/>
        </w:rPr>
        <w:t>无变化</w:t>
      </w:r>
      <w:r>
        <w:rPr>
          <w:rFonts w:hint="eastAsia" w:ascii="Times New Roman" w:hAnsi="Times New Roman" w:eastAsia="仿宋"/>
          <w:b w:val="0"/>
          <w:color w:val="000000"/>
          <w:sz w:val="32"/>
          <w:lang w:eastAsia="zh-CN"/>
        </w:rPr>
        <w:t>。</w:t>
      </w:r>
      <w:r>
        <w:rPr>
          <w:rFonts w:hint="eastAsia" w:ascii="Times New Roman" w:hAnsi="Times New Roman" w:eastAsia="仿宋_GB2312" w:cs="仿宋_GB2312"/>
          <w:color w:val="auto"/>
          <w:kern w:val="2"/>
          <w:sz w:val="32"/>
          <w:szCs w:val="32"/>
          <w:highlight w:val="none"/>
          <w:lang w:val="en-US" w:eastAsia="zh-CN" w:bidi="ar-SA"/>
        </w:rPr>
        <w:t>其中：</w:t>
      </w:r>
    </w:p>
    <w:p w14:paraId="532B07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1AE9C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236F3F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77218"/>
      <w:bookmarkStart w:id="41" w:name="_Toc15396610"/>
    </w:p>
    <w:p w14:paraId="69C26BE7">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0"/>
      <w:bookmarkEnd w:id="41"/>
    </w:p>
    <w:p w14:paraId="28FF3418">
      <w:pPr>
        <w:spacing w:line="600" w:lineRule="exact"/>
        <w:ind w:firstLine="640"/>
        <w:rPr>
          <w:rFonts w:ascii="Times New Roman" w:hAnsi="Times New Roman" w:eastAsia="仿宋"/>
          <w:b w:val="0"/>
          <w:color w:val="000000"/>
          <w:sz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8100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19.9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8100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ascii="Times New Roman" w:hAnsi="Times New Roman" w:eastAsia="仿宋"/>
          <w:b w:val="0"/>
          <w:color w:val="000000"/>
          <w:sz w:val="32"/>
        </w:rPr>
        <w:t>本年度新增专项债券资金，用于其他地方自行试点项目收益专项债券收入安排的支出6800万元、其他政府性基金债务收入安排的支出1300万元，主要用于城乡基础设施建设。</w:t>
      </w:r>
    </w:p>
    <w:p w14:paraId="63514B55">
      <w:pPr>
        <w:spacing w:line="600" w:lineRule="exact"/>
        <w:ind w:firstLine="640"/>
        <w:rPr>
          <w:rFonts w:hint="eastAsia" w:ascii="Times New Roman" w:hAnsi="Times New Roman" w:eastAsia="仿宋"/>
          <w:b w:val="0"/>
          <w:color w:val="000000"/>
          <w:sz w:val="32"/>
          <w:lang w:val="en-US" w:eastAsia="zh-CN"/>
        </w:rPr>
      </w:pPr>
    </w:p>
    <w:p w14:paraId="077F6D45">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2" w:name="_Toc15396611"/>
      <w:bookmarkStart w:id="43"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2"/>
      <w:bookmarkEnd w:id="43"/>
    </w:p>
    <w:p w14:paraId="57747A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，无变化。</w:t>
      </w:r>
    </w:p>
    <w:p w14:paraId="0CC4BEF6">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4" w:name="_Toc15396612"/>
      <w:bookmarkStart w:id="45"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4"/>
      <w:bookmarkEnd w:id="45"/>
    </w:p>
    <w:p w14:paraId="033BDCB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5D9FBF90">
      <w:pPr>
        <w:spacing w:before="0" w:after="0" w:line="560" w:lineRule="exact"/>
        <w:ind w:firstLine="640" w:firstLineChars="200"/>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阿坝州若尔盖县住房和城乡建设局（本级）</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29.57</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8.12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37.86</w:t>
      </w:r>
      <w:r>
        <w:rPr>
          <w:rFonts w:hint="eastAsia" w:ascii="Times New Roman" w:hAnsi="Times New Roman" w:eastAsia="仿宋_GB2312" w:cs="仿宋_GB2312"/>
          <w:color w:val="auto"/>
          <w:kern w:val="2"/>
          <w:sz w:val="32"/>
          <w:szCs w:val="32"/>
          <w:highlight w:val="none"/>
          <w:lang w:val="en-US" w:eastAsia="zh-CN" w:bidi="ar-SA"/>
        </w:rPr>
        <w:t>%主要原因是</w:t>
      </w:r>
      <w:r>
        <w:rPr>
          <w:rFonts w:ascii="Times New Roman" w:hAnsi="Times New Roman" w:eastAsia="仿宋"/>
          <w:b w:val="0"/>
          <w:color w:val="000000"/>
          <w:sz w:val="32"/>
        </w:rPr>
        <w:t>人员增加、业务开展相关公用经费支出增加。</w:t>
      </w:r>
    </w:p>
    <w:p w14:paraId="62D14F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AC844E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3ABF4C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阿坝州若尔盖县住房和城乡建设局（本级）</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886.66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886.66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s="仿宋_GB2312"/>
          <w:sz w:val="32"/>
          <w:szCs w:val="32"/>
          <w:lang w:val="en-US" w:eastAsia="zh-CN" w:bidi="ar-SA"/>
        </w:rPr>
        <w:t>占政府采购支出总额的100%，</w:t>
      </w:r>
      <w:r>
        <w:rPr>
          <w:rFonts w:ascii="Times New Roman" w:hAnsi="Times New Roman" w:eastAsia="仿宋"/>
          <w:b w:val="0"/>
          <w:color w:val="000000"/>
          <w:sz w:val="32"/>
        </w:rPr>
        <w:t>主要用于城乡基础设施建设项目。</w:t>
      </w:r>
      <w:r>
        <w:rPr>
          <w:rFonts w:hint="eastAsia" w:ascii="Times New Roman" w:hAnsi="Times New Roman" w:eastAsia="仿宋_GB2312" w:cs="仿宋_GB2312"/>
          <w:color w:val="auto"/>
          <w:kern w:val="2"/>
          <w:sz w:val="32"/>
          <w:szCs w:val="32"/>
          <w:highlight w:val="none"/>
          <w:lang w:val="en-US" w:eastAsia="zh-CN" w:bidi="ar-SA"/>
        </w:rPr>
        <w:t>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5B5D21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5874E7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763C6F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阿坝州若尔盖县住房和城乡建设局（本级）</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ascii="Times New Roman" w:hAnsi="Times New Roman" w:eastAsia="仿宋"/>
          <w:b w:val="0"/>
          <w:color w:val="000000"/>
          <w:sz w:val="32"/>
        </w:rPr>
        <w:t>城乡建设巡查、项目督查、下乡业务工作等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4A290E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57137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71C1C4E">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在2025年度，组织对若尔盖县集镇供水管网建设项目等</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个项目开展了事前绩效评估，对</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w:t>
      </w:r>
    </w:p>
    <w:p w14:paraId="1B8036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若尔盖县达扎寺镇供水管网提升改造建设项目部门预算绩效自评报告、若尔盖县达扎寺镇供水管网提升改造建设项目等专项预算项目绩效自评报告，若尔盖县达扎寺镇供水管网提升改造建设项目部门预算绩效自评得分为</w:t>
      </w:r>
      <w:r>
        <w:rPr>
          <w:rFonts w:hint="eastAsia" w:eastAsia="仿宋_GB2312" w:cs="仿宋_GB2312"/>
          <w:color w:val="auto"/>
          <w:kern w:val="2"/>
          <w:sz w:val="32"/>
          <w:szCs w:val="32"/>
          <w:highlight w:val="none"/>
          <w:lang w:val="en-US" w:eastAsia="zh-CN" w:bidi="ar-SA"/>
        </w:rPr>
        <w:t>96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ascii="仿宋_GB2312" w:eastAsia="仿宋_GB2312" w:cs="仿宋_GB2312"/>
          <w:color w:val="auto"/>
          <w:kern w:val="2"/>
          <w:sz w:val="32"/>
          <w:szCs w:val="32"/>
          <w:highlight w:val="none"/>
          <w:lang w:val="en-US" w:eastAsia="zh-CN" w:bidi="ar-SA"/>
        </w:rPr>
        <w:t>整体绩效评价较好</w:t>
      </w:r>
      <w:r>
        <w:rPr>
          <w:rFonts w:hint="eastAsia" w:ascii="Times New Roman" w:hAnsi="Times New Roman" w:eastAsia="仿宋_GB2312" w:cs="仿宋_GB2312"/>
          <w:color w:val="auto"/>
          <w:kern w:val="2"/>
          <w:sz w:val="32"/>
          <w:szCs w:val="32"/>
          <w:highlight w:val="none"/>
          <w:lang w:val="en-US" w:eastAsia="zh-CN" w:bidi="ar-SA"/>
        </w:rPr>
        <w:t>。</w:t>
      </w:r>
    </w:p>
    <w:p w14:paraId="50541D20">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4739E82F">
      <w:pPr>
        <w:spacing w:line="600" w:lineRule="exact"/>
        <w:jc w:val="left"/>
        <w:rPr>
          <w:rFonts w:ascii="Times New Roman" w:hAnsi="Times New Roman"/>
          <w:b/>
          <w:color w:val="auto"/>
          <w:sz w:val="44"/>
          <w:szCs w:val="44"/>
          <w:highlight w:val="none"/>
        </w:rPr>
      </w:pPr>
    </w:p>
    <w:p w14:paraId="51ED0FA3">
      <w:pPr>
        <w:spacing w:before="0" w:after="0" w:line="560" w:lineRule="exact"/>
        <w:ind w:firstLine="640" w:firstLineChars="200"/>
      </w:pPr>
      <w:r>
        <w:rPr>
          <w:rFonts w:ascii="Times New Roman" w:hAnsi="Times New Roman" w:eastAsia="仿宋"/>
          <w:b w:val="0"/>
          <w:color w:val="000000"/>
          <w:sz w:val="32"/>
        </w:rPr>
        <w:t>1.财政拨款收入：指单位从同级财政部门取得的财政预算资金。</w:t>
      </w:r>
    </w:p>
    <w:p w14:paraId="07803678">
      <w:pPr>
        <w:spacing w:before="0" w:after="0" w:line="560" w:lineRule="exact"/>
        <w:ind w:firstLine="640" w:firstLineChars="200"/>
      </w:pPr>
      <w:r>
        <w:rPr>
          <w:rFonts w:ascii="Times New Roman" w:hAnsi="Times New Roman" w:eastAsia="仿宋"/>
          <w:b w:val="0"/>
          <w:color w:val="000000"/>
          <w:sz w:val="32"/>
        </w:rPr>
        <w:t>2.事业收入：指事业单位开展专业业务活动及辅助活动取得的收入。</w:t>
      </w:r>
    </w:p>
    <w:p w14:paraId="52282A9A">
      <w:pPr>
        <w:spacing w:before="0" w:after="0" w:line="560" w:lineRule="exact"/>
        <w:ind w:firstLine="640" w:firstLineChars="200"/>
      </w:pPr>
      <w:r>
        <w:rPr>
          <w:rFonts w:ascii="Times New Roman" w:hAnsi="Times New Roman" w:eastAsia="仿宋"/>
          <w:b w:val="0"/>
          <w:color w:val="000000"/>
          <w:sz w:val="32"/>
        </w:rPr>
        <w:t>3.经营收入：指事业单位在专业业务活动及其辅助活动之外开展非独立核算经营活动取得的收入。</w:t>
      </w:r>
    </w:p>
    <w:p w14:paraId="2C6A83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4.其他收入：指单位取得的除上述收入以外的各项收入。</w:t>
      </w:r>
      <w:r>
        <w:rPr>
          <w:rFonts w:hint="eastAsia" w:ascii="Times New Roman" w:hAnsi="Times New Roman" w:eastAsia="仿宋_GB2312" w:cs="仿宋_GB2312"/>
          <w:color w:val="auto"/>
          <w:kern w:val="2"/>
          <w:sz w:val="32"/>
          <w:szCs w:val="32"/>
          <w:highlight w:val="none"/>
          <w:lang w:val="en-US" w:eastAsia="zh-CN" w:bidi="ar-SA"/>
        </w:rPr>
        <w:t xml:space="preserve"> </w:t>
      </w:r>
    </w:p>
    <w:p w14:paraId="79D60B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5A5980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90E21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F42C5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2F924EA3">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cs="黑体"/>
          <w:color w:val="auto"/>
          <w:sz w:val="32"/>
          <w:szCs w:val="32"/>
          <w:lang w:val="en-US" w:eastAsia="zh-CN" w:bidi="ar-SA"/>
        </w:rPr>
        <w:t>9.</w:t>
      </w:r>
      <w:r>
        <w:rPr>
          <w:rFonts w:hint="eastAsia" w:ascii="仿宋_GB2312" w:eastAsia="仿宋_GB2312"/>
          <w:sz w:val="32"/>
          <w:szCs w:val="32"/>
        </w:rPr>
        <w:t>一般公共服务</w:t>
      </w:r>
      <w:r>
        <w:rPr>
          <w:rFonts w:hint="eastAsia" w:ascii="仿宋_GB2312" w:eastAsia="仿宋_GB2312"/>
          <w:sz w:val="32"/>
          <w:szCs w:val="32"/>
          <w:lang w:val="en-US" w:eastAsia="zh-CN"/>
        </w:rPr>
        <w:t>201</w:t>
      </w:r>
      <w:r>
        <w:rPr>
          <w:rFonts w:hint="eastAsia" w:ascii="仿宋_GB2312" w:eastAsia="仿宋_GB2312"/>
          <w:sz w:val="32"/>
          <w:szCs w:val="32"/>
        </w:rPr>
        <w:t>（类）</w:t>
      </w:r>
      <w:r>
        <w:rPr>
          <w:rFonts w:hint="eastAsia" w:ascii="仿宋_GB2312" w:eastAsia="仿宋_GB2312"/>
          <w:sz w:val="32"/>
          <w:szCs w:val="32"/>
          <w:lang w:val="en-US" w:eastAsia="zh-CN"/>
        </w:rPr>
        <w:t>03</w:t>
      </w:r>
      <w:r>
        <w:rPr>
          <w:rFonts w:hint="eastAsia" w:ascii="仿宋_GB2312" w:eastAsia="仿宋_GB2312"/>
          <w:sz w:val="32"/>
          <w:szCs w:val="32"/>
        </w:rPr>
        <w:t>（款）</w:t>
      </w:r>
      <w:r>
        <w:rPr>
          <w:rFonts w:hint="eastAsia" w:ascii="仿宋_GB2312" w:eastAsia="仿宋_GB2312"/>
          <w:sz w:val="32"/>
          <w:szCs w:val="32"/>
          <w:lang w:val="en-US" w:eastAsia="zh-CN"/>
        </w:rPr>
        <w:t>01</w:t>
      </w:r>
      <w:r>
        <w:rPr>
          <w:rFonts w:hint="eastAsia" w:ascii="仿宋_GB2312" w:eastAsia="仿宋_GB2312"/>
          <w:sz w:val="32"/>
          <w:szCs w:val="32"/>
        </w:rPr>
        <w:t>（项）</w:t>
      </w:r>
      <w:r>
        <w:rPr>
          <w:rFonts w:hint="eastAsia" w:ascii="仿宋_GB2312" w:eastAsia="仿宋_GB2312"/>
          <w:sz w:val="32"/>
          <w:szCs w:val="32"/>
          <w:lang w:eastAsia="zh-CN"/>
        </w:rPr>
        <w:t>：指反映行政事业单位的基本支出。</w:t>
      </w:r>
    </w:p>
    <w:p w14:paraId="24B8CF76">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10.</w:t>
      </w:r>
      <w:r>
        <w:rPr>
          <w:rFonts w:hint="eastAsia" w:ascii="仿宋_GB2312" w:eastAsia="仿宋_GB2312"/>
          <w:sz w:val="32"/>
          <w:szCs w:val="32"/>
        </w:rPr>
        <w:t>一般公共服务</w:t>
      </w:r>
      <w:r>
        <w:rPr>
          <w:rFonts w:hint="eastAsia" w:ascii="仿宋_GB2312" w:eastAsia="仿宋_GB2312"/>
          <w:sz w:val="32"/>
          <w:szCs w:val="32"/>
          <w:lang w:val="en-US" w:eastAsia="zh-CN"/>
        </w:rPr>
        <w:t>201</w:t>
      </w:r>
      <w:r>
        <w:rPr>
          <w:rFonts w:hint="eastAsia" w:ascii="仿宋_GB2312" w:eastAsia="仿宋_GB2312"/>
          <w:sz w:val="32"/>
          <w:szCs w:val="32"/>
        </w:rPr>
        <w:t>（类）</w:t>
      </w:r>
      <w:r>
        <w:rPr>
          <w:rFonts w:hint="eastAsia" w:ascii="仿宋_GB2312" w:eastAsia="仿宋_GB2312"/>
          <w:sz w:val="32"/>
          <w:szCs w:val="32"/>
          <w:lang w:val="en-US" w:eastAsia="zh-CN"/>
        </w:rPr>
        <w:t>03</w:t>
      </w:r>
      <w:r>
        <w:rPr>
          <w:rFonts w:hint="eastAsia" w:ascii="仿宋_GB2312" w:eastAsia="仿宋_GB2312"/>
          <w:sz w:val="32"/>
          <w:szCs w:val="32"/>
        </w:rPr>
        <w:t>（款）</w:t>
      </w:r>
      <w:r>
        <w:rPr>
          <w:rFonts w:hint="eastAsia" w:ascii="仿宋_GB2312" w:eastAsia="仿宋_GB2312"/>
          <w:sz w:val="32"/>
          <w:szCs w:val="32"/>
          <w:lang w:val="en-US" w:eastAsia="zh-CN"/>
        </w:rPr>
        <w:t>02</w:t>
      </w:r>
      <w:r>
        <w:rPr>
          <w:rFonts w:hint="eastAsia" w:ascii="仿宋_GB2312" w:eastAsia="仿宋_GB2312"/>
          <w:sz w:val="32"/>
          <w:szCs w:val="32"/>
        </w:rPr>
        <w:t>（项）</w:t>
      </w:r>
      <w:r>
        <w:rPr>
          <w:rFonts w:hint="eastAsia" w:ascii="仿宋_GB2312" w:eastAsia="仿宋_GB2312"/>
          <w:sz w:val="32"/>
          <w:szCs w:val="32"/>
          <w:lang w:eastAsia="zh-CN"/>
        </w:rPr>
        <w:t>：指反映行政事业单位未单独设置项级科目的其他项目支出。</w:t>
      </w:r>
    </w:p>
    <w:p w14:paraId="4929368E">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11.</w:t>
      </w:r>
      <w:r>
        <w:rPr>
          <w:rFonts w:hint="eastAsia" w:ascii="仿宋_GB2312" w:eastAsia="仿宋_GB2312"/>
          <w:sz w:val="32"/>
          <w:szCs w:val="32"/>
        </w:rPr>
        <w:t>一般公共服务</w:t>
      </w:r>
      <w:r>
        <w:rPr>
          <w:rFonts w:hint="eastAsia" w:ascii="仿宋_GB2312" w:eastAsia="仿宋_GB2312"/>
          <w:sz w:val="32"/>
          <w:szCs w:val="32"/>
          <w:lang w:val="en-US" w:eastAsia="zh-CN"/>
        </w:rPr>
        <w:t>201</w:t>
      </w:r>
      <w:r>
        <w:rPr>
          <w:rFonts w:hint="eastAsia" w:ascii="仿宋_GB2312" w:eastAsia="仿宋_GB2312"/>
          <w:sz w:val="32"/>
          <w:szCs w:val="32"/>
        </w:rPr>
        <w:t>（类）</w:t>
      </w:r>
      <w:r>
        <w:rPr>
          <w:rFonts w:hint="eastAsia" w:ascii="仿宋_GB2312" w:eastAsia="仿宋_GB2312"/>
          <w:sz w:val="32"/>
          <w:szCs w:val="32"/>
          <w:lang w:val="en-US" w:eastAsia="zh-CN"/>
        </w:rPr>
        <w:t>03</w:t>
      </w:r>
      <w:r>
        <w:rPr>
          <w:rFonts w:hint="eastAsia" w:ascii="仿宋_GB2312" w:eastAsia="仿宋_GB2312"/>
          <w:sz w:val="32"/>
          <w:szCs w:val="32"/>
        </w:rPr>
        <w:t>（款）</w:t>
      </w:r>
      <w:r>
        <w:rPr>
          <w:rFonts w:hint="eastAsia" w:ascii="仿宋_GB2312" w:eastAsia="仿宋_GB2312"/>
          <w:sz w:val="32"/>
          <w:szCs w:val="32"/>
          <w:lang w:val="en-US" w:eastAsia="zh-CN"/>
        </w:rPr>
        <w:t>50</w:t>
      </w:r>
      <w:r>
        <w:rPr>
          <w:rFonts w:hint="eastAsia" w:ascii="仿宋_GB2312" w:eastAsia="仿宋_GB2312"/>
          <w:sz w:val="32"/>
          <w:szCs w:val="32"/>
        </w:rPr>
        <w:t>（项）</w:t>
      </w:r>
      <w:r>
        <w:rPr>
          <w:rFonts w:hint="eastAsia" w:ascii="仿宋_GB2312" w:eastAsia="仿宋_GB2312"/>
          <w:sz w:val="32"/>
          <w:szCs w:val="32"/>
          <w:lang w:eastAsia="zh-CN"/>
        </w:rPr>
        <w:t>：指反映事业单位的基本支出，不包括行政单位后勤服务中心、医务室等附属事业单位。</w:t>
      </w:r>
    </w:p>
    <w:p w14:paraId="0451D057">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12.</w:t>
      </w:r>
      <w:r>
        <w:rPr>
          <w:rFonts w:hint="eastAsia" w:ascii="仿宋_GB2312" w:eastAsia="仿宋_GB2312"/>
          <w:sz w:val="32"/>
          <w:szCs w:val="32"/>
        </w:rPr>
        <w:t>一般公共服务</w:t>
      </w:r>
      <w:r>
        <w:rPr>
          <w:rFonts w:hint="eastAsia" w:ascii="仿宋_GB2312" w:eastAsia="仿宋_GB2312"/>
          <w:sz w:val="32"/>
          <w:szCs w:val="32"/>
          <w:lang w:val="en-US" w:eastAsia="zh-CN"/>
        </w:rPr>
        <w:t>201</w:t>
      </w:r>
      <w:r>
        <w:rPr>
          <w:rFonts w:hint="eastAsia" w:ascii="仿宋_GB2312" w:eastAsia="仿宋_GB2312"/>
          <w:sz w:val="32"/>
          <w:szCs w:val="32"/>
        </w:rPr>
        <w:t>（类）</w:t>
      </w:r>
      <w:r>
        <w:rPr>
          <w:rFonts w:hint="eastAsia" w:ascii="仿宋_GB2312" w:eastAsia="仿宋_GB2312"/>
          <w:sz w:val="32"/>
          <w:szCs w:val="32"/>
          <w:lang w:val="en-US" w:eastAsia="zh-CN"/>
        </w:rPr>
        <w:t>34</w:t>
      </w:r>
      <w:r>
        <w:rPr>
          <w:rFonts w:hint="eastAsia" w:ascii="仿宋_GB2312" w:eastAsia="仿宋_GB2312"/>
          <w:sz w:val="32"/>
          <w:szCs w:val="32"/>
        </w:rPr>
        <w:t>（款）</w:t>
      </w:r>
      <w:r>
        <w:rPr>
          <w:rFonts w:hint="eastAsia" w:ascii="仿宋_GB2312" w:eastAsia="仿宋_GB2312"/>
          <w:sz w:val="32"/>
          <w:szCs w:val="32"/>
          <w:lang w:val="en-US" w:eastAsia="zh-CN"/>
        </w:rPr>
        <w:t>04</w:t>
      </w:r>
      <w:r>
        <w:rPr>
          <w:rFonts w:hint="eastAsia" w:ascii="仿宋_GB2312" w:eastAsia="仿宋_GB2312"/>
          <w:sz w:val="32"/>
          <w:szCs w:val="32"/>
        </w:rPr>
        <w:t>（项）</w:t>
      </w:r>
      <w:r>
        <w:rPr>
          <w:rFonts w:hint="eastAsia" w:ascii="仿宋_GB2312" w:eastAsia="仿宋_GB2312"/>
          <w:sz w:val="32"/>
          <w:szCs w:val="32"/>
          <w:lang w:eastAsia="zh-CN"/>
        </w:rPr>
        <w:t>：指反映用于宗教事务管理方面的支出。</w:t>
      </w:r>
    </w:p>
    <w:p w14:paraId="62702D6F">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13.</w:t>
      </w:r>
      <w:r>
        <w:rPr>
          <w:rFonts w:hint="eastAsia" w:ascii="仿宋_GB2312" w:eastAsia="仿宋_GB2312"/>
          <w:sz w:val="32"/>
          <w:szCs w:val="32"/>
        </w:rPr>
        <w:t>公共安全</w:t>
      </w:r>
      <w:r>
        <w:rPr>
          <w:rFonts w:hint="eastAsia" w:ascii="仿宋_GB2312" w:eastAsia="仿宋_GB2312"/>
          <w:sz w:val="32"/>
          <w:szCs w:val="32"/>
          <w:lang w:val="en-US" w:eastAsia="zh-CN"/>
        </w:rPr>
        <w:t>204</w:t>
      </w:r>
      <w:r>
        <w:rPr>
          <w:rFonts w:hint="eastAsia" w:ascii="仿宋_GB2312" w:eastAsia="仿宋_GB2312"/>
          <w:sz w:val="32"/>
          <w:szCs w:val="32"/>
        </w:rPr>
        <w:t>（类）</w:t>
      </w:r>
      <w:r>
        <w:rPr>
          <w:rFonts w:hint="eastAsia" w:ascii="仿宋_GB2312" w:eastAsia="仿宋_GB2312"/>
          <w:sz w:val="32"/>
          <w:szCs w:val="32"/>
          <w:lang w:val="en-US" w:eastAsia="zh-CN"/>
        </w:rPr>
        <w:t>99</w:t>
      </w:r>
      <w:r>
        <w:rPr>
          <w:rFonts w:hint="eastAsia" w:ascii="仿宋_GB2312" w:eastAsia="仿宋_GB2312"/>
          <w:sz w:val="32"/>
          <w:szCs w:val="32"/>
        </w:rPr>
        <w:t>（款）</w:t>
      </w:r>
      <w:r>
        <w:rPr>
          <w:rFonts w:hint="eastAsia" w:ascii="仿宋_GB2312" w:eastAsia="仿宋_GB2312"/>
          <w:sz w:val="32"/>
          <w:szCs w:val="32"/>
          <w:lang w:val="en-US" w:eastAsia="zh-CN"/>
        </w:rPr>
        <w:t>99</w:t>
      </w:r>
      <w:r>
        <w:rPr>
          <w:rFonts w:hint="eastAsia" w:ascii="仿宋_GB2312" w:eastAsia="仿宋_GB2312"/>
          <w:sz w:val="32"/>
          <w:szCs w:val="32"/>
        </w:rPr>
        <w:t>（项）：</w:t>
      </w:r>
      <w:r>
        <w:rPr>
          <w:rFonts w:hint="eastAsia" w:ascii="仿宋_GB2312" w:eastAsia="仿宋_GB2312"/>
          <w:sz w:val="32"/>
          <w:szCs w:val="32"/>
          <w:lang w:eastAsia="zh-CN"/>
        </w:rPr>
        <w:t>指反映政府维护社会公共安全方面以外其他用于公共安全方面的支出。</w:t>
      </w:r>
    </w:p>
    <w:p w14:paraId="37A07ABE">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14.</w:t>
      </w:r>
      <w:r>
        <w:rPr>
          <w:rFonts w:hint="eastAsia" w:ascii="仿宋_GB2312" w:eastAsia="仿宋_GB2312"/>
          <w:sz w:val="32"/>
          <w:szCs w:val="32"/>
        </w:rPr>
        <w:t>社会保障和就业</w:t>
      </w:r>
      <w:r>
        <w:rPr>
          <w:rFonts w:hint="eastAsia" w:ascii="仿宋_GB2312" w:eastAsia="仿宋_GB2312"/>
          <w:sz w:val="32"/>
          <w:szCs w:val="32"/>
          <w:lang w:val="en-US" w:eastAsia="zh-CN"/>
        </w:rPr>
        <w:t>208</w:t>
      </w:r>
      <w:r>
        <w:rPr>
          <w:rFonts w:hint="eastAsia" w:ascii="仿宋_GB2312" w:eastAsia="仿宋_GB2312"/>
          <w:sz w:val="32"/>
          <w:szCs w:val="32"/>
        </w:rPr>
        <w:t>（类）</w:t>
      </w:r>
      <w:r>
        <w:rPr>
          <w:rFonts w:hint="eastAsia" w:ascii="仿宋_GB2312" w:eastAsia="仿宋_GB2312"/>
          <w:sz w:val="32"/>
          <w:szCs w:val="32"/>
          <w:lang w:val="en-US" w:eastAsia="zh-CN"/>
        </w:rPr>
        <w:t>05</w:t>
      </w:r>
      <w:r>
        <w:rPr>
          <w:rFonts w:hint="eastAsia" w:ascii="仿宋_GB2312" w:eastAsia="仿宋_GB2312"/>
          <w:sz w:val="32"/>
          <w:szCs w:val="32"/>
        </w:rPr>
        <w:t>（款）</w:t>
      </w:r>
      <w:r>
        <w:rPr>
          <w:rFonts w:hint="eastAsia" w:ascii="仿宋_GB2312" w:eastAsia="仿宋_GB2312"/>
          <w:sz w:val="32"/>
          <w:szCs w:val="32"/>
          <w:lang w:val="en-US" w:eastAsia="zh-CN"/>
        </w:rPr>
        <w:t>05</w:t>
      </w:r>
      <w:r>
        <w:rPr>
          <w:rFonts w:hint="eastAsia" w:ascii="仿宋_GB2312" w:eastAsia="仿宋_GB2312"/>
          <w:sz w:val="32"/>
          <w:szCs w:val="32"/>
        </w:rPr>
        <w:t>（项）：指</w:t>
      </w:r>
      <w:r>
        <w:rPr>
          <w:rFonts w:hint="eastAsia" w:ascii="仿宋_GB2312" w:eastAsia="仿宋_GB2312"/>
          <w:sz w:val="32"/>
          <w:szCs w:val="32"/>
          <w:lang w:eastAsia="zh-CN"/>
        </w:rPr>
        <w:t>反映机关事业单位实施养老保险制度由单位缴纳的基本养老保险费支出。</w:t>
      </w:r>
    </w:p>
    <w:p w14:paraId="7F4662CC">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15.</w:t>
      </w:r>
      <w:r>
        <w:rPr>
          <w:rFonts w:hint="eastAsia" w:ascii="仿宋_GB2312" w:eastAsia="仿宋_GB2312"/>
          <w:sz w:val="32"/>
          <w:szCs w:val="32"/>
        </w:rPr>
        <w:t>社会保障和就业</w:t>
      </w:r>
      <w:r>
        <w:rPr>
          <w:rFonts w:hint="eastAsia" w:ascii="仿宋_GB2312" w:eastAsia="仿宋_GB2312"/>
          <w:sz w:val="32"/>
          <w:szCs w:val="32"/>
          <w:lang w:val="en-US" w:eastAsia="zh-CN"/>
        </w:rPr>
        <w:t>208</w:t>
      </w:r>
      <w:r>
        <w:rPr>
          <w:rFonts w:hint="eastAsia" w:ascii="仿宋_GB2312" w:eastAsia="仿宋_GB2312"/>
          <w:sz w:val="32"/>
          <w:szCs w:val="32"/>
        </w:rPr>
        <w:t>（类）</w:t>
      </w:r>
      <w:r>
        <w:rPr>
          <w:rFonts w:hint="eastAsia" w:ascii="仿宋_GB2312" w:eastAsia="仿宋_GB2312"/>
          <w:sz w:val="32"/>
          <w:szCs w:val="32"/>
          <w:lang w:val="en-US" w:eastAsia="zh-CN"/>
        </w:rPr>
        <w:t>05</w:t>
      </w:r>
      <w:r>
        <w:rPr>
          <w:rFonts w:hint="eastAsia" w:ascii="仿宋_GB2312" w:eastAsia="仿宋_GB2312"/>
          <w:sz w:val="32"/>
          <w:szCs w:val="32"/>
        </w:rPr>
        <w:t>（款）</w:t>
      </w:r>
      <w:r>
        <w:rPr>
          <w:rFonts w:hint="eastAsia" w:ascii="仿宋_GB2312" w:eastAsia="仿宋_GB2312"/>
          <w:sz w:val="32"/>
          <w:szCs w:val="32"/>
          <w:lang w:val="en-US" w:eastAsia="zh-CN"/>
        </w:rPr>
        <w:t>06</w:t>
      </w:r>
      <w:r>
        <w:rPr>
          <w:rFonts w:hint="eastAsia" w:ascii="仿宋_GB2312" w:eastAsia="仿宋_GB2312"/>
          <w:sz w:val="32"/>
          <w:szCs w:val="32"/>
        </w:rPr>
        <w:t>（项）：指</w:t>
      </w:r>
      <w:r>
        <w:rPr>
          <w:rFonts w:hint="eastAsia" w:ascii="仿宋_GB2312" w:eastAsia="仿宋_GB2312"/>
          <w:sz w:val="32"/>
          <w:szCs w:val="32"/>
          <w:lang w:eastAsia="zh-CN"/>
        </w:rPr>
        <w:t>反映机关事业单位实施养老保险制度由单位实际缴纳的职业年金支出</w:t>
      </w:r>
    </w:p>
    <w:p w14:paraId="2230872E">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16.卫生健康210（类）04</w:t>
      </w:r>
      <w:r>
        <w:rPr>
          <w:rFonts w:hint="eastAsia" w:ascii="仿宋_GB2312" w:eastAsia="仿宋_GB2312"/>
          <w:sz w:val="32"/>
          <w:szCs w:val="32"/>
        </w:rPr>
        <w:t>（款）</w:t>
      </w:r>
      <w:r>
        <w:rPr>
          <w:rFonts w:hint="eastAsia" w:ascii="仿宋_GB2312" w:eastAsia="仿宋_GB2312"/>
          <w:sz w:val="32"/>
          <w:szCs w:val="32"/>
          <w:lang w:val="en-US" w:eastAsia="zh-CN"/>
        </w:rPr>
        <w:t>09</w:t>
      </w:r>
      <w:r>
        <w:rPr>
          <w:rFonts w:hint="eastAsia" w:ascii="仿宋_GB2312" w:eastAsia="仿宋_GB2312"/>
          <w:sz w:val="32"/>
          <w:szCs w:val="32"/>
        </w:rPr>
        <w:t>（项）</w:t>
      </w:r>
      <w:r>
        <w:rPr>
          <w:rFonts w:hint="eastAsia" w:ascii="仿宋_GB2312" w:eastAsia="仿宋_GB2312"/>
          <w:sz w:val="32"/>
          <w:szCs w:val="32"/>
          <w:lang w:val="en-US" w:eastAsia="zh-CN"/>
        </w:rPr>
        <w:t>：指反映重大疾病、重大传染病预防控制等重大公共卫生服务项目支出。</w:t>
      </w:r>
    </w:p>
    <w:p w14:paraId="214ECE5E">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17.卫生健康210（类）07</w:t>
      </w:r>
      <w:r>
        <w:rPr>
          <w:rFonts w:hint="eastAsia" w:ascii="仿宋_GB2312" w:eastAsia="仿宋_GB2312"/>
          <w:sz w:val="32"/>
          <w:szCs w:val="32"/>
        </w:rPr>
        <w:t>（款）</w:t>
      </w:r>
      <w:r>
        <w:rPr>
          <w:rFonts w:hint="eastAsia" w:ascii="仿宋_GB2312" w:eastAsia="仿宋_GB2312"/>
          <w:sz w:val="32"/>
          <w:szCs w:val="32"/>
          <w:lang w:val="en-US" w:eastAsia="zh-CN"/>
        </w:rPr>
        <w:t>99</w:t>
      </w:r>
      <w:r>
        <w:rPr>
          <w:rFonts w:hint="eastAsia" w:ascii="仿宋_GB2312" w:eastAsia="仿宋_GB2312"/>
          <w:sz w:val="32"/>
          <w:szCs w:val="32"/>
        </w:rPr>
        <w:t>（项）</w:t>
      </w:r>
      <w:r>
        <w:rPr>
          <w:rFonts w:hint="eastAsia" w:ascii="仿宋_GB2312" w:eastAsia="仿宋_GB2312"/>
          <w:sz w:val="32"/>
          <w:szCs w:val="32"/>
          <w:lang w:val="en-US" w:eastAsia="zh-CN"/>
        </w:rPr>
        <w:t>：指反映其他用于计划生育管理服务方面的支出。</w:t>
      </w:r>
    </w:p>
    <w:p w14:paraId="5B88EFA0">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18.卫生健康210（类）11</w:t>
      </w:r>
      <w:r>
        <w:rPr>
          <w:rFonts w:hint="eastAsia" w:ascii="仿宋_GB2312" w:eastAsia="仿宋_GB2312"/>
          <w:sz w:val="32"/>
          <w:szCs w:val="32"/>
        </w:rPr>
        <w:t>（款）</w:t>
      </w:r>
      <w:r>
        <w:rPr>
          <w:rFonts w:hint="eastAsia" w:ascii="仿宋_GB2312" w:eastAsia="仿宋_GB2312"/>
          <w:sz w:val="32"/>
          <w:szCs w:val="32"/>
          <w:lang w:val="en-US" w:eastAsia="zh-CN"/>
        </w:rPr>
        <w:t>01</w:t>
      </w:r>
      <w:r>
        <w:rPr>
          <w:rFonts w:hint="eastAsia" w:ascii="仿宋_GB2312" w:eastAsia="仿宋_GB2312"/>
          <w:sz w:val="32"/>
          <w:szCs w:val="32"/>
        </w:rPr>
        <w:t>（项）</w:t>
      </w:r>
      <w:r>
        <w:rPr>
          <w:rFonts w:hint="eastAsia" w:ascii="仿宋_GB2312" w:eastAsia="仿宋_GB2312"/>
          <w:sz w:val="32"/>
          <w:szCs w:val="32"/>
          <w:lang w:val="en-US" w:eastAsia="zh-CN"/>
        </w:rPr>
        <w:t>：指反映财政部门安排的行政事业单位基本医疗保险缴费经费，未参加医疗保险的行政事业单位的公费医疗经费，按国家规定享受离休人员、红军老战士待遇人员的医疗经费。</w:t>
      </w:r>
    </w:p>
    <w:p w14:paraId="60E4E769">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19.卫生健康210（类）11</w:t>
      </w:r>
      <w:r>
        <w:rPr>
          <w:rFonts w:hint="eastAsia" w:ascii="仿宋_GB2312" w:eastAsia="仿宋_GB2312"/>
          <w:sz w:val="32"/>
          <w:szCs w:val="32"/>
        </w:rPr>
        <w:t>（款）</w:t>
      </w:r>
      <w:r>
        <w:rPr>
          <w:rFonts w:hint="eastAsia" w:ascii="仿宋_GB2312" w:eastAsia="仿宋_GB2312"/>
          <w:sz w:val="32"/>
          <w:szCs w:val="32"/>
          <w:lang w:val="en-US" w:eastAsia="zh-CN"/>
        </w:rPr>
        <w:t>03</w:t>
      </w:r>
      <w:r>
        <w:rPr>
          <w:rFonts w:hint="eastAsia" w:ascii="仿宋_GB2312" w:eastAsia="仿宋_GB2312"/>
          <w:sz w:val="32"/>
          <w:szCs w:val="32"/>
        </w:rPr>
        <w:t>（项）</w:t>
      </w:r>
      <w:r>
        <w:rPr>
          <w:rFonts w:hint="eastAsia" w:ascii="仿宋_GB2312" w:eastAsia="仿宋_GB2312"/>
          <w:sz w:val="32"/>
          <w:szCs w:val="32"/>
          <w:lang w:val="en-US" w:eastAsia="zh-CN"/>
        </w:rPr>
        <w:t>：指反映财政部门安排的公务员医疗补助经费。</w:t>
      </w:r>
    </w:p>
    <w:p w14:paraId="768F57C3">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20.农林水213（类）07</w:t>
      </w:r>
      <w:r>
        <w:rPr>
          <w:rFonts w:hint="eastAsia" w:ascii="仿宋_GB2312" w:eastAsia="仿宋_GB2312"/>
          <w:sz w:val="32"/>
          <w:szCs w:val="32"/>
        </w:rPr>
        <w:t>（款）</w:t>
      </w:r>
      <w:r>
        <w:rPr>
          <w:rFonts w:hint="eastAsia" w:ascii="仿宋_GB2312" w:eastAsia="仿宋_GB2312"/>
          <w:sz w:val="32"/>
          <w:szCs w:val="32"/>
          <w:lang w:val="en-US" w:eastAsia="zh-CN"/>
        </w:rPr>
        <w:t>05</w:t>
      </w:r>
      <w:r>
        <w:rPr>
          <w:rFonts w:hint="eastAsia" w:ascii="仿宋_GB2312" w:eastAsia="仿宋_GB2312"/>
          <w:sz w:val="32"/>
          <w:szCs w:val="32"/>
        </w:rPr>
        <w:t>（项）</w:t>
      </w:r>
      <w:r>
        <w:rPr>
          <w:rFonts w:hint="eastAsia" w:ascii="仿宋_GB2312" w:eastAsia="仿宋_GB2312"/>
          <w:sz w:val="32"/>
          <w:szCs w:val="32"/>
          <w:lang w:val="en-US" w:eastAsia="zh-CN"/>
        </w:rPr>
        <w:t>：指反映各级财政对村民委员会和村党支部的补助支出，以及支持建立县级基本财力保障机制安排的村级组织运转奖补资金。</w:t>
      </w:r>
    </w:p>
    <w:p w14:paraId="703178F4">
      <w:pPr>
        <w:pStyle w:val="27"/>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21.农林水213（类）01</w:t>
      </w:r>
      <w:r>
        <w:rPr>
          <w:rFonts w:hint="eastAsia" w:ascii="仿宋_GB2312" w:eastAsia="仿宋_GB2312"/>
          <w:sz w:val="32"/>
          <w:szCs w:val="32"/>
        </w:rPr>
        <w:t>（款）</w:t>
      </w:r>
      <w:r>
        <w:rPr>
          <w:rFonts w:hint="eastAsia" w:ascii="仿宋_GB2312" w:eastAsia="仿宋_GB2312"/>
          <w:sz w:val="32"/>
          <w:szCs w:val="32"/>
          <w:lang w:val="en-US" w:eastAsia="zh-CN"/>
        </w:rPr>
        <w:t>26</w:t>
      </w:r>
      <w:r>
        <w:rPr>
          <w:rFonts w:hint="eastAsia" w:ascii="仿宋_GB2312" w:eastAsia="仿宋_GB2312"/>
          <w:sz w:val="32"/>
          <w:szCs w:val="32"/>
        </w:rPr>
        <w:t>（项）</w:t>
      </w:r>
      <w:r>
        <w:rPr>
          <w:rFonts w:hint="eastAsia" w:ascii="仿宋_GB2312" w:eastAsia="仿宋_GB2312"/>
          <w:sz w:val="32"/>
          <w:szCs w:val="32"/>
          <w:lang w:eastAsia="zh-CN"/>
        </w:rPr>
        <w:t>：指反映用于农村社会事业发展的支出。</w:t>
      </w:r>
    </w:p>
    <w:p w14:paraId="7F7C071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eastAsia="仿宋_GB2312"/>
          <w:sz w:val="32"/>
          <w:szCs w:val="32"/>
          <w:lang w:val="en-US" w:eastAsia="zh-CN"/>
        </w:rPr>
        <w:t>22.</w:t>
      </w:r>
      <w:r>
        <w:rPr>
          <w:rFonts w:hint="eastAsia" w:ascii="仿宋_GB2312" w:eastAsia="仿宋_GB2312"/>
          <w:sz w:val="32"/>
          <w:szCs w:val="32"/>
        </w:rPr>
        <w:t>住房保障</w:t>
      </w:r>
      <w:r>
        <w:rPr>
          <w:rFonts w:hint="eastAsia" w:ascii="仿宋_GB2312" w:eastAsia="仿宋_GB2312"/>
          <w:sz w:val="32"/>
          <w:szCs w:val="32"/>
          <w:lang w:val="en-US" w:eastAsia="zh-CN"/>
        </w:rPr>
        <w:t>221</w:t>
      </w:r>
      <w:r>
        <w:rPr>
          <w:rFonts w:hint="eastAsia" w:ascii="仿宋_GB2312" w:eastAsia="仿宋_GB2312"/>
          <w:sz w:val="32"/>
          <w:szCs w:val="32"/>
        </w:rPr>
        <w:t>（类）</w:t>
      </w:r>
      <w:r>
        <w:rPr>
          <w:rFonts w:hint="eastAsia" w:ascii="仿宋_GB2312" w:eastAsia="仿宋_GB2312"/>
          <w:sz w:val="32"/>
          <w:szCs w:val="32"/>
          <w:lang w:val="en-US" w:eastAsia="zh-CN"/>
        </w:rPr>
        <w:t>02</w:t>
      </w:r>
      <w:r>
        <w:rPr>
          <w:rFonts w:hint="eastAsia" w:ascii="仿宋_GB2312" w:eastAsia="仿宋_GB2312"/>
          <w:sz w:val="32"/>
          <w:szCs w:val="32"/>
        </w:rPr>
        <w:t>（款）</w:t>
      </w:r>
      <w:r>
        <w:rPr>
          <w:rFonts w:hint="eastAsia" w:ascii="仿宋_GB2312" w:eastAsia="仿宋_GB2312"/>
          <w:sz w:val="32"/>
          <w:szCs w:val="32"/>
          <w:lang w:val="en-US" w:eastAsia="zh-CN"/>
        </w:rPr>
        <w:t>01</w:t>
      </w:r>
      <w:r>
        <w:rPr>
          <w:rFonts w:hint="eastAsia" w:ascii="仿宋_GB2312" w:eastAsia="仿宋_GB2312"/>
          <w:sz w:val="32"/>
          <w:szCs w:val="32"/>
        </w:rPr>
        <w:t>（项）：指</w:t>
      </w:r>
      <w:r>
        <w:rPr>
          <w:rFonts w:hint="eastAsia" w:ascii="仿宋_GB2312" w:eastAsia="仿宋_GB2312"/>
          <w:sz w:val="32"/>
          <w:szCs w:val="32"/>
          <w:lang w:eastAsia="zh-CN"/>
        </w:rPr>
        <w:t>反映行政事业单位按人力资源和社会保障部、财政部规定的基本工资和津贴补贴以及</w:t>
      </w:r>
      <w:r>
        <w:rPr>
          <w:rFonts w:hint="eastAsia" w:ascii="仿宋_GB2312" w:eastAsia="仿宋_GB2312"/>
          <w:sz w:val="32"/>
          <w:szCs w:val="32"/>
          <w:lang w:val="en-US" w:eastAsia="zh-CN"/>
        </w:rPr>
        <w:t>按</w:t>
      </w:r>
      <w:r>
        <w:rPr>
          <w:rFonts w:hint="eastAsia" w:ascii="仿宋_GB2312" w:eastAsia="仿宋_GB2312"/>
          <w:sz w:val="32"/>
          <w:szCs w:val="32"/>
          <w:lang w:eastAsia="zh-CN"/>
        </w:rPr>
        <w:t>规定比例为职工缴纳的住房公积金。</w:t>
      </w:r>
    </w:p>
    <w:p w14:paraId="2D776B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0E4A5D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BF8DF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174B52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F78BC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27</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600820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4BADD9C3">
      <w:pPr>
        <w:spacing w:line="600" w:lineRule="exact"/>
        <w:jc w:val="center"/>
        <w:rPr>
          <w:rStyle w:val="29"/>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253228AE">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3C004110">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仿宋_GB2312"/>
          <w:color w:val="auto"/>
          <w:kern w:val="2"/>
          <w:sz w:val="32"/>
          <w:szCs w:val="32"/>
          <w:highlight w:val="none"/>
          <w:lang w:val="en-US" w:eastAsia="zh-CN" w:bidi="ar-SA"/>
        </w:rPr>
        <w:t>附件1：</w:t>
      </w:r>
      <w:r>
        <w:rPr>
          <w:rFonts w:hint="default" w:ascii="Times New Roman" w:hAnsi="Times New Roman" w:eastAsia="仿宋_GB2312" w:cs="仿宋_GB2312"/>
          <w:color w:val="auto"/>
          <w:kern w:val="2"/>
          <w:sz w:val="32"/>
          <w:szCs w:val="32"/>
          <w:highlight w:val="none"/>
          <w:lang w:val="en-US" w:eastAsia="zh-CN" w:bidi="ar-SA"/>
        </w:rPr>
        <w:t>部门预算绩效</w:t>
      </w:r>
      <w:r>
        <w:rPr>
          <w:rFonts w:hint="eastAsia" w:ascii="Times New Roman" w:hAnsi="Times New Roman" w:eastAsia="仿宋_GB2312" w:cs="仿宋_GB2312"/>
          <w:color w:val="auto"/>
          <w:kern w:val="2"/>
          <w:sz w:val="32"/>
          <w:szCs w:val="32"/>
          <w:highlight w:val="none"/>
          <w:lang w:val="en-US" w:eastAsia="zh-CN" w:bidi="ar-SA"/>
        </w:rPr>
        <w:t>评价</w:t>
      </w:r>
      <w:r>
        <w:rPr>
          <w:rFonts w:hint="default" w:ascii="Times New Roman" w:hAnsi="Times New Roman" w:eastAsia="仿宋_GB2312" w:cs="仿宋_GB2312"/>
          <w:color w:val="auto"/>
          <w:kern w:val="2"/>
          <w:sz w:val="32"/>
          <w:szCs w:val="32"/>
          <w:highlight w:val="none"/>
          <w:lang w:val="en-US" w:eastAsia="zh-CN" w:bidi="ar-SA"/>
        </w:rPr>
        <w:t>报告</w:t>
      </w:r>
    </w:p>
    <w:p w14:paraId="027EAB63">
      <w:pPr>
        <w:ind w:firstLine="640" w:firstLineChars="200"/>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仿宋_GB2312" w:cs="仿宋_GB2312"/>
          <w:color w:val="auto"/>
          <w:kern w:val="2"/>
          <w:sz w:val="32"/>
          <w:szCs w:val="32"/>
          <w:highlight w:val="none"/>
          <w:lang w:val="zh-CN" w:eastAsia="zh-CN" w:bidi="ar-SA"/>
        </w:rPr>
        <w:t>附件</w:t>
      </w: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专项预算项目绩效评价报告</w:t>
      </w:r>
    </w:p>
    <w:p w14:paraId="258D1268">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3" w:name="_Toc15396618"/>
    </w:p>
    <w:p w14:paraId="1AF5A733">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C35CEE0">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1"/>
      <w:bookmarkEnd w:id="53"/>
      <w:bookmarkStart w:id="54" w:name="_Toc15396619"/>
    </w:p>
    <w:p w14:paraId="39844EB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358C10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45774DE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0D6CFDC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2843C16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39EC8B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19253AF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0238201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2FE858A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49C59BD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4764F16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0934383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83DD70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635B5DC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73B34EF0">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93793">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FA4755">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0FA4755">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43071350">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CDEEB">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B0831">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31B0831">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BDCE3">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A68DE3"/>
    <w:multiLevelType w:val="singleLevel"/>
    <w:tmpl w:val="F2A68DE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0C6A"/>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3B4944"/>
    <w:rsid w:val="015975B8"/>
    <w:rsid w:val="01A23516"/>
    <w:rsid w:val="01EE5E5A"/>
    <w:rsid w:val="02317B1B"/>
    <w:rsid w:val="02443CCC"/>
    <w:rsid w:val="02641C78"/>
    <w:rsid w:val="02AA6CDF"/>
    <w:rsid w:val="02FEBE30"/>
    <w:rsid w:val="03F434D0"/>
    <w:rsid w:val="040556DD"/>
    <w:rsid w:val="04640655"/>
    <w:rsid w:val="049F2FB3"/>
    <w:rsid w:val="04E11CA6"/>
    <w:rsid w:val="05224264"/>
    <w:rsid w:val="05B47985"/>
    <w:rsid w:val="061E35DE"/>
    <w:rsid w:val="062736E9"/>
    <w:rsid w:val="062956B3"/>
    <w:rsid w:val="065B15E4"/>
    <w:rsid w:val="066E0107"/>
    <w:rsid w:val="068648B3"/>
    <w:rsid w:val="06E8731C"/>
    <w:rsid w:val="071A149F"/>
    <w:rsid w:val="077706A0"/>
    <w:rsid w:val="07996F6E"/>
    <w:rsid w:val="07CD6512"/>
    <w:rsid w:val="07DFD8BA"/>
    <w:rsid w:val="087370B9"/>
    <w:rsid w:val="088B0F63"/>
    <w:rsid w:val="08DB07E4"/>
    <w:rsid w:val="0902043D"/>
    <w:rsid w:val="09436A8B"/>
    <w:rsid w:val="09867E8F"/>
    <w:rsid w:val="0A0F5808"/>
    <w:rsid w:val="0A2032A3"/>
    <w:rsid w:val="0AA96DC2"/>
    <w:rsid w:val="0AB33DDD"/>
    <w:rsid w:val="0AFB61C3"/>
    <w:rsid w:val="0B304DED"/>
    <w:rsid w:val="0C6C4794"/>
    <w:rsid w:val="0CA8290A"/>
    <w:rsid w:val="0CB437FC"/>
    <w:rsid w:val="0D004B83"/>
    <w:rsid w:val="0D35B1ED"/>
    <w:rsid w:val="0D411534"/>
    <w:rsid w:val="0DE07E2B"/>
    <w:rsid w:val="0E356BBF"/>
    <w:rsid w:val="0E663F55"/>
    <w:rsid w:val="0E8A6F0A"/>
    <w:rsid w:val="0F98263C"/>
    <w:rsid w:val="0FBC7598"/>
    <w:rsid w:val="0FE8038D"/>
    <w:rsid w:val="101860EC"/>
    <w:rsid w:val="10327C3A"/>
    <w:rsid w:val="106A6FF4"/>
    <w:rsid w:val="10795489"/>
    <w:rsid w:val="10C055FF"/>
    <w:rsid w:val="11772AA4"/>
    <w:rsid w:val="118107EC"/>
    <w:rsid w:val="120738D1"/>
    <w:rsid w:val="12A32349"/>
    <w:rsid w:val="12E070F9"/>
    <w:rsid w:val="13182D37"/>
    <w:rsid w:val="133D09EF"/>
    <w:rsid w:val="13957196"/>
    <w:rsid w:val="13D50BC4"/>
    <w:rsid w:val="13F37300"/>
    <w:rsid w:val="14022904"/>
    <w:rsid w:val="14131750"/>
    <w:rsid w:val="144A6375"/>
    <w:rsid w:val="14C50C9C"/>
    <w:rsid w:val="152F2A07"/>
    <w:rsid w:val="159643E7"/>
    <w:rsid w:val="15A563D8"/>
    <w:rsid w:val="165E0673"/>
    <w:rsid w:val="167F131F"/>
    <w:rsid w:val="16BB723D"/>
    <w:rsid w:val="16BE1E47"/>
    <w:rsid w:val="16DD39D6"/>
    <w:rsid w:val="16F13FCB"/>
    <w:rsid w:val="186504BB"/>
    <w:rsid w:val="1938089F"/>
    <w:rsid w:val="19A445FC"/>
    <w:rsid w:val="19D37E50"/>
    <w:rsid w:val="1A0A6A8E"/>
    <w:rsid w:val="1A5403CD"/>
    <w:rsid w:val="1A7016AA"/>
    <w:rsid w:val="1B7D550C"/>
    <w:rsid w:val="1BA01B1B"/>
    <w:rsid w:val="1BE8440E"/>
    <w:rsid w:val="1BF63E31"/>
    <w:rsid w:val="1C5216F9"/>
    <w:rsid w:val="1CC7757C"/>
    <w:rsid w:val="1CF00880"/>
    <w:rsid w:val="1D155CEE"/>
    <w:rsid w:val="1DC75A85"/>
    <w:rsid w:val="1DE178F3"/>
    <w:rsid w:val="1E740ACF"/>
    <w:rsid w:val="1EB63404"/>
    <w:rsid w:val="1ECE4BF1"/>
    <w:rsid w:val="1EF4695E"/>
    <w:rsid w:val="1FF35744"/>
    <w:rsid w:val="1FF6BC77"/>
    <w:rsid w:val="20360964"/>
    <w:rsid w:val="208C08C0"/>
    <w:rsid w:val="20C04A0E"/>
    <w:rsid w:val="21090163"/>
    <w:rsid w:val="21182154"/>
    <w:rsid w:val="21962A9E"/>
    <w:rsid w:val="219F2875"/>
    <w:rsid w:val="21AE7C77"/>
    <w:rsid w:val="228C104B"/>
    <w:rsid w:val="22BC3C41"/>
    <w:rsid w:val="231A6657"/>
    <w:rsid w:val="23333B19"/>
    <w:rsid w:val="23353491"/>
    <w:rsid w:val="237F295E"/>
    <w:rsid w:val="23860B96"/>
    <w:rsid w:val="23EB2FAD"/>
    <w:rsid w:val="240371BF"/>
    <w:rsid w:val="240D3AC6"/>
    <w:rsid w:val="243F5C4A"/>
    <w:rsid w:val="24566087"/>
    <w:rsid w:val="24A65CC9"/>
    <w:rsid w:val="24EC4C35"/>
    <w:rsid w:val="252437BD"/>
    <w:rsid w:val="252C2672"/>
    <w:rsid w:val="25D735A0"/>
    <w:rsid w:val="25ED1E01"/>
    <w:rsid w:val="260F557C"/>
    <w:rsid w:val="269229A8"/>
    <w:rsid w:val="26D27249"/>
    <w:rsid w:val="270619F9"/>
    <w:rsid w:val="271B402F"/>
    <w:rsid w:val="27653873"/>
    <w:rsid w:val="281408E2"/>
    <w:rsid w:val="2838132E"/>
    <w:rsid w:val="29703E58"/>
    <w:rsid w:val="29A053DC"/>
    <w:rsid w:val="29D90840"/>
    <w:rsid w:val="29E03A2B"/>
    <w:rsid w:val="29FD04D3"/>
    <w:rsid w:val="2A1B1011"/>
    <w:rsid w:val="2A273408"/>
    <w:rsid w:val="2A3D2C2B"/>
    <w:rsid w:val="2AD417E1"/>
    <w:rsid w:val="2B5841C1"/>
    <w:rsid w:val="2B794137"/>
    <w:rsid w:val="2BFF7BC6"/>
    <w:rsid w:val="2C5030EA"/>
    <w:rsid w:val="2C8A61B5"/>
    <w:rsid w:val="2C931228"/>
    <w:rsid w:val="2CD930DF"/>
    <w:rsid w:val="2D0143E4"/>
    <w:rsid w:val="2D2E01CF"/>
    <w:rsid w:val="2D742E08"/>
    <w:rsid w:val="2D855015"/>
    <w:rsid w:val="2DF04E50"/>
    <w:rsid w:val="2DF301D1"/>
    <w:rsid w:val="2E220AB6"/>
    <w:rsid w:val="2E291E44"/>
    <w:rsid w:val="2E422F06"/>
    <w:rsid w:val="2E9545B0"/>
    <w:rsid w:val="2E9C43C4"/>
    <w:rsid w:val="2F040D46"/>
    <w:rsid w:val="2FAE5751"/>
    <w:rsid w:val="2FB0023E"/>
    <w:rsid w:val="2FB1A395"/>
    <w:rsid w:val="2FD9A7D8"/>
    <w:rsid w:val="30A9726C"/>
    <w:rsid w:val="31230DCD"/>
    <w:rsid w:val="319F7F4E"/>
    <w:rsid w:val="321B2544"/>
    <w:rsid w:val="321B7CF6"/>
    <w:rsid w:val="32625925"/>
    <w:rsid w:val="3304709D"/>
    <w:rsid w:val="335A484E"/>
    <w:rsid w:val="33686F6B"/>
    <w:rsid w:val="33D155EF"/>
    <w:rsid w:val="34281836"/>
    <w:rsid w:val="34627E5E"/>
    <w:rsid w:val="347B0F20"/>
    <w:rsid w:val="349D6851"/>
    <w:rsid w:val="34E940DB"/>
    <w:rsid w:val="34F14D3E"/>
    <w:rsid w:val="351A3BB7"/>
    <w:rsid w:val="35BA6CAF"/>
    <w:rsid w:val="35D37231"/>
    <w:rsid w:val="35F5085E"/>
    <w:rsid w:val="3619279E"/>
    <w:rsid w:val="364D14C1"/>
    <w:rsid w:val="365D3F21"/>
    <w:rsid w:val="36AA5135"/>
    <w:rsid w:val="36BE0DA7"/>
    <w:rsid w:val="37425D25"/>
    <w:rsid w:val="376B6AA6"/>
    <w:rsid w:val="376D39B2"/>
    <w:rsid w:val="37E16F03"/>
    <w:rsid w:val="37F53A3B"/>
    <w:rsid w:val="385C4BC4"/>
    <w:rsid w:val="389B6C89"/>
    <w:rsid w:val="38B16CBE"/>
    <w:rsid w:val="38CF183A"/>
    <w:rsid w:val="38D469F0"/>
    <w:rsid w:val="38EF77E6"/>
    <w:rsid w:val="390019F4"/>
    <w:rsid w:val="39627CCD"/>
    <w:rsid w:val="397BAF1F"/>
    <w:rsid w:val="3A573895"/>
    <w:rsid w:val="3AB79AF3"/>
    <w:rsid w:val="3AFD788C"/>
    <w:rsid w:val="3B2A4727"/>
    <w:rsid w:val="3B7EF35A"/>
    <w:rsid w:val="3B9FDB6C"/>
    <w:rsid w:val="3BB23479"/>
    <w:rsid w:val="3BCB0097"/>
    <w:rsid w:val="3BEB24E7"/>
    <w:rsid w:val="3BF5BC2F"/>
    <w:rsid w:val="3C7C3A87"/>
    <w:rsid w:val="3C862210"/>
    <w:rsid w:val="3CEBA265"/>
    <w:rsid w:val="3D98207C"/>
    <w:rsid w:val="3D9B0D99"/>
    <w:rsid w:val="3DEE7CF3"/>
    <w:rsid w:val="3DF02244"/>
    <w:rsid w:val="3E014244"/>
    <w:rsid w:val="3E175815"/>
    <w:rsid w:val="3E78745D"/>
    <w:rsid w:val="3EC51C60"/>
    <w:rsid w:val="3FF4CAE0"/>
    <w:rsid w:val="3FF7B227"/>
    <w:rsid w:val="40E54C45"/>
    <w:rsid w:val="40F40090"/>
    <w:rsid w:val="41272213"/>
    <w:rsid w:val="41313393"/>
    <w:rsid w:val="41480781"/>
    <w:rsid w:val="43A35D9D"/>
    <w:rsid w:val="43A407DF"/>
    <w:rsid w:val="44515BEA"/>
    <w:rsid w:val="44C24001"/>
    <w:rsid w:val="44E268DA"/>
    <w:rsid w:val="45237196"/>
    <w:rsid w:val="453F7E5B"/>
    <w:rsid w:val="45AF04BD"/>
    <w:rsid w:val="45F32BA6"/>
    <w:rsid w:val="46C978C9"/>
    <w:rsid w:val="473016F6"/>
    <w:rsid w:val="47BB36B5"/>
    <w:rsid w:val="486A6C7A"/>
    <w:rsid w:val="49176D9B"/>
    <w:rsid w:val="494006BD"/>
    <w:rsid w:val="49B00205"/>
    <w:rsid w:val="4A3E37AC"/>
    <w:rsid w:val="4A4C2CEB"/>
    <w:rsid w:val="4A627F82"/>
    <w:rsid w:val="4AB32D6A"/>
    <w:rsid w:val="4AE57050"/>
    <w:rsid w:val="4B0E749A"/>
    <w:rsid w:val="4B375749"/>
    <w:rsid w:val="4B4F25DA"/>
    <w:rsid w:val="4B7C13AE"/>
    <w:rsid w:val="4BAF3531"/>
    <w:rsid w:val="4BDA0CFB"/>
    <w:rsid w:val="4BE068DB"/>
    <w:rsid w:val="4C0D0258"/>
    <w:rsid w:val="4C2832E3"/>
    <w:rsid w:val="4C5639AD"/>
    <w:rsid w:val="4CBE77A4"/>
    <w:rsid w:val="4D3C0CCC"/>
    <w:rsid w:val="4D577224"/>
    <w:rsid w:val="4DBF1CEB"/>
    <w:rsid w:val="4E140471"/>
    <w:rsid w:val="4EAB630A"/>
    <w:rsid w:val="4ECE2238"/>
    <w:rsid w:val="4EE259CC"/>
    <w:rsid w:val="4EFC70A4"/>
    <w:rsid w:val="4F367AC5"/>
    <w:rsid w:val="4F381A8F"/>
    <w:rsid w:val="4F833267"/>
    <w:rsid w:val="4FB3055E"/>
    <w:rsid w:val="4FE90FDC"/>
    <w:rsid w:val="4FE9BD67"/>
    <w:rsid w:val="4FFB052F"/>
    <w:rsid w:val="5019541D"/>
    <w:rsid w:val="50E517A3"/>
    <w:rsid w:val="51411129"/>
    <w:rsid w:val="52075749"/>
    <w:rsid w:val="5253273C"/>
    <w:rsid w:val="52F46EB7"/>
    <w:rsid w:val="53083A92"/>
    <w:rsid w:val="537E6D0A"/>
    <w:rsid w:val="53AF27A2"/>
    <w:rsid w:val="53DA4EC3"/>
    <w:rsid w:val="53F74C96"/>
    <w:rsid w:val="54947768"/>
    <w:rsid w:val="54AA6F8B"/>
    <w:rsid w:val="54BC281B"/>
    <w:rsid w:val="55711857"/>
    <w:rsid w:val="55AC6D33"/>
    <w:rsid w:val="56E47B74"/>
    <w:rsid w:val="57323268"/>
    <w:rsid w:val="57BD3DD4"/>
    <w:rsid w:val="57C93BCD"/>
    <w:rsid w:val="57E26A3C"/>
    <w:rsid w:val="582726A1"/>
    <w:rsid w:val="593B28A8"/>
    <w:rsid w:val="5A821E11"/>
    <w:rsid w:val="5AF251E8"/>
    <w:rsid w:val="5AF92295"/>
    <w:rsid w:val="5B793214"/>
    <w:rsid w:val="5BC07095"/>
    <w:rsid w:val="5BDD79E6"/>
    <w:rsid w:val="5BF44F90"/>
    <w:rsid w:val="5BF55B88"/>
    <w:rsid w:val="5BF561CA"/>
    <w:rsid w:val="5BFF5DFC"/>
    <w:rsid w:val="5CD71FC4"/>
    <w:rsid w:val="5D1F11B5"/>
    <w:rsid w:val="5D5759CA"/>
    <w:rsid w:val="5D6B1282"/>
    <w:rsid w:val="5DAE1B18"/>
    <w:rsid w:val="5DE7D9E5"/>
    <w:rsid w:val="5E8C14B0"/>
    <w:rsid w:val="5E963E87"/>
    <w:rsid w:val="5ECEC941"/>
    <w:rsid w:val="5F493CB7"/>
    <w:rsid w:val="5F7E5A62"/>
    <w:rsid w:val="5F8A5168"/>
    <w:rsid w:val="5FBF9FF3"/>
    <w:rsid w:val="5FCD4E2C"/>
    <w:rsid w:val="5FD15F49"/>
    <w:rsid w:val="5FEF394A"/>
    <w:rsid w:val="5FF67715"/>
    <w:rsid w:val="60C90799"/>
    <w:rsid w:val="60E70C20"/>
    <w:rsid w:val="6126423F"/>
    <w:rsid w:val="618F19E3"/>
    <w:rsid w:val="61F77588"/>
    <w:rsid w:val="62BF3928"/>
    <w:rsid w:val="62E95A55"/>
    <w:rsid w:val="637F15E3"/>
    <w:rsid w:val="645C1924"/>
    <w:rsid w:val="646C600B"/>
    <w:rsid w:val="647E14F5"/>
    <w:rsid w:val="647F5392"/>
    <w:rsid w:val="64B654D9"/>
    <w:rsid w:val="64D11BF8"/>
    <w:rsid w:val="65130235"/>
    <w:rsid w:val="65CC4888"/>
    <w:rsid w:val="65F30067"/>
    <w:rsid w:val="664B1D71"/>
    <w:rsid w:val="67476E60"/>
    <w:rsid w:val="67AA3209"/>
    <w:rsid w:val="681C4F0D"/>
    <w:rsid w:val="68C53F3C"/>
    <w:rsid w:val="68D0468F"/>
    <w:rsid w:val="69046D0F"/>
    <w:rsid w:val="698D0931"/>
    <w:rsid w:val="69C2047C"/>
    <w:rsid w:val="6A993CED"/>
    <w:rsid w:val="6AD761A9"/>
    <w:rsid w:val="6B053271"/>
    <w:rsid w:val="6B350D3C"/>
    <w:rsid w:val="6B7B4D86"/>
    <w:rsid w:val="6B94334F"/>
    <w:rsid w:val="6BA240C1"/>
    <w:rsid w:val="6BC229B5"/>
    <w:rsid w:val="6BCE6674"/>
    <w:rsid w:val="6BFB5EC7"/>
    <w:rsid w:val="6C344872"/>
    <w:rsid w:val="6C424130"/>
    <w:rsid w:val="6C4A05C8"/>
    <w:rsid w:val="6C6D2921"/>
    <w:rsid w:val="6C8742B8"/>
    <w:rsid w:val="6C8A170F"/>
    <w:rsid w:val="6CB51547"/>
    <w:rsid w:val="6CB54609"/>
    <w:rsid w:val="6CEE36D7"/>
    <w:rsid w:val="6DBF5E93"/>
    <w:rsid w:val="6DFF077E"/>
    <w:rsid w:val="6E2F1E91"/>
    <w:rsid w:val="6E315BD0"/>
    <w:rsid w:val="6E663ACB"/>
    <w:rsid w:val="6E7E3605"/>
    <w:rsid w:val="6E7FDCC7"/>
    <w:rsid w:val="6EA2087C"/>
    <w:rsid w:val="6ED36C87"/>
    <w:rsid w:val="6ED6A62E"/>
    <w:rsid w:val="6EE00B15"/>
    <w:rsid w:val="6EFC0DBA"/>
    <w:rsid w:val="6EFF5CCE"/>
    <w:rsid w:val="6F490CF7"/>
    <w:rsid w:val="6F4A6F49"/>
    <w:rsid w:val="6F544B20"/>
    <w:rsid w:val="6F6FB3EB"/>
    <w:rsid w:val="6F784160"/>
    <w:rsid w:val="6F8731EA"/>
    <w:rsid w:val="6F8A6C2D"/>
    <w:rsid w:val="6FCE6052"/>
    <w:rsid w:val="6FD57C00"/>
    <w:rsid w:val="6FEFFFD8"/>
    <w:rsid w:val="6FF5CC65"/>
    <w:rsid w:val="6FFB47EC"/>
    <w:rsid w:val="6FFF034A"/>
    <w:rsid w:val="70496804"/>
    <w:rsid w:val="70587444"/>
    <w:rsid w:val="705B6F34"/>
    <w:rsid w:val="712A28F1"/>
    <w:rsid w:val="714F4CEB"/>
    <w:rsid w:val="715C0E4B"/>
    <w:rsid w:val="72233669"/>
    <w:rsid w:val="726E73F3"/>
    <w:rsid w:val="72734D90"/>
    <w:rsid w:val="72CA214F"/>
    <w:rsid w:val="73245D03"/>
    <w:rsid w:val="7332FE48"/>
    <w:rsid w:val="73337AA3"/>
    <w:rsid w:val="73465C7A"/>
    <w:rsid w:val="7347064A"/>
    <w:rsid w:val="73AB61DA"/>
    <w:rsid w:val="73AD73D5"/>
    <w:rsid w:val="73B6EB34"/>
    <w:rsid w:val="73F43927"/>
    <w:rsid w:val="73FA497D"/>
    <w:rsid w:val="744731E5"/>
    <w:rsid w:val="74527205"/>
    <w:rsid w:val="746464FE"/>
    <w:rsid w:val="74BBD01D"/>
    <w:rsid w:val="74C90910"/>
    <w:rsid w:val="74ED5379"/>
    <w:rsid w:val="74FC2395"/>
    <w:rsid w:val="75045DEC"/>
    <w:rsid w:val="75A03D67"/>
    <w:rsid w:val="75D92DD5"/>
    <w:rsid w:val="75DEEEC2"/>
    <w:rsid w:val="75FC2F67"/>
    <w:rsid w:val="76244623"/>
    <w:rsid w:val="76377AFB"/>
    <w:rsid w:val="76E3355F"/>
    <w:rsid w:val="76FF5125"/>
    <w:rsid w:val="776F6FFA"/>
    <w:rsid w:val="778769C8"/>
    <w:rsid w:val="77DC22F5"/>
    <w:rsid w:val="783E7867"/>
    <w:rsid w:val="78411105"/>
    <w:rsid w:val="78D424D0"/>
    <w:rsid w:val="78E26444"/>
    <w:rsid w:val="79086DAD"/>
    <w:rsid w:val="79974F09"/>
    <w:rsid w:val="79B4565F"/>
    <w:rsid w:val="79BC0A44"/>
    <w:rsid w:val="79D7FD79"/>
    <w:rsid w:val="79EE5BA4"/>
    <w:rsid w:val="79FF6B82"/>
    <w:rsid w:val="7A894339"/>
    <w:rsid w:val="7AFF7572"/>
    <w:rsid w:val="7B6C7DFB"/>
    <w:rsid w:val="7BBFBED0"/>
    <w:rsid w:val="7BC3E394"/>
    <w:rsid w:val="7BC62CD4"/>
    <w:rsid w:val="7C091F3A"/>
    <w:rsid w:val="7C1F3737"/>
    <w:rsid w:val="7C835849"/>
    <w:rsid w:val="7CBFC87B"/>
    <w:rsid w:val="7CFE0F48"/>
    <w:rsid w:val="7D1868D9"/>
    <w:rsid w:val="7D5B3B48"/>
    <w:rsid w:val="7D7EC23E"/>
    <w:rsid w:val="7D916348"/>
    <w:rsid w:val="7D9B3066"/>
    <w:rsid w:val="7DAA2D8B"/>
    <w:rsid w:val="7DB163E5"/>
    <w:rsid w:val="7E1331B1"/>
    <w:rsid w:val="7E265025"/>
    <w:rsid w:val="7E8ADEBF"/>
    <w:rsid w:val="7EEF11D3"/>
    <w:rsid w:val="7F0971A6"/>
    <w:rsid w:val="7F2053D1"/>
    <w:rsid w:val="7F3F679B"/>
    <w:rsid w:val="7F4FC4EF"/>
    <w:rsid w:val="7F5E4D54"/>
    <w:rsid w:val="7F6E0135"/>
    <w:rsid w:val="7FA30C79"/>
    <w:rsid w:val="7FAF8ABF"/>
    <w:rsid w:val="7FB623D9"/>
    <w:rsid w:val="7FB7269E"/>
    <w:rsid w:val="7FC96657"/>
    <w:rsid w:val="7FD36AE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next w:val="1"/>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qFormat/>
    <w:uiPriority w:val="99"/>
    <w:rPr>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oleObject" Target="embeddings/oleObject3.bin"/><Relationship Id="rId11" Type="http://schemas.openxmlformats.org/officeDocument/2006/relationships/chart" Target="charts/chart1.xml"/><Relationship Id="rId10" Type="http://schemas.openxmlformats.org/officeDocument/2006/relationships/image" Target="media/image2.e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68306079141181"/>
          <c:y val="0.0966949952785647"/>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269.13</c:v>
                </c:pt>
                <c:pt idx="1">
                  <c:v>40423.91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750468106353764"/>
          <c:y val="0.764494806421152"/>
        </c:manualLayout>
      </c:layout>
      <c:overlay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0dc36a0-4fe3-4aa7-82ae-5f490b32bdb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Sheet1!#REF!</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Sheet1!$A$1:$A$2</c:f>
              <c:strCache>
                <c:ptCount val="2"/>
                <c:pt idx="0">
                  <c:v>2024年一般公共预算财政拨款支出</c:v>
                </c:pt>
                <c:pt idx="1">
                  <c:v>2025年一般公共预算财政拨款支出</c:v>
                </c:pt>
              </c:strCache>
            </c:strRef>
          </c:cat>
          <c:val>
            <c:numRef>
              <c:f>Sheet1!$B$1:$B$2</c:f>
              <c:numCache>
                <c:formatCode>General</c:formatCode>
                <c:ptCount val="2"/>
                <c:pt idx="0">
                  <c:v>34967.98</c:v>
                </c:pt>
                <c:pt idx="1">
                  <c:v>32593.05</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Sheet1!$A$1:$A$2</c:f>
              <c:strCache>
                <c:ptCount val="2"/>
                <c:pt idx="0">
                  <c:v>2024年一般公共预算财政拨款支出</c:v>
                </c:pt>
                <c:pt idx="1">
                  <c:v>2025年一般公共预算财政拨款支出</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Sheet1!$A$1:$A$2</c:f>
              <c:strCache>
                <c:ptCount val="2"/>
                <c:pt idx="0">
                  <c:v>2024年一般公共预算财政拨款支出</c:v>
                </c:pt>
                <c:pt idx="1">
                  <c:v>2025年一般公共预算财政拨款支出</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60"/>
        <c:overlap val="-32"/>
        <c:axId val="447952550"/>
        <c:axId val="402489401"/>
      </c:barChart>
      <c:catAx>
        <c:axId val="44795255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489401"/>
        <c:crosses val="autoZero"/>
        <c:auto val="1"/>
        <c:lblAlgn val="ctr"/>
        <c:lblOffset val="100"/>
        <c:noMultiLvlLbl val="0"/>
      </c:catAx>
      <c:valAx>
        <c:axId val="402489401"/>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7952550"/>
        <c:crosses val="autoZero"/>
        <c:crossBetween val="between"/>
      </c:valAx>
      <c:spPr>
        <a:noFill/>
        <a:ln>
          <a:noFill/>
        </a:ln>
        <a:effectLst/>
      </c:spPr>
    </c:plotArea>
    <c:plotVisOnly val="1"/>
    <c:dispBlanksAs val="gap"/>
    <c:showDLblsOverMax val="0"/>
    <c:extLst>
      <c:ext uri="{0b15fc19-7d7d-44ad-8c2d-2c3a37ce22c3}">
        <chartProps xmlns="https://web.wps.cn/et/2018/main" chartId="{58c9b87c-ea00-4362-92ed-7a255f71fc9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1"/>
          <c:order val="0"/>
          <c:tx>
            <c:strRef>
              <c:f>Sheet1!$B$1</c:f>
              <c:strCache>
                <c:ptCount val="1"/>
                <c:pt idx="0">
                  <c:v>一般公共预算财政支出决算结构表</c:v>
                </c:pt>
              </c:strCache>
            </c:strRef>
          </c:tx>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c:spPr>
          </c:dPt>
          <c:dPt>
            <c:idx val="2"/>
            <c:bubble3D val="0"/>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c:spPr>
          </c:dPt>
          <c:dPt>
            <c:idx val="3"/>
            <c:bubble3D val="0"/>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c:spPr>
          </c:dPt>
          <c:dPt>
            <c:idx val="4"/>
            <c:bubble3D val="0"/>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c:spPr>
          </c:dPt>
          <c:dPt>
            <c:idx val="5"/>
            <c:bubble3D val="0"/>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c:spPr>
          </c:dPt>
          <c:dPt>
            <c:idx val="6"/>
            <c:bubble3D val="0"/>
            <c:spPr>
              <a:gradFill>
                <a:gsLst>
                  <a:gs pos="0">
                    <a:schemeClr val="accent1">
                      <a:lumMod val="60000"/>
                      <a:lumMod val="40000"/>
                      <a:lumOff val="60000"/>
                    </a:schemeClr>
                  </a:gs>
                  <a:gs pos="90000">
                    <a:schemeClr val="accent1">
                      <a:lumMod val="60000"/>
                    </a:schemeClr>
                  </a:gs>
                </a:gsLst>
                <a:lin ang="5400000" scaled="0"/>
              </a:gradFill>
              <a:ln>
                <a:gradFill>
                  <a:gsLst>
                    <a:gs pos="0">
                      <a:schemeClr val="accent1">
                        <a:lumMod val="60000"/>
                      </a:schemeClr>
                    </a:gs>
                    <a:gs pos="100000">
                      <a:schemeClr val="accent1">
                        <a:lumMod val="60000"/>
                        <a:lumMod val="75000"/>
                      </a:schemeClr>
                    </a:gs>
                  </a:gsLst>
                  <a:lin ang="5400000" scaled="1"/>
                </a:gra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一般公共服务支出</c:v>
                </c:pt>
                <c:pt idx="1">
                  <c:v>社会保障和就业支出</c:v>
                </c:pt>
                <c:pt idx="2">
                  <c:v>卫生健康支出</c:v>
                </c:pt>
                <c:pt idx="3">
                  <c:v>节能环保支出</c:v>
                </c:pt>
                <c:pt idx="4">
                  <c:v>城乡社区支出</c:v>
                </c:pt>
                <c:pt idx="5">
                  <c:v>农林水支出</c:v>
                </c:pt>
                <c:pt idx="6">
                  <c:v>住房保障支出</c:v>
                </c:pt>
              </c:strCache>
            </c:strRef>
          </c:cat>
          <c:val>
            <c:numRef>
              <c:f>Sheet1!$B$2:$B$8</c:f>
              <c:numCache>
                <c:formatCode>General</c:formatCode>
                <c:ptCount val="7"/>
                <c:pt idx="0">
                  <c:v>74.84</c:v>
                </c:pt>
                <c:pt idx="1">
                  <c:v>34.54</c:v>
                </c:pt>
                <c:pt idx="2">
                  <c:v>12.19</c:v>
                </c:pt>
                <c:pt idx="3">
                  <c:v>8308.68</c:v>
                </c:pt>
                <c:pt idx="4">
                  <c:v>20484.36</c:v>
                </c:pt>
                <c:pt idx="5">
                  <c:v>3275.31</c:v>
                </c:pt>
                <c:pt idx="6">
                  <c:v>403.13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0d5e81b-953b-40a3-a22c-fd28878ee55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三公经费财政拨款支出结构图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3"/>
              </a:solidFill>
              <a:ln>
                <a:solidFill>
                  <a:schemeClr val="bg1"/>
                </a:solidFill>
              </a:ln>
              <a:effectLst/>
            </c:spPr>
          </c:dPt>
          <c:dPt>
            <c:idx val="2"/>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10</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c5ec02f-dfdf-416d-9c55-29a57cccc89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1037"/>
    <customShpInfo spid="_x0000_s1038"/>
    <customShpInfo spid="_x0000_s103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7516</Words>
  <Characters>8237</Characters>
  <Lines>61</Lines>
  <Paragraphs>17</Paragraphs>
  <TotalTime>1</TotalTime>
  <ScaleCrop>false</ScaleCrop>
  <LinksUpToDate>false</LinksUpToDate>
  <CharactersWithSpaces>8263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sang ji cuo</cp:lastModifiedBy>
  <cp:lastPrinted>2026-08-03T09:27:00Z</cp:lastPrinted>
  <dcterms:modified xsi:type="dcterms:W3CDTF">2026-10-26T08:41:00Z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9939AA792DE2444483FA0E165CB65A38_13</vt:lpwstr>
  </property>
  <property fmtid="{D5CDD505-2E9C-101B-9397-08002B2CF9AE}" pid="4" name="KSOTemplateDocerSaveRecord">
    <vt:lpwstr>eyJoZGlkIjoiY2Y3MjIzM2U2MDgzODZmNDczOTZlNDcyNzZhMGNiN2QiLCJ1c2VySWQiOiIzMTg3MDAwMzIifQ==</vt:lpwstr>
  </property>
</Properties>
</file>