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left"/>
        <w:rPr>
          <w:rFonts w:ascii="方正小标宋简体" w:hAnsi="宋体" w:eastAsia="方正小标宋简体"/>
          <w:szCs w:val="21"/>
        </w:rPr>
      </w:pPr>
      <w:bookmarkStart w:id="0" w:name="_Toc15306267"/>
    </w:p>
    <w:p>
      <w:pPr>
        <w:spacing w:line="600" w:lineRule="exact"/>
        <w:jc w:val="left"/>
        <w:rPr>
          <w:rFonts w:ascii="方正小标宋简体" w:hAnsi="宋体" w:eastAsia="方正小标宋简体"/>
          <w:szCs w:val="21"/>
        </w:rPr>
      </w:pPr>
    </w:p>
    <w:p>
      <w:pPr>
        <w:pStyle w:val="6"/>
        <w:spacing w:before="30" w:beforeLines="0"/>
      </w:pPr>
    </w:p>
    <w:p>
      <w:pPr>
        <w:spacing w:line="600" w:lineRule="exact"/>
        <w:jc w:val="center"/>
        <w:rPr>
          <w:rFonts w:ascii="方正小标宋简体" w:hAnsi="宋体" w:eastAsia="方正小标宋简体"/>
          <w:sz w:val="72"/>
          <w:szCs w:val="72"/>
        </w:rPr>
      </w:pPr>
    </w:p>
    <w:p>
      <w:pPr>
        <w:spacing w:line="600" w:lineRule="exact"/>
        <w:jc w:val="center"/>
        <w:rPr>
          <w:rFonts w:ascii="方正小标宋简体" w:hAnsi="宋体" w:eastAsia="方正小标宋简体"/>
          <w:sz w:val="72"/>
          <w:szCs w:val="72"/>
        </w:rPr>
      </w:pPr>
    </w:p>
    <w:bookmarkEnd w:id="0"/>
    <w:p>
      <w:pPr>
        <w:adjustRightInd w:val="0"/>
        <w:snapToGrid w:val="0"/>
        <w:spacing w:line="360" w:lineRule="auto"/>
        <w:jc w:val="center"/>
        <w:outlineLvl w:val="0"/>
        <w:rPr>
          <w:rFonts w:ascii="方正小标宋简体" w:eastAsia="方正小标宋简体" w:cs="方正小标宋简体"/>
          <w:sz w:val="72"/>
          <w:szCs w:val="72"/>
        </w:rPr>
      </w:pPr>
      <w:bookmarkStart w:id="1" w:name="_Toc601022011"/>
      <w:bookmarkStart w:id="2" w:name="_Toc22916"/>
      <w:bookmarkStart w:id="3" w:name="_Toc6415"/>
      <w:r>
        <w:rPr>
          <w:rFonts w:hint="eastAsia" w:ascii="方正小标宋简体" w:eastAsia="方正小标宋简体" w:cs="方正小标宋简体"/>
          <w:sz w:val="72"/>
          <w:szCs w:val="72"/>
        </w:rPr>
        <w:t>202</w:t>
      </w:r>
      <w:r>
        <w:rPr>
          <w:rFonts w:ascii="方正小标宋简体" w:eastAsia="方正小标宋简体" w:cs="方正小标宋简体"/>
          <w:sz w:val="72"/>
          <w:szCs w:val="72"/>
          <w:lang w:val="en-US"/>
        </w:rPr>
        <w:t>5</w:t>
      </w:r>
      <w:r>
        <w:rPr>
          <w:rFonts w:hint="eastAsia" w:ascii="方正小标宋简体" w:eastAsia="方正小标宋简体" w:cs="方正小标宋简体"/>
          <w:sz w:val="72"/>
          <w:szCs w:val="72"/>
        </w:rPr>
        <w:t>年度</w:t>
      </w:r>
      <w:bookmarkEnd w:id="1"/>
      <w:bookmarkEnd w:id="2"/>
      <w:bookmarkEnd w:id="3"/>
    </w:p>
    <w:p>
      <w:pPr>
        <w:adjustRightInd w:val="0"/>
        <w:snapToGrid w:val="0"/>
        <w:spacing w:line="360" w:lineRule="auto"/>
        <w:jc w:val="center"/>
        <w:outlineLvl w:val="0"/>
        <w:rPr>
          <w:rFonts w:ascii="方正小标宋简体" w:eastAsia="方正小标宋简体" w:cs="方正小标宋简体"/>
          <w:b/>
          <w:sz w:val="72"/>
          <w:szCs w:val="72"/>
        </w:rPr>
      </w:pPr>
      <w:bookmarkStart w:id="4" w:name="_Toc15306268"/>
      <w:bookmarkStart w:id="5" w:name="_Toc15396476"/>
      <w:bookmarkStart w:id="6" w:name="_Toc1633591065"/>
      <w:bookmarkStart w:id="7" w:name="_Toc10234"/>
      <w:bookmarkStart w:id="8" w:name="_Toc15378442"/>
      <w:bookmarkStart w:id="9" w:name="_Toc15377194"/>
      <w:bookmarkStart w:id="10" w:name="_Toc12343"/>
      <w:bookmarkStart w:id="11" w:name="_Toc15396598"/>
      <w:bookmarkStart w:id="12" w:name="_Toc15377426"/>
      <w:r>
        <w:rPr>
          <w:rFonts w:hint="eastAsia" w:ascii="方正小标宋简体" w:eastAsia="方正小标宋简体" w:cs="方正小标宋简体"/>
          <w:b/>
          <w:sz w:val="72"/>
          <w:szCs w:val="72"/>
        </w:rPr>
        <w:t>中国人民政治协商会议阿坝州若尔盖县委</w:t>
      </w:r>
      <w:bookmarkStart w:id="110" w:name="_GoBack"/>
      <w:bookmarkEnd w:id="110"/>
      <w:r>
        <w:rPr>
          <w:rFonts w:hint="eastAsia" w:ascii="方正小标宋简体" w:eastAsia="方正小标宋简体" w:cs="方正小标宋简体"/>
          <w:b/>
          <w:sz w:val="72"/>
          <w:szCs w:val="72"/>
        </w:rPr>
        <w:t>员会办公室</w:t>
      </w:r>
      <w:r>
        <w:rPr>
          <w:rFonts w:hint="eastAsia" w:ascii="方正小标宋简体" w:eastAsia="方正小标宋简体" w:cs="方正小标宋简体"/>
          <w:b/>
          <w:sz w:val="72"/>
          <w:szCs w:val="72"/>
          <w:lang w:eastAsia="zh-CN"/>
        </w:rPr>
        <w:t>部门</w:t>
      </w:r>
      <w:r>
        <w:rPr>
          <w:rFonts w:hint="eastAsia" w:ascii="方正小标宋简体" w:eastAsia="方正小标宋简体" w:cs="方正小标宋简体"/>
          <w:b/>
          <w:sz w:val="72"/>
          <w:szCs w:val="72"/>
        </w:rPr>
        <w:t>决算</w:t>
      </w:r>
      <w:bookmarkEnd w:id="4"/>
      <w:bookmarkEnd w:id="5"/>
      <w:bookmarkEnd w:id="6"/>
      <w:bookmarkEnd w:id="7"/>
      <w:bookmarkEnd w:id="8"/>
      <w:bookmarkEnd w:id="9"/>
      <w:bookmarkEnd w:id="10"/>
      <w:bookmarkEnd w:id="11"/>
      <w:bookmarkEnd w:id="12"/>
    </w:p>
    <w:p>
      <w:pPr>
        <w:widowControl/>
        <w:jc w:val="center"/>
        <w:rPr>
          <w:rFonts w:ascii="方正小标宋简体" w:hAnsi="宋体" w:eastAsia="方正小标宋简体"/>
          <w:sz w:val="36"/>
          <w:szCs w:val="36"/>
        </w:rPr>
      </w:pPr>
    </w:p>
    <w:p>
      <w:pPr>
        <w:widowControl/>
        <w:rPr>
          <w:rFonts w:ascii="方正小标宋简体" w:hAnsi="宋体" w:eastAsia="方正小标宋简体"/>
          <w:sz w:val="36"/>
          <w:szCs w:val="36"/>
        </w:rPr>
      </w:pPr>
    </w:p>
    <w:p>
      <w:pPr>
        <w:widowControl/>
        <w:jc w:val="center"/>
        <w:rPr>
          <w:rFonts w:ascii="方正小标宋简体" w:hAnsi="宋体" w:eastAsia="方正小标宋简体"/>
          <w:sz w:val="36"/>
          <w:szCs w:val="36"/>
        </w:rPr>
      </w:pPr>
    </w:p>
    <w:p>
      <w:pPr>
        <w:widowControl/>
        <w:jc w:val="center"/>
        <w:rPr>
          <w:rFonts w:ascii="方正小标宋简体" w:hAnsi="宋体" w:eastAsia="方正小标宋简体"/>
          <w:sz w:val="36"/>
          <w:szCs w:val="36"/>
        </w:rPr>
      </w:pPr>
    </w:p>
    <w:p>
      <w:pPr>
        <w:widowControl/>
        <w:jc w:val="center"/>
        <w:rPr>
          <w:rFonts w:ascii="方正小标宋简体" w:hAnsi="宋体" w:eastAsia="方正小标宋简体"/>
          <w:sz w:val="36"/>
          <w:szCs w:val="36"/>
        </w:rPr>
      </w:pPr>
    </w:p>
    <w:p>
      <w:pPr>
        <w:widowControl/>
        <w:jc w:val="center"/>
        <w:rPr>
          <w:rFonts w:ascii="黑体" w:hAnsi="黑体" w:eastAsia="黑体"/>
          <w:sz w:val="48"/>
          <w:szCs w:val="48"/>
        </w:rPr>
      </w:pPr>
      <w:r>
        <w:rPr>
          <w:rFonts w:hint="eastAsia" w:ascii="方正小标宋简体" w:hAnsi="宋体" w:eastAsia="方正小标宋简体"/>
          <w:sz w:val="24"/>
        </w:rPr>
        <w:t>已经保密审查、内容审定，同意对外公开</w:t>
      </w:r>
      <w:r>
        <w:rPr>
          <w:rFonts w:ascii="方正小标宋简体" w:hAnsi="宋体" w:eastAsia="方正小标宋简体"/>
          <w:sz w:val="24"/>
        </w:rPr>
        <w:br w:type="page"/>
      </w:r>
      <w:r>
        <w:rPr>
          <w:rFonts w:hint="eastAsia" w:ascii="黑体" w:hAnsi="黑体" w:eastAsia="黑体"/>
          <w:sz w:val="48"/>
          <w:szCs w:val="48"/>
        </w:rPr>
        <w:t>目录</w:t>
      </w:r>
    </w:p>
    <w:p>
      <w:pPr>
        <w:widowControl/>
        <w:jc w:val="center"/>
        <w:rPr>
          <w:rFonts w:ascii="黑体" w:hAnsi="黑体" w:eastAsia="黑体" w:cs="Arial"/>
          <w:sz w:val="28"/>
          <w:szCs w:val="28"/>
        </w:rPr>
      </w:pPr>
    </w:p>
    <w:p>
      <w:pPr>
        <w:pStyle w:val="12"/>
      </w:pPr>
      <w:r>
        <w:rPr>
          <w:rFonts w:hint="eastAsia"/>
        </w:rPr>
        <w:t>公开时间：202</w:t>
      </w:r>
      <w:r>
        <w:rPr>
          <w:lang w:val="en-US"/>
        </w:rPr>
        <w:t>6</w:t>
      </w:r>
      <w:r>
        <w:rPr>
          <w:rFonts w:hint="eastAsia"/>
        </w:rPr>
        <w:t>年</w:t>
      </w:r>
      <w:r>
        <w:t>10</w:t>
      </w:r>
      <w:r>
        <w:rPr>
          <w:rFonts w:hint="eastAsia"/>
        </w:rPr>
        <w:t>月</w:t>
      </w:r>
      <w:r>
        <w:t>1</w:t>
      </w:r>
      <w:r>
        <w:rPr>
          <w:lang w:val="en-US"/>
        </w:rPr>
        <w:t>0</w:t>
      </w:r>
      <w:r>
        <w:rPr>
          <w:rFonts w:hint="eastAsia"/>
        </w:rPr>
        <w:t>日</w:t>
      </w:r>
    </w:p>
    <w:p/>
    <w:sdt>
      <w:sdtPr>
        <w:rPr>
          <w:rFonts w:ascii="宋体" w:hAnsi="宋体" w:eastAsia="仿宋"/>
          <w:sz w:val="28"/>
          <w:szCs w:val="28"/>
        </w:rPr>
        <w:id w:val="-1"/>
        <w:docPartObj>
          <w:docPartGallery w:val="Table of Contents"/>
          <w:docPartUnique/>
        </w:docPartObj>
      </w:sdtPr>
      <w:sdtEndPr>
        <w:rPr>
          <w:rFonts w:hint="eastAsia" w:ascii="仿宋" w:hAnsi="仿宋" w:eastAsia="仿宋"/>
          <w:b/>
          <w:sz w:val="28"/>
          <w:szCs w:val="28"/>
        </w:rPr>
      </w:sdtEndPr>
      <w:sdtContent>
        <w:p>
          <w:pPr>
            <w:tabs>
              <w:tab w:val="right" w:leader="dot" w:pos="8296"/>
            </w:tabs>
            <w:adjustRightInd w:val="0"/>
            <w:snapToGrid w:val="0"/>
            <w:spacing w:before="0" w:line="440" w:lineRule="exact"/>
            <w:jc w:val="center"/>
            <w:rPr>
              <w:rFonts w:hint="eastAsia" w:ascii="Times New Roman" w:hAnsi="Times New Roman" w:eastAsia="宋体" w:cs="Times New Roman"/>
              <w:b/>
              <w:kern w:val="2"/>
              <w:sz w:val="21"/>
              <w:szCs w:val="24"/>
              <w:lang w:val="en-US" w:eastAsia="zh-CN" w:bidi="ar-SA"/>
            </w:rPr>
          </w:pPr>
          <w:r>
            <w:rPr>
              <w:rFonts w:hint="eastAsia"/>
              <w:sz w:val="24"/>
            </w:rPr>
            <w:fldChar w:fldCharType="begin"/>
          </w:r>
          <w:r>
            <w:rPr>
              <w:rFonts w:hint="eastAsia"/>
              <w:sz w:val="24"/>
            </w:rPr>
            <w:instrText xml:space="preserve">TOC \o "1-2" \h \u </w:instrText>
          </w:r>
          <w:r>
            <w:rPr>
              <w:rFonts w:hint="eastAsia"/>
              <w:sz w:val="24"/>
            </w:rPr>
            <w:fldChar w:fldCharType="separate"/>
          </w:r>
        </w:p>
        <w:p>
          <w:pPr>
            <w:pStyle w:val="12"/>
            <w:tabs>
              <w:tab w:val="right" w:leader="dot" w:pos="8482"/>
              <w:tab w:val="clear" w:pos="8296"/>
            </w:tabs>
            <w:jc w:val="both"/>
          </w:pPr>
          <w:r>
            <w:rPr>
              <w:rFonts w:hint="eastAsia"/>
            </w:rPr>
            <w:fldChar w:fldCharType="begin"/>
          </w:r>
          <w:r>
            <w:rPr>
              <w:rFonts w:hint="eastAsia"/>
            </w:rPr>
            <w:instrText xml:space="preserve"> HYPERLINK \l _Toc1761349431 </w:instrText>
          </w:r>
          <w:r>
            <w:rPr>
              <w:rFonts w:hint="eastAsia"/>
            </w:rPr>
            <w:fldChar w:fldCharType="separate"/>
          </w:r>
          <w:r>
            <w:rPr>
              <w:rFonts w:hint="eastAsia" w:ascii="黑体" w:hAnsi="黑体" w:eastAsia="黑体"/>
            </w:rPr>
            <w:t>第一部分 单位</w:t>
          </w:r>
          <w:r>
            <w:rPr>
              <w:rFonts w:hint="eastAsia" w:ascii="黑体" w:hAnsi="黑体" w:eastAsia="黑体"/>
              <w:bCs w:val="0"/>
            </w:rPr>
            <w:t>概况</w:t>
          </w:r>
          <w:r>
            <w:tab/>
          </w:r>
          <w:r>
            <w:fldChar w:fldCharType="begin"/>
          </w:r>
          <w:r>
            <w:instrText xml:space="preserve"> PAGEREF _Toc1761349431 \h </w:instrText>
          </w:r>
          <w:r>
            <w:fldChar w:fldCharType="separate"/>
          </w:r>
          <w:r>
            <w:t>1</w:t>
          </w:r>
          <w:r>
            <w:fldChar w:fldCharType="end"/>
          </w:r>
          <w:r>
            <w:rPr>
              <w:rFonts w:hint="eastAsia"/>
            </w:rPr>
            <w:fldChar w:fldCharType="end"/>
          </w:r>
        </w:p>
        <w:p>
          <w:pPr>
            <w:pStyle w:val="13"/>
            <w:tabs>
              <w:tab w:val="right" w:leader="dot" w:pos="8482"/>
              <w:tab w:val="clear" w:pos="8296"/>
            </w:tabs>
          </w:pPr>
          <w:r>
            <w:rPr>
              <w:rFonts w:hint="eastAsia"/>
            </w:rPr>
            <w:fldChar w:fldCharType="begin"/>
          </w:r>
          <w:r>
            <w:rPr>
              <w:rFonts w:hint="eastAsia"/>
            </w:rPr>
            <w:instrText xml:space="preserve"> HYPERLINK \l _Toc720305151 </w:instrText>
          </w:r>
          <w:r>
            <w:rPr>
              <w:rFonts w:hint="eastAsia"/>
            </w:rPr>
            <w:fldChar w:fldCharType="separate"/>
          </w:r>
          <w:r>
            <w:rPr>
              <w:rFonts w:hint="eastAsia" w:ascii="黑体" w:hAnsi="黑体" w:eastAsia="黑体"/>
              <w:bCs w:val="0"/>
            </w:rPr>
            <w:t>一、 主要职责</w:t>
          </w:r>
          <w:r>
            <w:tab/>
          </w:r>
          <w:r>
            <w:fldChar w:fldCharType="begin"/>
          </w:r>
          <w:r>
            <w:instrText xml:space="preserve"> PAGEREF _Toc720305151 \h </w:instrText>
          </w:r>
          <w:r>
            <w:fldChar w:fldCharType="separate"/>
          </w:r>
          <w:r>
            <w:t>1</w:t>
          </w:r>
          <w:r>
            <w:fldChar w:fldCharType="end"/>
          </w:r>
          <w:r>
            <w:rPr>
              <w:rFonts w:hint="eastAsia"/>
            </w:rPr>
            <w:fldChar w:fldCharType="end"/>
          </w:r>
        </w:p>
        <w:p>
          <w:pPr>
            <w:pStyle w:val="13"/>
            <w:tabs>
              <w:tab w:val="right" w:leader="dot" w:pos="8482"/>
              <w:tab w:val="clear" w:pos="8296"/>
            </w:tabs>
          </w:pPr>
          <w:r>
            <w:rPr>
              <w:rFonts w:hint="eastAsia"/>
            </w:rPr>
            <w:fldChar w:fldCharType="begin"/>
          </w:r>
          <w:r>
            <w:rPr>
              <w:rFonts w:hint="eastAsia"/>
            </w:rPr>
            <w:instrText xml:space="preserve"> HYPERLINK \l _Toc1642823526 </w:instrText>
          </w:r>
          <w:r>
            <w:rPr>
              <w:rFonts w:hint="eastAsia"/>
            </w:rPr>
            <w:fldChar w:fldCharType="separate"/>
          </w:r>
          <w:r>
            <w:rPr>
              <w:rFonts w:hint="eastAsia" w:ascii="黑体" w:hAnsi="黑体" w:eastAsia="黑体"/>
            </w:rPr>
            <w:t>二、机构设置</w:t>
          </w:r>
          <w:r>
            <w:tab/>
          </w:r>
          <w:r>
            <w:fldChar w:fldCharType="begin"/>
          </w:r>
          <w:r>
            <w:instrText xml:space="preserve"> PAGEREF _Toc1642823526 \h </w:instrText>
          </w:r>
          <w:r>
            <w:fldChar w:fldCharType="separate"/>
          </w:r>
          <w:r>
            <w:t>1</w:t>
          </w:r>
          <w:r>
            <w:fldChar w:fldCharType="end"/>
          </w:r>
          <w:r>
            <w:rPr>
              <w:rFonts w:hint="eastAsia"/>
            </w:rPr>
            <w:fldChar w:fldCharType="end"/>
          </w:r>
        </w:p>
        <w:p>
          <w:pPr>
            <w:pStyle w:val="12"/>
            <w:tabs>
              <w:tab w:val="right" w:leader="dot" w:pos="8482"/>
              <w:tab w:val="clear" w:pos="8296"/>
            </w:tabs>
          </w:pPr>
          <w:r>
            <w:rPr>
              <w:rFonts w:hint="eastAsia"/>
            </w:rPr>
            <w:fldChar w:fldCharType="begin"/>
          </w:r>
          <w:r>
            <w:rPr>
              <w:rFonts w:hint="eastAsia"/>
            </w:rPr>
            <w:instrText xml:space="preserve"> HYPERLINK \l _Toc442081589 </w:instrText>
          </w:r>
          <w:r>
            <w:rPr>
              <w:rFonts w:hint="eastAsia"/>
            </w:rPr>
            <w:fldChar w:fldCharType="separate"/>
          </w:r>
          <w:r>
            <w:rPr>
              <w:rFonts w:hint="eastAsia" w:ascii="黑体" w:hAnsi="黑体" w:eastAsia="黑体"/>
            </w:rPr>
            <w:t>第二部分 202</w:t>
          </w:r>
          <w:r>
            <w:rPr>
              <w:rFonts w:ascii="黑体" w:hAnsi="黑体" w:eastAsia="黑体"/>
              <w:lang w:val="en-US"/>
            </w:rPr>
            <w:t>5</w:t>
          </w:r>
          <w:r>
            <w:rPr>
              <w:rFonts w:hint="eastAsia" w:ascii="黑体" w:hAnsi="黑体" w:eastAsia="黑体"/>
            </w:rPr>
            <w:t>年度</w:t>
          </w:r>
          <w:r>
            <w:rPr>
              <w:rFonts w:hint="eastAsia" w:ascii="黑体" w:hAnsi="黑体" w:eastAsia="黑体"/>
              <w:bCs/>
            </w:rPr>
            <w:t>单位决算情况说明</w:t>
          </w:r>
          <w:r>
            <w:tab/>
          </w:r>
          <w:r>
            <w:fldChar w:fldCharType="begin"/>
          </w:r>
          <w:r>
            <w:instrText xml:space="preserve"> PAGEREF _Toc442081589 \h </w:instrText>
          </w:r>
          <w:r>
            <w:fldChar w:fldCharType="separate"/>
          </w:r>
          <w:r>
            <w:t>2</w:t>
          </w:r>
          <w:r>
            <w:fldChar w:fldCharType="end"/>
          </w:r>
          <w:r>
            <w:rPr>
              <w:rFonts w:hint="eastAsia"/>
            </w:rPr>
            <w:fldChar w:fldCharType="end"/>
          </w:r>
        </w:p>
        <w:p>
          <w:pPr>
            <w:pStyle w:val="13"/>
            <w:tabs>
              <w:tab w:val="right" w:leader="dot" w:pos="8482"/>
              <w:tab w:val="clear" w:pos="8296"/>
            </w:tabs>
          </w:pPr>
          <w:r>
            <w:rPr>
              <w:rFonts w:hint="eastAsia"/>
            </w:rPr>
            <w:fldChar w:fldCharType="begin"/>
          </w:r>
          <w:r>
            <w:rPr>
              <w:rFonts w:hint="eastAsia"/>
            </w:rPr>
            <w:instrText xml:space="preserve"> HYPERLINK \l _Toc1825917681 </w:instrText>
          </w:r>
          <w:r>
            <w:rPr>
              <w:rFonts w:hint="eastAsia"/>
            </w:rPr>
            <w:fldChar w:fldCharType="separate"/>
          </w:r>
          <w:r>
            <w:rPr>
              <w:rFonts w:hint="default" w:ascii="黑体" w:hAnsi="黑体" w:eastAsia="黑体"/>
            </w:rPr>
            <w:t xml:space="preserve">一、 </w:t>
          </w:r>
          <w:r>
            <w:rPr>
              <w:rFonts w:hint="eastAsia" w:ascii="黑体" w:hAnsi="黑体" w:eastAsia="黑体"/>
              <w:szCs w:val="32"/>
            </w:rPr>
            <w:t>收</w:t>
          </w:r>
          <w:r>
            <w:rPr>
              <w:rFonts w:hint="eastAsia" w:ascii="黑体" w:hAnsi="黑体" w:eastAsia="黑体"/>
            </w:rPr>
            <w:t>入支出决算总体情况说明</w:t>
          </w:r>
          <w:r>
            <w:tab/>
          </w:r>
          <w:r>
            <w:fldChar w:fldCharType="begin"/>
          </w:r>
          <w:r>
            <w:instrText xml:space="preserve"> PAGEREF _Toc1825917681 \h </w:instrText>
          </w:r>
          <w:r>
            <w:fldChar w:fldCharType="separate"/>
          </w:r>
          <w:r>
            <w:t>2</w:t>
          </w:r>
          <w:r>
            <w:fldChar w:fldCharType="end"/>
          </w:r>
          <w:r>
            <w:rPr>
              <w:rFonts w:hint="eastAsia"/>
            </w:rPr>
            <w:fldChar w:fldCharType="end"/>
          </w:r>
        </w:p>
        <w:p>
          <w:pPr>
            <w:pStyle w:val="13"/>
            <w:tabs>
              <w:tab w:val="right" w:leader="dot" w:pos="8482"/>
              <w:tab w:val="clear" w:pos="8296"/>
            </w:tabs>
          </w:pPr>
          <w:r>
            <w:rPr>
              <w:rFonts w:hint="eastAsia"/>
            </w:rPr>
            <w:fldChar w:fldCharType="begin"/>
          </w:r>
          <w:r>
            <w:rPr>
              <w:rFonts w:hint="eastAsia"/>
            </w:rPr>
            <w:instrText xml:space="preserve"> HYPERLINK \l _Toc1378259544 </w:instrText>
          </w:r>
          <w:r>
            <w:rPr>
              <w:rFonts w:hint="eastAsia"/>
            </w:rPr>
            <w:fldChar w:fldCharType="separate"/>
          </w:r>
          <w:r>
            <w:rPr>
              <w:rFonts w:hint="default" w:ascii="黑体" w:hAnsi="黑体" w:eastAsia="黑体"/>
            </w:rPr>
            <w:t xml:space="preserve">二、 </w:t>
          </w:r>
          <w:r>
            <w:rPr>
              <w:rFonts w:hint="eastAsia" w:ascii="黑体" w:hAnsi="黑体" w:eastAsia="黑体"/>
              <w:szCs w:val="32"/>
            </w:rPr>
            <w:t>收</w:t>
          </w:r>
          <w:r>
            <w:rPr>
              <w:rFonts w:hint="eastAsia" w:ascii="黑体" w:hAnsi="黑体" w:eastAsia="黑体"/>
            </w:rPr>
            <w:t>入决算情况说明</w:t>
          </w:r>
          <w:r>
            <w:tab/>
          </w:r>
          <w:r>
            <w:fldChar w:fldCharType="begin"/>
          </w:r>
          <w:r>
            <w:instrText xml:space="preserve"> PAGEREF _Toc1378259544 \h </w:instrText>
          </w:r>
          <w:r>
            <w:fldChar w:fldCharType="separate"/>
          </w:r>
          <w:r>
            <w:t>2</w:t>
          </w:r>
          <w:r>
            <w:fldChar w:fldCharType="end"/>
          </w:r>
          <w:r>
            <w:rPr>
              <w:rFonts w:hint="eastAsia"/>
            </w:rPr>
            <w:fldChar w:fldCharType="end"/>
          </w:r>
        </w:p>
        <w:p>
          <w:pPr>
            <w:pStyle w:val="13"/>
            <w:tabs>
              <w:tab w:val="right" w:leader="dot" w:pos="8482"/>
              <w:tab w:val="clear" w:pos="8296"/>
            </w:tabs>
          </w:pPr>
          <w:r>
            <w:rPr>
              <w:rFonts w:hint="eastAsia"/>
            </w:rPr>
            <w:fldChar w:fldCharType="begin"/>
          </w:r>
          <w:r>
            <w:rPr>
              <w:rFonts w:hint="eastAsia"/>
            </w:rPr>
            <w:instrText xml:space="preserve"> HYPERLINK \l _Toc380511488 </w:instrText>
          </w:r>
          <w:r>
            <w:rPr>
              <w:rFonts w:hint="eastAsia"/>
            </w:rPr>
            <w:fldChar w:fldCharType="separate"/>
          </w:r>
          <w:r>
            <w:rPr>
              <w:rFonts w:hint="default" w:ascii="黑体" w:hAnsi="黑体" w:eastAsia="黑体"/>
            </w:rPr>
            <w:t xml:space="preserve">三、 </w:t>
          </w:r>
          <w:r>
            <w:rPr>
              <w:rFonts w:hint="eastAsia" w:ascii="黑体" w:hAnsi="黑体" w:eastAsia="黑体"/>
              <w:szCs w:val="32"/>
            </w:rPr>
            <w:t>支</w:t>
          </w:r>
          <w:r>
            <w:rPr>
              <w:rFonts w:hint="eastAsia" w:ascii="黑体" w:hAnsi="黑体" w:eastAsia="黑体"/>
            </w:rPr>
            <w:t>出决算情况说明</w:t>
          </w:r>
          <w:r>
            <w:tab/>
          </w:r>
          <w:r>
            <w:fldChar w:fldCharType="begin"/>
          </w:r>
          <w:r>
            <w:instrText xml:space="preserve"> PAGEREF _Toc380511488 \h </w:instrText>
          </w:r>
          <w:r>
            <w:fldChar w:fldCharType="separate"/>
          </w:r>
          <w:r>
            <w:t>3</w:t>
          </w:r>
          <w:r>
            <w:fldChar w:fldCharType="end"/>
          </w:r>
          <w:r>
            <w:rPr>
              <w:rFonts w:hint="eastAsia"/>
            </w:rPr>
            <w:fldChar w:fldCharType="end"/>
          </w:r>
        </w:p>
        <w:p>
          <w:pPr>
            <w:pStyle w:val="13"/>
            <w:tabs>
              <w:tab w:val="right" w:leader="dot" w:pos="8482"/>
              <w:tab w:val="clear" w:pos="8296"/>
            </w:tabs>
          </w:pPr>
          <w:r>
            <w:rPr>
              <w:rFonts w:hint="eastAsia"/>
            </w:rPr>
            <w:fldChar w:fldCharType="begin"/>
          </w:r>
          <w:r>
            <w:rPr>
              <w:rFonts w:hint="eastAsia"/>
            </w:rPr>
            <w:instrText xml:space="preserve"> HYPERLINK \l _Toc1172782846 </w:instrText>
          </w:r>
          <w:r>
            <w:rPr>
              <w:rFonts w:hint="eastAsia"/>
            </w:rPr>
            <w:fldChar w:fldCharType="separate"/>
          </w:r>
          <w:r>
            <w:rPr>
              <w:rFonts w:hint="eastAsia" w:ascii="黑体" w:hAnsi="黑体" w:eastAsia="黑体"/>
              <w:szCs w:val="32"/>
            </w:rPr>
            <w:t>四、财</w:t>
          </w:r>
          <w:r>
            <w:rPr>
              <w:rFonts w:hint="eastAsia" w:ascii="黑体" w:hAnsi="黑体" w:eastAsia="黑体"/>
            </w:rPr>
            <w:t>政拨款收入支出决算总体情况说明</w:t>
          </w:r>
          <w:r>
            <w:tab/>
          </w:r>
          <w:r>
            <w:fldChar w:fldCharType="begin"/>
          </w:r>
          <w:r>
            <w:instrText xml:space="preserve"> PAGEREF _Toc1172782846 \h </w:instrText>
          </w:r>
          <w:r>
            <w:fldChar w:fldCharType="separate"/>
          </w:r>
          <w:r>
            <w:t>3</w:t>
          </w:r>
          <w:r>
            <w:fldChar w:fldCharType="end"/>
          </w:r>
          <w:r>
            <w:rPr>
              <w:rFonts w:hint="eastAsia"/>
            </w:rPr>
            <w:fldChar w:fldCharType="end"/>
          </w:r>
        </w:p>
        <w:p>
          <w:pPr>
            <w:pStyle w:val="13"/>
            <w:tabs>
              <w:tab w:val="right" w:leader="dot" w:pos="8482"/>
              <w:tab w:val="clear" w:pos="8296"/>
            </w:tabs>
          </w:pPr>
          <w:r>
            <w:rPr>
              <w:rFonts w:hint="eastAsia"/>
            </w:rPr>
            <w:fldChar w:fldCharType="begin"/>
          </w:r>
          <w:r>
            <w:rPr>
              <w:rFonts w:hint="eastAsia"/>
            </w:rPr>
            <w:instrText xml:space="preserve"> HYPERLINK \l _Toc235837931 </w:instrText>
          </w:r>
          <w:r>
            <w:rPr>
              <w:rFonts w:hint="eastAsia"/>
            </w:rPr>
            <w:fldChar w:fldCharType="separate"/>
          </w:r>
          <w:r>
            <w:rPr>
              <w:rFonts w:hint="eastAsia" w:ascii="黑体" w:hAnsi="黑体" w:eastAsia="黑体"/>
              <w:szCs w:val="32"/>
            </w:rPr>
            <w:t>五、一</w:t>
          </w:r>
          <w:r>
            <w:rPr>
              <w:rFonts w:hint="eastAsia" w:ascii="黑体" w:hAnsi="黑体" w:eastAsia="黑体"/>
            </w:rPr>
            <w:t>般公共预算财政拨款支出决算情况说明</w:t>
          </w:r>
          <w:r>
            <w:tab/>
          </w:r>
          <w:r>
            <w:fldChar w:fldCharType="begin"/>
          </w:r>
          <w:r>
            <w:instrText xml:space="preserve"> PAGEREF _Toc235837931 \h </w:instrText>
          </w:r>
          <w:r>
            <w:fldChar w:fldCharType="separate"/>
          </w:r>
          <w:r>
            <w:t>4</w:t>
          </w:r>
          <w:r>
            <w:fldChar w:fldCharType="end"/>
          </w:r>
          <w:r>
            <w:rPr>
              <w:rFonts w:hint="eastAsia"/>
            </w:rPr>
            <w:fldChar w:fldCharType="end"/>
          </w:r>
        </w:p>
        <w:p>
          <w:pPr>
            <w:pStyle w:val="13"/>
            <w:tabs>
              <w:tab w:val="right" w:leader="dot" w:pos="8482"/>
              <w:tab w:val="clear" w:pos="8296"/>
            </w:tabs>
          </w:pPr>
          <w:r>
            <w:rPr>
              <w:rFonts w:hint="eastAsia"/>
            </w:rPr>
            <w:fldChar w:fldCharType="begin"/>
          </w:r>
          <w:r>
            <w:rPr>
              <w:rFonts w:hint="eastAsia"/>
            </w:rPr>
            <w:instrText xml:space="preserve"> HYPERLINK \l _Toc1005811431 </w:instrText>
          </w:r>
          <w:r>
            <w:rPr>
              <w:rFonts w:hint="eastAsia"/>
            </w:rPr>
            <w:fldChar w:fldCharType="separate"/>
          </w:r>
          <w:r>
            <w:rPr>
              <w:rFonts w:hint="eastAsia" w:ascii="黑体" w:eastAsia="黑体"/>
              <w:szCs w:val="32"/>
            </w:rPr>
            <w:t>六、</w:t>
          </w:r>
          <w:r>
            <w:rPr>
              <w:rFonts w:hint="eastAsia" w:ascii="黑体" w:hAnsi="黑体" w:eastAsia="黑体"/>
              <w:szCs w:val="32"/>
            </w:rPr>
            <w:t>一</w:t>
          </w:r>
          <w:r>
            <w:rPr>
              <w:rFonts w:hint="eastAsia" w:ascii="黑体" w:hAnsi="黑体" w:eastAsia="黑体"/>
            </w:rPr>
            <w:t>般公共预算财政拨款基本支出决算情况说明</w:t>
          </w:r>
          <w:r>
            <w:tab/>
          </w:r>
          <w:r>
            <w:fldChar w:fldCharType="begin"/>
          </w:r>
          <w:r>
            <w:instrText xml:space="preserve"> PAGEREF _Toc1005811431 \h </w:instrText>
          </w:r>
          <w:r>
            <w:fldChar w:fldCharType="separate"/>
          </w:r>
          <w:r>
            <w:t>6</w:t>
          </w:r>
          <w:r>
            <w:fldChar w:fldCharType="end"/>
          </w:r>
          <w:r>
            <w:rPr>
              <w:rFonts w:hint="eastAsia"/>
            </w:rPr>
            <w:fldChar w:fldCharType="end"/>
          </w:r>
        </w:p>
        <w:p>
          <w:pPr>
            <w:pStyle w:val="13"/>
            <w:tabs>
              <w:tab w:val="right" w:leader="dot" w:pos="8482"/>
              <w:tab w:val="clear" w:pos="8296"/>
            </w:tabs>
          </w:pPr>
          <w:r>
            <w:rPr>
              <w:rFonts w:hint="eastAsia"/>
            </w:rPr>
            <w:fldChar w:fldCharType="begin"/>
          </w:r>
          <w:r>
            <w:rPr>
              <w:rFonts w:hint="eastAsia"/>
            </w:rPr>
            <w:instrText xml:space="preserve"> HYPERLINK \l _Toc1481371558 </w:instrText>
          </w:r>
          <w:r>
            <w:rPr>
              <w:rFonts w:hint="eastAsia"/>
            </w:rPr>
            <w:fldChar w:fldCharType="separate"/>
          </w:r>
          <w:r>
            <w:rPr>
              <w:rFonts w:hint="eastAsia" w:ascii="黑体" w:eastAsia="黑体"/>
              <w:szCs w:val="32"/>
            </w:rPr>
            <w:t>七、</w:t>
          </w:r>
          <w:r>
            <w:rPr>
              <w:rFonts w:hint="eastAsia" w:ascii="黑体" w:hAnsi="黑体" w:eastAsia="黑体"/>
            </w:rPr>
            <w:t>财政拨款“三公”经费支出决算情况说明</w:t>
          </w:r>
          <w:r>
            <w:tab/>
          </w:r>
          <w:r>
            <w:fldChar w:fldCharType="begin"/>
          </w:r>
          <w:r>
            <w:instrText xml:space="preserve"> PAGEREF _Toc1481371558 \h </w:instrText>
          </w:r>
          <w:r>
            <w:fldChar w:fldCharType="separate"/>
          </w:r>
          <w:r>
            <w:t>6</w:t>
          </w:r>
          <w:r>
            <w:fldChar w:fldCharType="end"/>
          </w:r>
          <w:r>
            <w:rPr>
              <w:rFonts w:hint="eastAsia"/>
            </w:rPr>
            <w:fldChar w:fldCharType="end"/>
          </w:r>
        </w:p>
        <w:p>
          <w:pPr>
            <w:pStyle w:val="13"/>
            <w:tabs>
              <w:tab w:val="right" w:leader="dot" w:pos="8482"/>
              <w:tab w:val="clear" w:pos="8296"/>
            </w:tabs>
          </w:pPr>
          <w:r>
            <w:rPr>
              <w:rFonts w:hint="eastAsia"/>
            </w:rPr>
            <w:fldChar w:fldCharType="begin"/>
          </w:r>
          <w:r>
            <w:rPr>
              <w:rFonts w:hint="eastAsia"/>
            </w:rPr>
            <w:instrText xml:space="preserve"> HYPERLINK \l _Toc365081588 </w:instrText>
          </w:r>
          <w:r>
            <w:rPr>
              <w:rFonts w:hint="eastAsia"/>
            </w:rPr>
            <w:fldChar w:fldCharType="separate"/>
          </w:r>
          <w:r>
            <w:rPr>
              <w:rFonts w:hint="eastAsia" w:ascii="黑体" w:eastAsia="黑体"/>
              <w:szCs w:val="32"/>
            </w:rPr>
            <w:t>八、</w:t>
          </w:r>
          <w:r>
            <w:rPr>
              <w:rFonts w:hint="eastAsia" w:ascii="黑体" w:hAnsi="黑体" w:eastAsia="黑体"/>
            </w:rPr>
            <w:t>政府性基金预算支出决算情况说明</w:t>
          </w:r>
          <w:r>
            <w:tab/>
          </w:r>
          <w:r>
            <w:fldChar w:fldCharType="begin"/>
          </w:r>
          <w:r>
            <w:instrText xml:space="preserve"> PAGEREF _Toc365081588 \h </w:instrText>
          </w:r>
          <w:r>
            <w:fldChar w:fldCharType="separate"/>
          </w:r>
          <w:r>
            <w:t>8</w:t>
          </w:r>
          <w:r>
            <w:fldChar w:fldCharType="end"/>
          </w:r>
          <w:r>
            <w:rPr>
              <w:rFonts w:hint="eastAsia"/>
            </w:rPr>
            <w:fldChar w:fldCharType="end"/>
          </w:r>
        </w:p>
        <w:p>
          <w:pPr>
            <w:pStyle w:val="13"/>
            <w:tabs>
              <w:tab w:val="right" w:leader="dot" w:pos="8482"/>
              <w:tab w:val="clear" w:pos="8296"/>
            </w:tabs>
          </w:pPr>
          <w:r>
            <w:rPr>
              <w:rFonts w:hint="eastAsia"/>
            </w:rPr>
            <w:fldChar w:fldCharType="begin"/>
          </w:r>
          <w:r>
            <w:rPr>
              <w:rFonts w:hint="eastAsia"/>
            </w:rPr>
            <w:instrText xml:space="preserve"> HYPERLINK \l _Toc1818591810 </w:instrText>
          </w:r>
          <w:r>
            <w:rPr>
              <w:rFonts w:hint="eastAsia"/>
            </w:rPr>
            <w:fldChar w:fldCharType="separate"/>
          </w:r>
          <w:r>
            <w:rPr>
              <w:rFonts w:hint="eastAsia" w:ascii="黑体" w:hAnsi="黑体" w:eastAsia="黑体"/>
            </w:rPr>
            <w:t>九、 国有资本经营预算支出决算情况说明</w:t>
          </w:r>
          <w:r>
            <w:tab/>
          </w:r>
          <w:r>
            <w:fldChar w:fldCharType="begin"/>
          </w:r>
          <w:r>
            <w:instrText xml:space="preserve"> PAGEREF _Toc1818591810 \h </w:instrText>
          </w:r>
          <w:r>
            <w:fldChar w:fldCharType="separate"/>
          </w:r>
          <w:r>
            <w:t>8</w:t>
          </w:r>
          <w:r>
            <w:fldChar w:fldCharType="end"/>
          </w:r>
          <w:r>
            <w:rPr>
              <w:rFonts w:hint="eastAsia"/>
            </w:rPr>
            <w:fldChar w:fldCharType="end"/>
          </w:r>
        </w:p>
        <w:p>
          <w:pPr>
            <w:pStyle w:val="13"/>
            <w:tabs>
              <w:tab w:val="right" w:leader="dot" w:pos="8482"/>
              <w:tab w:val="clear" w:pos="8296"/>
            </w:tabs>
          </w:pPr>
          <w:r>
            <w:rPr>
              <w:rFonts w:hint="eastAsia"/>
            </w:rPr>
            <w:fldChar w:fldCharType="begin"/>
          </w:r>
          <w:r>
            <w:rPr>
              <w:rFonts w:hint="eastAsia"/>
            </w:rPr>
            <w:instrText xml:space="preserve"> HYPERLINK \l _Toc1129472076 </w:instrText>
          </w:r>
          <w:r>
            <w:rPr>
              <w:rFonts w:hint="eastAsia"/>
            </w:rPr>
            <w:fldChar w:fldCharType="separate"/>
          </w:r>
          <w:r>
            <w:rPr>
              <w:rFonts w:hint="eastAsia" w:ascii="黑体" w:hAnsi="黑体" w:eastAsia="黑体"/>
            </w:rPr>
            <w:t>十、 其他重要事项的情况说明</w:t>
          </w:r>
          <w:r>
            <w:tab/>
          </w:r>
          <w:r>
            <w:fldChar w:fldCharType="begin"/>
          </w:r>
          <w:r>
            <w:instrText xml:space="preserve"> PAGEREF _Toc1129472076 \h </w:instrText>
          </w:r>
          <w:r>
            <w:fldChar w:fldCharType="separate"/>
          </w:r>
          <w:r>
            <w:t>8</w:t>
          </w:r>
          <w:r>
            <w:fldChar w:fldCharType="end"/>
          </w:r>
          <w:r>
            <w:rPr>
              <w:rFonts w:hint="eastAsia"/>
            </w:rPr>
            <w:fldChar w:fldCharType="end"/>
          </w:r>
        </w:p>
        <w:p>
          <w:pPr>
            <w:pStyle w:val="12"/>
            <w:tabs>
              <w:tab w:val="right" w:leader="dot" w:pos="8482"/>
              <w:tab w:val="clear" w:pos="8296"/>
            </w:tabs>
          </w:pPr>
          <w:r>
            <w:rPr>
              <w:rFonts w:hint="eastAsia"/>
            </w:rPr>
            <w:fldChar w:fldCharType="begin"/>
          </w:r>
          <w:r>
            <w:rPr>
              <w:rFonts w:hint="eastAsia"/>
            </w:rPr>
            <w:instrText xml:space="preserve"> HYPERLINK \l _Toc1839256648 </w:instrText>
          </w:r>
          <w:r>
            <w:rPr>
              <w:rFonts w:hint="eastAsia"/>
            </w:rPr>
            <w:fldChar w:fldCharType="separate"/>
          </w:r>
          <w:r>
            <w:rPr>
              <w:rFonts w:hint="eastAsia" w:ascii="黑体" w:hAnsi="黑体" w:eastAsia="黑体" w:cs="黑体"/>
              <w:szCs w:val="44"/>
            </w:rPr>
            <w:t xml:space="preserve">第三部分 </w:t>
          </w:r>
          <w:r>
            <w:rPr>
              <w:rFonts w:hint="eastAsia" w:ascii="黑体" w:hAnsi="黑体" w:eastAsia="黑体"/>
              <w:szCs w:val="44"/>
            </w:rPr>
            <w:t>名</w:t>
          </w:r>
          <w:r>
            <w:rPr>
              <w:rFonts w:hint="eastAsia" w:ascii="黑体" w:hAnsi="黑体" w:eastAsia="黑体"/>
            </w:rPr>
            <w:t>词解释</w:t>
          </w:r>
          <w:r>
            <w:tab/>
          </w:r>
          <w:r>
            <w:fldChar w:fldCharType="begin"/>
          </w:r>
          <w:r>
            <w:instrText xml:space="preserve"> PAGEREF _Toc1839256648 \h </w:instrText>
          </w:r>
          <w:r>
            <w:fldChar w:fldCharType="separate"/>
          </w:r>
          <w:r>
            <w:t>12</w:t>
          </w:r>
          <w:r>
            <w:fldChar w:fldCharType="end"/>
          </w:r>
          <w:r>
            <w:rPr>
              <w:rFonts w:hint="eastAsia"/>
            </w:rPr>
            <w:fldChar w:fldCharType="end"/>
          </w:r>
        </w:p>
        <w:p>
          <w:pPr>
            <w:pStyle w:val="12"/>
            <w:tabs>
              <w:tab w:val="right" w:leader="dot" w:pos="8482"/>
              <w:tab w:val="clear" w:pos="8296"/>
            </w:tabs>
          </w:pPr>
          <w:r>
            <w:rPr>
              <w:rFonts w:hint="eastAsia"/>
            </w:rPr>
            <w:fldChar w:fldCharType="begin"/>
          </w:r>
          <w:r>
            <w:rPr>
              <w:rFonts w:hint="eastAsia"/>
            </w:rPr>
            <w:instrText xml:space="preserve"> HYPERLINK \l _Toc688764470 </w:instrText>
          </w:r>
          <w:r>
            <w:rPr>
              <w:rFonts w:hint="eastAsia"/>
            </w:rPr>
            <w:fldChar w:fldCharType="separate"/>
          </w:r>
          <w:r>
            <w:rPr>
              <w:rFonts w:hint="eastAsia" w:ascii="黑体" w:hAnsi="黑体" w:eastAsia="黑体" w:cs="黑体"/>
              <w:szCs w:val="44"/>
            </w:rPr>
            <w:t xml:space="preserve">第四部分 </w:t>
          </w:r>
          <w:r>
            <w:rPr>
              <w:rFonts w:hint="eastAsia" w:ascii="黑体" w:hAnsi="黑体" w:eastAsia="黑体"/>
            </w:rPr>
            <w:t>附件</w:t>
          </w:r>
          <w:r>
            <w:tab/>
          </w:r>
          <w:r>
            <w:fldChar w:fldCharType="begin"/>
          </w:r>
          <w:r>
            <w:instrText xml:space="preserve"> PAGEREF _Toc688764470 \h </w:instrText>
          </w:r>
          <w:r>
            <w:fldChar w:fldCharType="separate"/>
          </w:r>
          <w:r>
            <w:t>15</w:t>
          </w:r>
          <w:r>
            <w:fldChar w:fldCharType="end"/>
          </w:r>
          <w:r>
            <w:rPr>
              <w:rFonts w:hint="eastAsia"/>
            </w:rPr>
            <w:fldChar w:fldCharType="end"/>
          </w:r>
        </w:p>
        <w:p>
          <w:pPr>
            <w:pStyle w:val="12"/>
            <w:tabs>
              <w:tab w:val="right" w:leader="dot" w:pos="8482"/>
              <w:tab w:val="clear" w:pos="8296"/>
            </w:tabs>
          </w:pPr>
          <w:r>
            <w:rPr>
              <w:rFonts w:hint="eastAsia"/>
            </w:rPr>
            <w:fldChar w:fldCharType="begin"/>
          </w:r>
          <w:r>
            <w:rPr>
              <w:rFonts w:hint="eastAsia"/>
            </w:rPr>
            <w:instrText xml:space="preserve"> HYPERLINK \l _Toc1608402207 </w:instrText>
          </w:r>
          <w:r>
            <w:rPr>
              <w:rFonts w:hint="eastAsia"/>
            </w:rPr>
            <w:fldChar w:fldCharType="separate"/>
          </w:r>
          <w:r>
            <w:rPr>
              <w:rFonts w:hint="eastAsia" w:ascii="黑体" w:hAnsi="黑体" w:eastAsia="黑体"/>
              <w:szCs w:val="44"/>
            </w:rPr>
            <w:t>第</w:t>
          </w:r>
          <w:r>
            <w:rPr>
              <w:rFonts w:hint="eastAsia" w:ascii="黑体" w:hAnsi="黑体" w:eastAsia="黑体"/>
            </w:rPr>
            <w:t>五部分 附表</w:t>
          </w:r>
          <w:r>
            <w:tab/>
          </w:r>
          <w:r>
            <w:fldChar w:fldCharType="begin"/>
          </w:r>
          <w:r>
            <w:instrText xml:space="preserve"> PAGEREF _Toc1608402207 \h </w:instrText>
          </w:r>
          <w:r>
            <w:fldChar w:fldCharType="separate"/>
          </w:r>
          <w:r>
            <w:t>16</w:t>
          </w:r>
          <w:r>
            <w:fldChar w:fldCharType="end"/>
          </w:r>
          <w:r>
            <w:rPr>
              <w:rFonts w:hint="eastAsia"/>
            </w:rPr>
            <w:fldChar w:fldCharType="end"/>
          </w:r>
        </w:p>
        <w:p>
          <w:pPr>
            <w:pStyle w:val="13"/>
            <w:tabs>
              <w:tab w:val="right" w:leader="dot" w:pos="8482"/>
              <w:tab w:val="clear" w:pos="8296"/>
            </w:tabs>
          </w:pPr>
          <w:r>
            <w:rPr>
              <w:rFonts w:hint="eastAsia"/>
            </w:rPr>
            <w:fldChar w:fldCharType="begin"/>
          </w:r>
          <w:r>
            <w:rPr>
              <w:rFonts w:hint="eastAsia"/>
            </w:rPr>
            <w:instrText xml:space="preserve"> HYPERLINK \l _Toc1175826872 </w:instrText>
          </w:r>
          <w:r>
            <w:rPr>
              <w:rFonts w:hint="eastAsia"/>
            </w:rPr>
            <w:fldChar w:fldCharType="separate"/>
          </w:r>
          <w:r>
            <w:rPr>
              <w:rFonts w:hint="eastAsia" w:ascii="仿宋" w:hAnsi="仿宋" w:eastAsia="仿宋"/>
            </w:rPr>
            <w:t>一、收</w:t>
          </w:r>
          <w:r>
            <w:rPr>
              <w:rFonts w:hint="eastAsia" w:ascii="仿宋" w:hAnsi="仿宋" w:eastAsia="仿宋"/>
              <w:bCs w:val="0"/>
            </w:rPr>
            <w:t>入支出决算总表</w:t>
          </w:r>
          <w:r>
            <w:tab/>
          </w:r>
          <w:r>
            <w:fldChar w:fldCharType="begin"/>
          </w:r>
          <w:r>
            <w:instrText xml:space="preserve"> PAGEREF _Toc1175826872 \h </w:instrText>
          </w:r>
          <w:r>
            <w:fldChar w:fldCharType="separate"/>
          </w:r>
          <w:r>
            <w:t>16</w:t>
          </w:r>
          <w:r>
            <w:fldChar w:fldCharType="end"/>
          </w:r>
          <w:r>
            <w:rPr>
              <w:rFonts w:hint="eastAsia"/>
            </w:rPr>
            <w:fldChar w:fldCharType="end"/>
          </w:r>
        </w:p>
        <w:p>
          <w:pPr>
            <w:pStyle w:val="13"/>
            <w:tabs>
              <w:tab w:val="right" w:leader="dot" w:pos="8482"/>
              <w:tab w:val="clear" w:pos="8296"/>
            </w:tabs>
          </w:pPr>
          <w:r>
            <w:rPr>
              <w:rFonts w:hint="eastAsia"/>
            </w:rPr>
            <w:fldChar w:fldCharType="begin"/>
          </w:r>
          <w:r>
            <w:rPr>
              <w:rFonts w:hint="eastAsia"/>
            </w:rPr>
            <w:instrText xml:space="preserve"> HYPERLINK \l _Toc1972986041 </w:instrText>
          </w:r>
          <w:r>
            <w:rPr>
              <w:rFonts w:hint="eastAsia"/>
            </w:rPr>
            <w:fldChar w:fldCharType="separate"/>
          </w:r>
          <w:r>
            <w:rPr>
              <w:rFonts w:hint="eastAsia" w:ascii="仿宋" w:hAnsi="仿宋" w:eastAsia="仿宋"/>
            </w:rPr>
            <w:t>二、收</w:t>
          </w:r>
          <w:r>
            <w:rPr>
              <w:rFonts w:hint="eastAsia" w:ascii="仿宋" w:hAnsi="仿宋" w:eastAsia="仿宋"/>
              <w:bCs w:val="0"/>
            </w:rPr>
            <w:t>入决算表</w:t>
          </w:r>
          <w:r>
            <w:tab/>
          </w:r>
          <w:r>
            <w:fldChar w:fldCharType="begin"/>
          </w:r>
          <w:r>
            <w:instrText xml:space="preserve"> PAGEREF _Toc1972986041 \h </w:instrText>
          </w:r>
          <w:r>
            <w:fldChar w:fldCharType="separate"/>
          </w:r>
          <w:r>
            <w:t>16</w:t>
          </w:r>
          <w:r>
            <w:fldChar w:fldCharType="end"/>
          </w:r>
          <w:r>
            <w:rPr>
              <w:rFonts w:hint="eastAsia"/>
            </w:rPr>
            <w:fldChar w:fldCharType="end"/>
          </w:r>
        </w:p>
        <w:p>
          <w:pPr>
            <w:pStyle w:val="13"/>
            <w:tabs>
              <w:tab w:val="right" w:leader="dot" w:pos="8482"/>
              <w:tab w:val="clear" w:pos="8296"/>
            </w:tabs>
          </w:pPr>
          <w:r>
            <w:rPr>
              <w:rFonts w:hint="eastAsia"/>
            </w:rPr>
            <w:fldChar w:fldCharType="begin"/>
          </w:r>
          <w:r>
            <w:rPr>
              <w:rFonts w:hint="eastAsia"/>
            </w:rPr>
            <w:instrText xml:space="preserve"> HYPERLINK \l _Toc2127605434 </w:instrText>
          </w:r>
          <w:r>
            <w:rPr>
              <w:rFonts w:hint="eastAsia"/>
            </w:rPr>
            <w:fldChar w:fldCharType="separate"/>
          </w:r>
          <w:r>
            <w:rPr>
              <w:rFonts w:hint="eastAsia" w:ascii="仿宋" w:hAnsi="仿宋" w:eastAsia="仿宋"/>
              <w:bCs w:val="0"/>
            </w:rPr>
            <w:t>三、</w:t>
          </w:r>
          <w:r>
            <w:rPr>
              <w:rFonts w:hint="eastAsia" w:ascii="仿宋" w:hAnsi="仿宋" w:eastAsia="仿宋"/>
            </w:rPr>
            <w:t>支</w:t>
          </w:r>
          <w:r>
            <w:rPr>
              <w:rFonts w:hint="eastAsia" w:ascii="仿宋" w:hAnsi="仿宋" w:eastAsia="仿宋"/>
              <w:bCs w:val="0"/>
            </w:rPr>
            <w:t>出决算表</w:t>
          </w:r>
          <w:r>
            <w:tab/>
          </w:r>
          <w:r>
            <w:fldChar w:fldCharType="begin"/>
          </w:r>
          <w:r>
            <w:instrText xml:space="preserve"> PAGEREF _Toc2127605434 \h </w:instrText>
          </w:r>
          <w:r>
            <w:fldChar w:fldCharType="separate"/>
          </w:r>
          <w:r>
            <w:t>16</w:t>
          </w:r>
          <w:r>
            <w:fldChar w:fldCharType="end"/>
          </w:r>
          <w:r>
            <w:rPr>
              <w:rFonts w:hint="eastAsia"/>
            </w:rPr>
            <w:fldChar w:fldCharType="end"/>
          </w:r>
        </w:p>
        <w:p>
          <w:pPr>
            <w:pStyle w:val="13"/>
            <w:tabs>
              <w:tab w:val="right" w:leader="dot" w:pos="8482"/>
              <w:tab w:val="clear" w:pos="8296"/>
            </w:tabs>
          </w:pPr>
          <w:r>
            <w:rPr>
              <w:rFonts w:hint="eastAsia"/>
            </w:rPr>
            <w:fldChar w:fldCharType="begin"/>
          </w:r>
          <w:r>
            <w:rPr>
              <w:rFonts w:hint="eastAsia"/>
            </w:rPr>
            <w:instrText xml:space="preserve"> HYPERLINK \l _Toc1782738247 </w:instrText>
          </w:r>
          <w:r>
            <w:rPr>
              <w:rFonts w:hint="eastAsia"/>
            </w:rPr>
            <w:fldChar w:fldCharType="separate"/>
          </w:r>
          <w:r>
            <w:rPr>
              <w:rFonts w:hint="eastAsia" w:ascii="仿宋" w:hAnsi="仿宋" w:eastAsia="仿宋"/>
              <w:bCs w:val="0"/>
            </w:rPr>
            <w:t>四、</w:t>
          </w:r>
          <w:r>
            <w:rPr>
              <w:rFonts w:hint="eastAsia" w:ascii="仿宋" w:hAnsi="仿宋" w:eastAsia="仿宋"/>
            </w:rPr>
            <w:t>财</w:t>
          </w:r>
          <w:r>
            <w:rPr>
              <w:rFonts w:hint="eastAsia" w:ascii="仿宋" w:hAnsi="仿宋" w:eastAsia="仿宋"/>
              <w:bCs w:val="0"/>
            </w:rPr>
            <w:t>政拨款收入支出决算总表</w:t>
          </w:r>
          <w:r>
            <w:tab/>
          </w:r>
          <w:r>
            <w:fldChar w:fldCharType="begin"/>
          </w:r>
          <w:r>
            <w:instrText xml:space="preserve"> PAGEREF _Toc1782738247 \h </w:instrText>
          </w:r>
          <w:r>
            <w:fldChar w:fldCharType="separate"/>
          </w:r>
          <w:r>
            <w:t>16</w:t>
          </w:r>
          <w:r>
            <w:fldChar w:fldCharType="end"/>
          </w:r>
          <w:r>
            <w:rPr>
              <w:rFonts w:hint="eastAsia"/>
            </w:rPr>
            <w:fldChar w:fldCharType="end"/>
          </w:r>
        </w:p>
        <w:p>
          <w:pPr>
            <w:pStyle w:val="13"/>
            <w:tabs>
              <w:tab w:val="right" w:leader="dot" w:pos="8482"/>
              <w:tab w:val="clear" w:pos="8296"/>
            </w:tabs>
          </w:pPr>
          <w:r>
            <w:rPr>
              <w:rFonts w:hint="eastAsia"/>
            </w:rPr>
            <w:fldChar w:fldCharType="begin"/>
          </w:r>
          <w:r>
            <w:rPr>
              <w:rFonts w:hint="eastAsia"/>
            </w:rPr>
            <w:instrText xml:space="preserve"> HYPERLINK \l _Toc69399459 </w:instrText>
          </w:r>
          <w:r>
            <w:rPr>
              <w:rFonts w:hint="eastAsia"/>
            </w:rPr>
            <w:fldChar w:fldCharType="separate"/>
          </w:r>
          <w:r>
            <w:rPr>
              <w:rFonts w:hint="eastAsia" w:ascii="仿宋" w:hAnsi="仿宋" w:eastAsia="仿宋"/>
              <w:bCs w:val="0"/>
            </w:rPr>
            <w:t>五、</w:t>
          </w:r>
          <w:r>
            <w:rPr>
              <w:rFonts w:hint="eastAsia" w:ascii="仿宋" w:hAnsi="仿宋" w:eastAsia="仿宋"/>
            </w:rPr>
            <w:t>财</w:t>
          </w:r>
          <w:r>
            <w:rPr>
              <w:rFonts w:hint="eastAsia" w:ascii="仿宋" w:hAnsi="仿宋" w:eastAsia="仿宋"/>
              <w:bCs w:val="0"/>
            </w:rPr>
            <w:t>政拨款支出决算明细表</w:t>
          </w:r>
          <w:r>
            <w:tab/>
          </w:r>
          <w:r>
            <w:fldChar w:fldCharType="begin"/>
          </w:r>
          <w:r>
            <w:instrText xml:space="preserve"> PAGEREF _Toc69399459 \h </w:instrText>
          </w:r>
          <w:r>
            <w:fldChar w:fldCharType="separate"/>
          </w:r>
          <w:r>
            <w:t>16</w:t>
          </w:r>
          <w:r>
            <w:fldChar w:fldCharType="end"/>
          </w:r>
          <w:r>
            <w:rPr>
              <w:rFonts w:hint="eastAsia"/>
            </w:rPr>
            <w:fldChar w:fldCharType="end"/>
          </w:r>
        </w:p>
        <w:p>
          <w:pPr>
            <w:pStyle w:val="13"/>
            <w:tabs>
              <w:tab w:val="right" w:leader="dot" w:pos="8482"/>
              <w:tab w:val="clear" w:pos="8296"/>
            </w:tabs>
          </w:pPr>
          <w:r>
            <w:rPr>
              <w:rFonts w:hint="eastAsia"/>
            </w:rPr>
            <w:fldChar w:fldCharType="begin"/>
          </w:r>
          <w:r>
            <w:rPr>
              <w:rFonts w:hint="eastAsia"/>
            </w:rPr>
            <w:instrText xml:space="preserve"> HYPERLINK \l _Toc104397388 </w:instrText>
          </w:r>
          <w:r>
            <w:rPr>
              <w:rFonts w:hint="eastAsia"/>
            </w:rPr>
            <w:fldChar w:fldCharType="separate"/>
          </w:r>
          <w:r>
            <w:rPr>
              <w:rFonts w:hint="eastAsia" w:ascii="仿宋" w:hAnsi="仿宋" w:eastAsia="仿宋"/>
              <w:bCs w:val="0"/>
            </w:rPr>
            <w:t>六、</w:t>
          </w:r>
          <w:r>
            <w:rPr>
              <w:rFonts w:hint="eastAsia" w:ascii="仿宋" w:hAnsi="仿宋" w:eastAsia="仿宋"/>
            </w:rPr>
            <w:t>一</w:t>
          </w:r>
          <w:r>
            <w:rPr>
              <w:rFonts w:hint="eastAsia" w:ascii="仿宋" w:hAnsi="仿宋" w:eastAsia="仿宋"/>
              <w:bCs w:val="0"/>
            </w:rPr>
            <w:t>般公共预算财政拨款支出决算表</w:t>
          </w:r>
          <w:r>
            <w:tab/>
          </w:r>
          <w:r>
            <w:fldChar w:fldCharType="begin"/>
          </w:r>
          <w:r>
            <w:instrText xml:space="preserve"> PAGEREF _Toc104397388 \h </w:instrText>
          </w:r>
          <w:r>
            <w:fldChar w:fldCharType="separate"/>
          </w:r>
          <w:r>
            <w:t>16</w:t>
          </w:r>
          <w:r>
            <w:fldChar w:fldCharType="end"/>
          </w:r>
          <w:r>
            <w:rPr>
              <w:rFonts w:hint="eastAsia"/>
            </w:rPr>
            <w:fldChar w:fldCharType="end"/>
          </w:r>
        </w:p>
        <w:p>
          <w:pPr>
            <w:pStyle w:val="13"/>
            <w:tabs>
              <w:tab w:val="right" w:leader="dot" w:pos="8482"/>
              <w:tab w:val="clear" w:pos="8296"/>
            </w:tabs>
          </w:pPr>
          <w:r>
            <w:rPr>
              <w:rFonts w:hint="eastAsia"/>
            </w:rPr>
            <w:fldChar w:fldCharType="begin"/>
          </w:r>
          <w:r>
            <w:rPr>
              <w:rFonts w:hint="eastAsia"/>
            </w:rPr>
            <w:instrText xml:space="preserve"> HYPERLINK \l _Toc1492831847 </w:instrText>
          </w:r>
          <w:r>
            <w:rPr>
              <w:rFonts w:hint="eastAsia"/>
            </w:rPr>
            <w:fldChar w:fldCharType="separate"/>
          </w:r>
          <w:r>
            <w:rPr>
              <w:rFonts w:hint="eastAsia" w:ascii="仿宋" w:hAnsi="仿宋" w:eastAsia="仿宋"/>
              <w:bCs w:val="0"/>
            </w:rPr>
            <w:t>七、</w:t>
          </w:r>
          <w:r>
            <w:rPr>
              <w:rFonts w:hint="eastAsia" w:ascii="仿宋" w:hAnsi="仿宋" w:eastAsia="仿宋"/>
            </w:rPr>
            <w:t>一</w:t>
          </w:r>
          <w:r>
            <w:rPr>
              <w:rFonts w:hint="eastAsia" w:ascii="仿宋" w:hAnsi="仿宋" w:eastAsia="仿宋"/>
              <w:bCs w:val="0"/>
            </w:rPr>
            <w:t>般公共预算财政拨款支出决算明细表</w:t>
          </w:r>
          <w:r>
            <w:tab/>
          </w:r>
          <w:r>
            <w:fldChar w:fldCharType="begin"/>
          </w:r>
          <w:r>
            <w:instrText xml:space="preserve"> PAGEREF _Toc1492831847 \h </w:instrText>
          </w:r>
          <w:r>
            <w:fldChar w:fldCharType="separate"/>
          </w:r>
          <w:r>
            <w:t>16</w:t>
          </w:r>
          <w:r>
            <w:fldChar w:fldCharType="end"/>
          </w:r>
          <w:r>
            <w:rPr>
              <w:rFonts w:hint="eastAsia"/>
            </w:rPr>
            <w:fldChar w:fldCharType="end"/>
          </w:r>
        </w:p>
        <w:p>
          <w:pPr>
            <w:pStyle w:val="13"/>
            <w:tabs>
              <w:tab w:val="right" w:leader="dot" w:pos="8482"/>
              <w:tab w:val="clear" w:pos="8296"/>
            </w:tabs>
          </w:pPr>
          <w:r>
            <w:rPr>
              <w:rFonts w:hint="eastAsia"/>
            </w:rPr>
            <w:fldChar w:fldCharType="begin"/>
          </w:r>
          <w:r>
            <w:rPr>
              <w:rFonts w:hint="eastAsia"/>
            </w:rPr>
            <w:instrText xml:space="preserve"> HYPERLINK \l _Toc670421470 </w:instrText>
          </w:r>
          <w:r>
            <w:rPr>
              <w:rFonts w:hint="eastAsia"/>
            </w:rPr>
            <w:fldChar w:fldCharType="separate"/>
          </w:r>
          <w:r>
            <w:rPr>
              <w:rFonts w:hint="eastAsia" w:ascii="仿宋" w:hAnsi="仿宋" w:eastAsia="仿宋"/>
              <w:bCs w:val="0"/>
            </w:rPr>
            <w:t>八、</w:t>
          </w:r>
          <w:r>
            <w:rPr>
              <w:rFonts w:hint="eastAsia" w:ascii="仿宋" w:hAnsi="仿宋" w:eastAsia="仿宋"/>
            </w:rPr>
            <w:t>一</w:t>
          </w:r>
          <w:r>
            <w:rPr>
              <w:rFonts w:hint="eastAsia" w:ascii="仿宋" w:hAnsi="仿宋" w:eastAsia="仿宋"/>
              <w:bCs w:val="0"/>
            </w:rPr>
            <w:t>般公共预算财政拨款基本支出决算表</w:t>
          </w:r>
          <w:r>
            <w:tab/>
          </w:r>
          <w:r>
            <w:fldChar w:fldCharType="begin"/>
          </w:r>
          <w:r>
            <w:instrText xml:space="preserve"> PAGEREF _Toc670421470 \h </w:instrText>
          </w:r>
          <w:r>
            <w:fldChar w:fldCharType="separate"/>
          </w:r>
          <w:r>
            <w:t>16</w:t>
          </w:r>
          <w:r>
            <w:fldChar w:fldCharType="end"/>
          </w:r>
          <w:r>
            <w:rPr>
              <w:rFonts w:hint="eastAsia"/>
            </w:rPr>
            <w:fldChar w:fldCharType="end"/>
          </w:r>
        </w:p>
        <w:p>
          <w:pPr>
            <w:pStyle w:val="13"/>
            <w:tabs>
              <w:tab w:val="right" w:leader="dot" w:pos="8482"/>
              <w:tab w:val="clear" w:pos="8296"/>
            </w:tabs>
          </w:pPr>
          <w:r>
            <w:rPr>
              <w:rFonts w:hint="eastAsia"/>
            </w:rPr>
            <w:fldChar w:fldCharType="begin"/>
          </w:r>
          <w:r>
            <w:rPr>
              <w:rFonts w:hint="eastAsia"/>
            </w:rPr>
            <w:instrText xml:space="preserve"> HYPERLINK \l _Toc1737988454 </w:instrText>
          </w:r>
          <w:r>
            <w:rPr>
              <w:rFonts w:hint="eastAsia"/>
            </w:rPr>
            <w:fldChar w:fldCharType="separate"/>
          </w:r>
          <w:r>
            <w:rPr>
              <w:rFonts w:hint="eastAsia" w:ascii="仿宋" w:hAnsi="仿宋" w:eastAsia="仿宋"/>
              <w:bCs w:val="0"/>
            </w:rPr>
            <w:t>九、</w:t>
          </w:r>
          <w:r>
            <w:rPr>
              <w:rFonts w:hint="eastAsia" w:ascii="仿宋" w:hAnsi="仿宋" w:eastAsia="仿宋"/>
            </w:rPr>
            <w:t>一</w:t>
          </w:r>
          <w:r>
            <w:rPr>
              <w:rFonts w:hint="eastAsia" w:ascii="仿宋" w:hAnsi="仿宋" w:eastAsia="仿宋"/>
              <w:bCs w:val="0"/>
            </w:rPr>
            <w:t>般公共预算财政拨款项目支出决算表</w:t>
          </w:r>
          <w:r>
            <w:tab/>
          </w:r>
          <w:r>
            <w:fldChar w:fldCharType="begin"/>
          </w:r>
          <w:r>
            <w:instrText xml:space="preserve"> PAGEREF _Toc1737988454 \h </w:instrText>
          </w:r>
          <w:r>
            <w:fldChar w:fldCharType="separate"/>
          </w:r>
          <w:r>
            <w:t>16</w:t>
          </w:r>
          <w:r>
            <w:fldChar w:fldCharType="end"/>
          </w:r>
          <w:r>
            <w:rPr>
              <w:rFonts w:hint="eastAsia"/>
            </w:rPr>
            <w:fldChar w:fldCharType="end"/>
          </w:r>
        </w:p>
        <w:p>
          <w:pPr>
            <w:pStyle w:val="13"/>
            <w:tabs>
              <w:tab w:val="right" w:leader="dot" w:pos="8482"/>
              <w:tab w:val="clear" w:pos="8296"/>
            </w:tabs>
          </w:pPr>
          <w:r>
            <w:rPr>
              <w:rFonts w:hint="eastAsia"/>
            </w:rPr>
            <w:fldChar w:fldCharType="begin"/>
          </w:r>
          <w:r>
            <w:rPr>
              <w:rFonts w:hint="eastAsia"/>
            </w:rPr>
            <w:instrText xml:space="preserve"> HYPERLINK \l _Toc1106697630 </w:instrText>
          </w:r>
          <w:r>
            <w:rPr>
              <w:rFonts w:hint="eastAsia"/>
            </w:rPr>
            <w:fldChar w:fldCharType="separate"/>
          </w:r>
          <w:r>
            <w:rPr>
              <w:rFonts w:hint="eastAsia" w:ascii="仿宋" w:hAnsi="仿宋" w:eastAsia="仿宋"/>
              <w:bCs w:val="0"/>
            </w:rPr>
            <w:t>十、</w:t>
          </w:r>
          <w:r>
            <w:rPr>
              <w:rFonts w:hint="eastAsia" w:ascii="仿宋" w:hAnsi="仿宋" w:eastAsia="仿宋"/>
            </w:rPr>
            <w:t>政</w:t>
          </w:r>
          <w:r>
            <w:rPr>
              <w:rFonts w:hint="eastAsia" w:ascii="仿宋" w:hAnsi="仿宋" w:eastAsia="仿宋"/>
              <w:bCs w:val="0"/>
            </w:rPr>
            <w:t>府性基金预算财政拨款收入支出决算表</w:t>
          </w:r>
          <w:r>
            <w:tab/>
          </w:r>
          <w:r>
            <w:fldChar w:fldCharType="begin"/>
          </w:r>
          <w:r>
            <w:instrText xml:space="preserve"> PAGEREF _Toc1106697630 \h </w:instrText>
          </w:r>
          <w:r>
            <w:fldChar w:fldCharType="separate"/>
          </w:r>
          <w:r>
            <w:t>16</w:t>
          </w:r>
          <w:r>
            <w:fldChar w:fldCharType="end"/>
          </w:r>
          <w:r>
            <w:rPr>
              <w:rFonts w:hint="eastAsia"/>
            </w:rPr>
            <w:fldChar w:fldCharType="end"/>
          </w:r>
        </w:p>
        <w:p>
          <w:pPr>
            <w:pStyle w:val="13"/>
            <w:tabs>
              <w:tab w:val="right" w:leader="dot" w:pos="8482"/>
              <w:tab w:val="clear" w:pos="8296"/>
            </w:tabs>
          </w:pPr>
          <w:r>
            <w:rPr>
              <w:rFonts w:hint="eastAsia"/>
            </w:rPr>
            <w:fldChar w:fldCharType="begin"/>
          </w:r>
          <w:r>
            <w:rPr>
              <w:rFonts w:hint="eastAsia"/>
            </w:rPr>
            <w:instrText xml:space="preserve"> HYPERLINK \l _Toc1390726622 </w:instrText>
          </w:r>
          <w:r>
            <w:rPr>
              <w:rFonts w:hint="eastAsia"/>
            </w:rPr>
            <w:fldChar w:fldCharType="separate"/>
          </w:r>
          <w:r>
            <w:rPr>
              <w:rFonts w:hint="eastAsia" w:ascii="仿宋" w:hAnsi="仿宋" w:eastAsia="仿宋"/>
              <w:bCs w:val="0"/>
            </w:rPr>
            <w:t>十一、</w:t>
          </w:r>
          <w:r>
            <w:rPr>
              <w:rFonts w:hint="eastAsia" w:ascii="仿宋" w:hAnsi="仿宋" w:eastAsia="仿宋"/>
            </w:rPr>
            <w:t>国</w:t>
          </w:r>
          <w:r>
            <w:rPr>
              <w:rFonts w:hint="eastAsia" w:ascii="仿宋" w:hAnsi="仿宋" w:eastAsia="仿宋"/>
              <w:bCs w:val="0"/>
            </w:rPr>
            <w:t>有资本经营预算财政拨款收入支出决算表</w:t>
          </w:r>
          <w:r>
            <w:tab/>
          </w:r>
          <w:r>
            <w:fldChar w:fldCharType="begin"/>
          </w:r>
          <w:r>
            <w:instrText xml:space="preserve"> PAGEREF _Toc1390726622 \h </w:instrText>
          </w:r>
          <w:r>
            <w:fldChar w:fldCharType="separate"/>
          </w:r>
          <w:r>
            <w:t>16</w:t>
          </w:r>
          <w:r>
            <w:fldChar w:fldCharType="end"/>
          </w:r>
          <w:r>
            <w:rPr>
              <w:rFonts w:hint="eastAsia"/>
            </w:rPr>
            <w:fldChar w:fldCharType="end"/>
          </w:r>
        </w:p>
        <w:p>
          <w:pPr>
            <w:pStyle w:val="13"/>
            <w:tabs>
              <w:tab w:val="right" w:leader="dot" w:pos="8482"/>
              <w:tab w:val="clear" w:pos="8296"/>
            </w:tabs>
          </w:pPr>
          <w:r>
            <w:rPr>
              <w:rFonts w:hint="eastAsia"/>
            </w:rPr>
            <w:fldChar w:fldCharType="begin"/>
          </w:r>
          <w:r>
            <w:rPr>
              <w:rFonts w:hint="eastAsia"/>
            </w:rPr>
            <w:instrText xml:space="preserve"> HYPERLINK \l _Toc1233328332 </w:instrText>
          </w:r>
          <w:r>
            <w:rPr>
              <w:rFonts w:hint="eastAsia"/>
            </w:rPr>
            <w:fldChar w:fldCharType="separate"/>
          </w:r>
          <w:r>
            <w:rPr>
              <w:rFonts w:hint="eastAsia" w:ascii="仿宋" w:hAnsi="仿宋" w:eastAsia="仿宋"/>
              <w:bCs w:val="0"/>
            </w:rPr>
            <w:t>十二、国有资本经营预算财政拨款支出决算表</w:t>
          </w:r>
          <w:r>
            <w:tab/>
          </w:r>
          <w:r>
            <w:fldChar w:fldCharType="begin"/>
          </w:r>
          <w:r>
            <w:instrText xml:space="preserve"> PAGEREF _Toc1233328332 \h </w:instrText>
          </w:r>
          <w:r>
            <w:fldChar w:fldCharType="separate"/>
          </w:r>
          <w:r>
            <w:t>16</w:t>
          </w:r>
          <w:r>
            <w:fldChar w:fldCharType="end"/>
          </w:r>
          <w:r>
            <w:rPr>
              <w:rFonts w:hint="eastAsia"/>
            </w:rPr>
            <w:fldChar w:fldCharType="end"/>
          </w:r>
        </w:p>
        <w:p>
          <w:pPr>
            <w:pStyle w:val="13"/>
            <w:tabs>
              <w:tab w:val="right" w:leader="dot" w:pos="8482"/>
              <w:tab w:val="clear" w:pos="8296"/>
            </w:tabs>
          </w:pPr>
          <w:r>
            <w:rPr>
              <w:rFonts w:hint="eastAsia"/>
            </w:rPr>
            <w:fldChar w:fldCharType="begin"/>
          </w:r>
          <w:r>
            <w:rPr>
              <w:rFonts w:hint="eastAsia"/>
            </w:rPr>
            <w:instrText xml:space="preserve"> HYPERLINK \l _Toc1548779219 </w:instrText>
          </w:r>
          <w:r>
            <w:rPr>
              <w:rFonts w:hint="eastAsia"/>
            </w:rPr>
            <w:fldChar w:fldCharType="separate"/>
          </w:r>
          <w:r>
            <w:rPr>
              <w:rFonts w:hint="eastAsia" w:ascii="仿宋" w:hAnsi="仿宋" w:eastAsia="仿宋"/>
              <w:bCs w:val="0"/>
            </w:rPr>
            <w:t>十三、财政拨款“三公”经费支出决算表</w:t>
          </w:r>
          <w:r>
            <w:tab/>
          </w:r>
          <w:r>
            <w:fldChar w:fldCharType="begin"/>
          </w:r>
          <w:r>
            <w:instrText xml:space="preserve"> PAGEREF _Toc1548779219 \h </w:instrText>
          </w:r>
          <w:r>
            <w:fldChar w:fldCharType="separate"/>
          </w:r>
          <w:r>
            <w:t>16</w:t>
          </w:r>
          <w:r>
            <w:fldChar w:fldCharType="end"/>
          </w:r>
          <w:r>
            <w:rPr>
              <w:rFonts w:hint="eastAsia"/>
            </w:rPr>
            <w:fldChar w:fldCharType="end"/>
          </w:r>
        </w:p>
        <w:p>
          <w:pPr>
            <w:pStyle w:val="12"/>
            <w:adjustRightInd w:val="0"/>
            <w:snapToGrid w:val="0"/>
            <w:spacing w:before="0" w:line="440" w:lineRule="exact"/>
            <w:jc w:val="left"/>
            <w:rPr>
              <w:sz w:val="24"/>
            </w:rPr>
          </w:pPr>
          <w:r>
            <w:rPr>
              <w:rFonts w:hint="eastAsia"/>
              <w:b/>
            </w:rPr>
            <w:fldChar w:fldCharType="end"/>
          </w:r>
        </w:p>
      </w:sdtContent>
    </w:sdt>
    <w:p>
      <w:pPr>
        <w:widowControl/>
        <w:adjustRightInd w:val="0"/>
        <w:snapToGrid w:val="0"/>
        <w:spacing w:line="440" w:lineRule="exact"/>
        <w:ind w:firstLine="1320" w:firstLineChars="550"/>
        <w:jc w:val="left"/>
        <w:rPr>
          <w:rFonts w:ascii="仿宋" w:hAnsi="仿宋" w:eastAsia="仿宋"/>
          <w:sz w:val="24"/>
        </w:rPr>
      </w:pPr>
    </w:p>
    <w:p>
      <w:pPr>
        <w:pStyle w:val="2"/>
        <w:jc w:val="center"/>
        <w:rPr>
          <w:rFonts w:ascii="黑体" w:hAnsi="黑体" w:eastAsia="黑体"/>
          <w:b w:val="0"/>
        </w:rPr>
        <w:sectPr>
          <w:footerReference r:id="rId3" w:type="default"/>
          <w:pgSz w:w="11900" w:h="16830"/>
          <w:pgMar w:top="1430" w:right="1778" w:bottom="1311" w:left="1640" w:header="0" w:footer="1182" w:gutter="0"/>
          <w:cols w:space="720" w:num="1"/>
          <w:docGrid w:linePitch="312" w:charSpace="0"/>
        </w:sectPr>
      </w:pPr>
      <w:bookmarkStart w:id="13" w:name="_Toc15396599"/>
      <w:bookmarkStart w:id="14" w:name="_Toc15377196"/>
    </w:p>
    <w:p>
      <w:pPr>
        <w:pStyle w:val="2"/>
        <w:jc w:val="center"/>
        <w:rPr>
          <w:rStyle w:val="20"/>
          <w:rFonts w:ascii="黑体" w:hAnsi="黑体" w:eastAsia="黑体"/>
          <w:b w:val="0"/>
          <w:bCs w:val="0"/>
        </w:rPr>
      </w:pPr>
      <w:bookmarkStart w:id="15" w:name="_Toc1761349431"/>
      <w:r>
        <w:rPr>
          <w:rFonts w:hint="eastAsia" w:ascii="黑体" w:hAnsi="黑体" w:eastAsia="黑体"/>
          <w:b w:val="0"/>
        </w:rPr>
        <w:t>第一部分 单位</w:t>
      </w:r>
      <w:r>
        <w:rPr>
          <w:rStyle w:val="20"/>
          <w:rFonts w:hint="eastAsia" w:ascii="黑体" w:hAnsi="黑体" w:eastAsia="黑体"/>
          <w:b w:val="0"/>
          <w:bCs w:val="0"/>
        </w:rPr>
        <w:t>概况</w:t>
      </w:r>
      <w:bookmarkEnd w:id="13"/>
      <w:bookmarkEnd w:id="14"/>
      <w:bookmarkEnd w:id="15"/>
    </w:p>
    <w:p>
      <w:pPr>
        <w:pStyle w:val="3"/>
        <w:numPr>
          <w:ilvl w:val="0"/>
          <w:numId w:val="1"/>
        </w:numPr>
        <w:rPr>
          <w:rStyle w:val="21"/>
          <w:rFonts w:ascii="黑体" w:hAnsi="黑体" w:eastAsia="黑体"/>
          <w:b w:val="0"/>
          <w:bCs w:val="0"/>
        </w:rPr>
      </w:pPr>
      <w:bookmarkStart w:id="16" w:name="_Toc720305151"/>
      <w:bookmarkStart w:id="17" w:name="_Toc15377197"/>
      <w:bookmarkStart w:id="18" w:name="_Toc15396600"/>
      <w:r>
        <w:rPr>
          <w:rStyle w:val="21"/>
          <w:rFonts w:hint="eastAsia" w:ascii="黑体" w:hAnsi="黑体" w:eastAsia="黑体"/>
          <w:b w:val="0"/>
          <w:bCs w:val="0"/>
        </w:rPr>
        <w:t>主要职责</w:t>
      </w:r>
      <w:bookmarkEnd w:id="16"/>
    </w:p>
    <w:p>
      <w:pPr>
        <w:spacing w:line="600" w:lineRule="exact"/>
        <w:ind w:firstLine="640" w:firstLineChars="200"/>
        <w:rPr>
          <w:rFonts w:ascii="仿宋" w:eastAsia="仿宋" w:cs="宋体"/>
          <w:sz w:val="32"/>
          <w:szCs w:val="32"/>
        </w:rPr>
      </w:pPr>
      <w:r>
        <w:rPr>
          <w:rFonts w:hint="eastAsia" w:ascii="仿宋" w:eastAsia="仿宋" w:cs="宋体"/>
          <w:sz w:val="32"/>
          <w:szCs w:val="32"/>
        </w:rPr>
        <w:t>1．主要职能。中国人民政治协商会议若尔盖县委员会（简称政协若尔盖县委员会或若尔盖县政协），是若尔盖县具有广泛代表性的爱国统一战线组织，是实行政治协商、民主监督的机关。 政协若尔盖委员会自成立以来，牢牢把握团结和民主两大主题，紧紧围绕全县经济社会发展中的重大问题，通过协商讨论、调查研究、视察考察、提案建议、社情民意等各种形式，反映民意，集中民智，认真履职，提出了许多具有较高参考价值的意见和建议，有力地推进了党委、政府决策的科学化、民主化，在促进我县经济社会发展中发挥了积极作用。</w:t>
      </w:r>
    </w:p>
    <w:p>
      <w:pPr>
        <w:spacing w:line="600" w:lineRule="exact"/>
        <w:ind w:firstLine="640" w:firstLineChars="200"/>
        <w:rPr>
          <w:rFonts w:ascii="仿宋" w:eastAsia="仿宋" w:cs="宋体"/>
          <w:sz w:val="32"/>
          <w:szCs w:val="32"/>
        </w:rPr>
      </w:pPr>
      <w:r>
        <w:rPr>
          <w:rFonts w:ascii="仿宋" w:eastAsia="仿宋" w:cs="宋体"/>
          <w:sz w:val="32"/>
          <w:szCs w:val="32"/>
        </w:rPr>
        <w:t>2</w:t>
      </w:r>
      <w:r>
        <w:rPr>
          <w:rFonts w:hint="eastAsia" w:ascii="仿宋" w:eastAsia="仿宋" w:cs="宋体"/>
          <w:sz w:val="32"/>
          <w:szCs w:val="32"/>
        </w:rPr>
        <w:t>．人员情况，若尔盖县政协截止年末在职职工共2</w:t>
      </w:r>
      <w:r>
        <w:rPr>
          <w:rFonts w:ascii="仿宋" w:eastAsia="仿宋" w:cs="宋体"/>
          <w:sz w:val="32"/>
          <w:szCs w:val="32"/>
        </w:rPr>
        <w:t>7</w:t>
      </w:r>
      <w:r>
        <w:rPr>
          <w:rFonts w:hint="eastAsia" w:ascii="仿宋" w:eastAsia="仿宋" w:cs="宋体"/>
          <w:sz w:val="32"/>
          <w:szCs w:val="32"/>
        </w:rPr>
        <w:t>人，其中公务员</w:t>
      </w:r>
      <w:r>
        <w:rPr>
          <w:rFonts w:ascii="仿宋" w:eastAsia="仿宋" w:cs="宋体"/>
          <w:sz w:val="32"/>
          <w:szCs w:val="32"/>
          <w:lang w:val="en-US"/>
        </w:rPr>
        <w:t>20</w:t>
      </w:r>
      <w:r>
        <w:rPr>
          <w:rFonts w:hint="eastAsia" w:ascii="仿宋" w:eastAsia="仿宋" w:cs="宋体"/>
          <w:sz w:val="32"/>
          <w:szCs w:val="32"/>
        </w:rPr>
        <w:t>人，事业人员1人，行政工勤人员6人。本年内减少</w:t>
      </w:r>
      <w:r>
        <w:rPr>
          <w:rFonts w:ascii="仿宋" w:eastAsia="仿宋" w:cs="宋体"/>
          <w:sz w:val="32"/>
          <w:szCs w:val="32"/>
          <w:lang w:val="en-US"/>
        </w:rPr>
        <w:t>1</w:t>
      </w:r>
      <w:r>
        <w:rPr>
          <w:rFonts w:hint="eastAsia" w:ascii="仿宋" w:eastAsia="仿宋" w:cs="宋体"/>
          <w:sz w:val="32"/>
          <w:szCs w:val="32"/>
        </w:rPr>
        <w:t>人（退休</w:t>
      </w:r>
      <w:r>
        <w:rPr>
          <w:rFonts w:ascii="仿宋" w:eastAsia="仿宋" w:cs="宋体"/>
          <w:sz w:val="32"/>
          <w:szCs w:val="32"/>
          <w:lang w:val="en-US"/>
        </w:rPr>
        <w:t>1</w:t>
      </w:r>
      <w:r>
        <w:rPr>
          <w:rFonts w:hint="eastAsia" w:ascii="仿宋" w:eastAsia="仿宋" w:cs="宋体"/>
          <w:sz w:val="32"/>
          <w:szCs w:val="32"/>
        </w:rPr>
        <w:t>人），调出</w:t>
      </w:r>
      <w:r>
        <w:rPr>
          <w:rFonts w:ascii="仿宋" w:eastAsia="仿宋" w:cs="宋体"/>
          <w:sz w:val="32"/>
          <w:szCs w:val="32"/>
          <w:lang w:val="en-US"/>
        </w:rPr>
        <w:t>2</w:t>
      </w:r>
      <w:r>
        <w:rPr>
          <w:rFonts w:hint="eastAsia" w:ascii="仿宋" w:eastAsia="仿宋" w:cs="宋体"/>
          <w:sz w:val="32"/>
          <w:szCs w:val="32"/>
        </w:rPr>
        <w:t>人调入</w:t>
      </w:r>
      <w:r>
        <w:rPr>
          <w:rFonts w:ascii="仿宋" w:eastAsia="仿宋" w:cs="宋体"/>
          <w:sz w:val="32"/>
          <w:szCs w:val="32"/>
          <w:lang w:val="en-US"/>
        </w:rPr>
        <w:t>4</w:t>
      </w:r>
      <w:r>
        <w:rPr>
          <w:rFonts w:hint="eastAsia" w:ascii="仿宋" w:eastAsia="仿宋" w:cs="宋体"/>
          <w:sz w:val="32"/>
          <w:szCs w:val="32"/>
        </w:rPr>
        <w:t>人。</w:t>
      </w:r>
    </w:p>
    <w:p>
      <w:pPr>
        <w:pStyle w:val="3"/>
        <w:rPr>
          <w:rFonts w:ascii="黑体" w:hAnsi="黑体" w:eastAsia="黑体"/>
          <w:b w:val="0"/>
        </w:rPr>
      </w:pPr>
      <w:bookmarkStart w:id="19" w:name="_Toc1642823526"/>
      <w:r>
        <w:rPr>
          <w:rFonts w:hint="eastAsia" w:ascii="黑体" w:hAnsi="黑体" w:eastAsia="黑体"/>
          <w:b w:val="0"/>
        </w:rPr>
        <w:t>二、机构设置</w:t>
      </w:r>
      <w:bookmarkEnd w:id="19"/>
    </w:p>
    <w:bookmarkEnd w:id="17"/>
    <w:bookmarkEnd w:id="18"/>
    <w:p>
      <w:pPr>
        <w:spacing w:line="600" w:lineRule="exact"/>
        <w:ind w:firstLine="640" w:firstLineChars="200"/>
        <w:rPr>
          <w:rFonts w:ascii="仿宋" w:eastAsia="仿宋" w:cs="宋体"/>
          <w:sz w:val="32"/>
          <w:szCs w:val="32"/>
        </w:rPr>
      </w:pPr>
      <w:r>
        <w:rPr>
          <w:rFonts w:hint="eastAsia" w:ascii="仿宋" w:eastAsia="仿宋" w:cs="宋体"/>
          <w:sz w:val="32"/>
          <w:szCs w:val="32"/>
        </w:rPr>
        <w:t>机构设置情况，政协机关内设（1室3委1 中心）：政协办公室，提案法制群团委、经济科技委，民族宗教文史教育卫生委3个专门委员会及政协网络信息服务中心。</w:t>
      </w:r>
    </w:p>
    <w:p>
      <w:pPr>
        <w:pStyle w:val="2"/>
        <w:ind w:right="440"/>
        <w:jc w:val="center"/>
      </w:pPr>
      <w:bookmarkStart w:id="20" w:name="_Toc442081589"/>
      <w:bookmarkStart w:id="21" w:name="_Toc15396602"/>
      <w:bookmarkStart w:id="22" w:name="_Toc15377204"/>
      <w:r>
        <w:rPr>
          <w:rFonts w:hint="eastAsia" w:ascii="黑体" w:hAnsi="黑体" w:eastAsia="黑体"/>
          <w:b w:val="0"/>
        </w:rPr>
        <w:t>第二部分 202</w:t>
      </w:r>
      <w:r>
        <w:rPr>
          <w:rFonts w:ascii="黑体" w:hAnsi="黑体" w:eastAsia="黑体"/>
          <w:b w:val="0"/>
          <w:lang w:val="en-US"/>
        </w:rPr>
        <w:t>5</w:t>
      </w:r>
      <w:r>
        <w:rPr>
          <w:rFonts w:hint="eastAsia" w:ascii="黑体" w:hAnsi="黑体" w:eastAsia="黑体"/>
          <w:b w:val="0"/>
        </w:rPr>
        <w:t>年度</w:t>
      </w:r>
      <w:r>
        <w:rPr>
          <w:rStyle w:val="20"/>
          <w:rFonts w:hint="eastAsia" w:ascii="黑体" w:hAnsi="黑体" w:eastAsia="黑体"/>
          <w:b w:val="0"/>
          <w:bCs/>
        </w:rPr>
        <w:t>单位决算情况说明</w:t>
      </w:r>
      <w:bookmarkEnd w:id="20"/>
      <w:bookmarkEnd w:id="21"/>
      <w:bookmarkEnd w:id="22"/>
    </w:p>
    <w:p>
      <w:pPr>
        <w:pStyle w:val="27"/>
        <w:numPr>
          <w:ilvl w:val="0"/>
          <w:numId w:val="2"/>
        </w:numPr>
        <w:spacing w:line="600" w:lineRule="exact"/>
        <w:ind w:firstLineChars="0"/>
        <w:outlineLvl w:val="1"/>
        <w:rPr>
          <w:rStyle w:val="21"/>
          <w:rFonts w:ascii="黑体" w:hAnsi="黑体" w:eastAsia="黑体"/>
          <w:b w:val="0"/>
        </w:rPr>
      </w:pPr>
      <w:bookmarkStart w:id="23" w:name="_Toc15377205"/>
      <w:bookmarkStart w:id="24" w:name="_Toc1825917681"/>
      <w:bookmarkStart w:id="25" w:name="_Toc15396603"/>
      <w:r>
        <w:rPr>
          <w:rFonts w:hint="eastAsia" w:ascii="黑体" w:hAnsi="黑体" w:eastAsia="黑体"/>
          <w:sz w:val="32"/>
          <w:szCs w:val="32"/>
        </w:rPr>
        <w:t>收</w:t>
      </w:r>
      <w:r>
        <w:rPr>
          <w:rStyle w:val="21"/>
          <w:rFonts w:hint="eastAsia" w:ascii="黑体" w:hAnsi="黑体" w:eastAsia="黑体"/>
          <w:b w:val="0"/>
        </w:rPr>
        <w:t>入支出决算总体情况说明</w:t>
      </w:r>
      <w:bookmarkEnd w:id="23"/>
      <w:bookmarkEnd w:id="24"/>
      <w:bookmarkEnd w:id="25"/>
    </w:p>
    <w:p>
      <w:pPr>
        <w:spacing w:before="1" w:line="360" w:lineRule="auto"/>
        <w:ind w:left="50" w:firstLine="640" w:firstLineChars="200"/>
        <w:rPr>
          <w:rFonts w:ascii="仿宋" w:hAnsi="仿宋" w:eastAsia="仿宋" w:cs="仿宋"/>
          <w:spacing w:val="1"/>
          <w:sz w:val="32"/>
          <w:szCs w:val="32"/>
        </w:rPr>
      </w:pPr>
      <w:r>
        <w:rPr>
          <w:rFonts w:hint="eastAsia" w:ascii="仿宋" w:hAnsi="仿宋" w:eastAsia="仿宋"/>
          <w:sz w:val="32"/>
          <w:szCs w:val="32"/>
        </w:rPr>
        <w:t>202</w:t>
      </w:r>
      <w:r>
        <w:rPr>
          <w:rFonts w:ascii="仿宋" w:hAnsi="仿宋" w:eastAsia="仿宋"/>
          <w:sz w:val="32"/>
          <w:szCs w:val="32"/>
        </w:rPr>
        <w:t>5</w:t>
      </w:r>
      <w:r>
        <w:rPr>
          <w:rFonts w:hint="eastAsia" w:ascii="仿宋" w:hAnsi="仿宋" w:eastAsia="仿宋"/>
          <w:sz w:val="32"/>
          <w:szCs w:val="32"/>
        </w:rPr>
        <w:t>年度收、支总计均为</w:t>
      </w:r>
      <w:r>
        <w:rPr>
          <w:rFonts w:ascii="仿宋" w:hAnsi="仿宋" w:eastAsia="仿宋"/>
          <w:b/>
          <w:sz w:val="32"/>
          <w:szCs w:val="32"/>
        </w:rPr>
        <w:t>1222.49</w:t>
      </w:r>
      <w:r>
        <w:rPr>
          <w:rFonts w:hint="eastAsia" w:ascii="仿宋" w:hAnsi="仿宋" w:eastAsia="仿宋"/>
          <w:sz w:val="32"/>
          <w:szCs w:val="32"/>
        </w:rPr>
        <w:t>万元。与202</w:t>
      </w:r>
      <w:r>
        <w:rPr>
          <w:rFonts w:ascii="仿宋" w:hAnsi="仿宋" w:eastAsia="仿宋"/>
          <w:sz w:val="32"/>
          <w:szCs w:val="32"/>
        </w:rPr>
        <w:t>4</w:t>
      </w:r>
      <w:r>
        <w:rPr>
          <w:rFonts w:hint="eastAsia" w:ascii="仿宋" w:hAnsi="仿宋" w:eastAsia="仿宋"/>
          <w:sz w:val="32"/>
          <w:szCs w:val="32"/>
        </w:rPr>
        <w:t>年度相比，收、支总计各增加</w:t>
      </w:r>
      <w:r>
        <w:rPr>
          <w:rFonts w:ascii="仿宋" w:hAnsi="仿宋" w:eastAsia="仿宋"/>
          <w:sz w:val="32"/>
          <w:szCs w:val="32"/>
        </w:rPr>
        <w:t>95.21</w:t>
      </w:r>
      <w:r>
        <w:rPr>
          <w:rFonts w:hint="eastAsia" w:ascii="仿宋" w:hAnsi="仿宋" w:eastAsia="仿宋"/>
          <w:sz w:val="32"/>
          <w:szCs w:val="32"/>
        </w:rPr>
        <w:t>万元，增长</w:t>
      </w:r>
      <w:r>
        <w:rPr>
          <w:rFonts w:ascii="仿宋" w:hAnsi="仿宋" w:eastAsia="仿宋"/>
          <w:sz w:val="32"/>
          <w:szCs w:val="32"/>
        </w:rPr>
        <w:t>8.5%</w:t>
      </w:r>
      <w:r>
        <w:rPr>
          <w:rFonts w:hint="eastAsia" w:ascii="仿宋" w:hAnsi="仿宋" w:eastAsia="仿宋"/>
          <w:sz w:val="32"/>
          <w:szCs w:val="32"/>
        </w:rPr>
        <w:t>。主要变动原因是</w:t>
      </w:r>
      <w:r>
        <w:rPr>
          <w:rFonts w:ascii="仿宋" w:hAnsi="仿宋" w:eastAsia="仿宋" w:cs="仿宋"/>
          <w:spacing w:val="1"/>
          <w:sz w:val="32"/>
          <w:szCs w:val="32"/>
        </w:rPr>
        <w:t>本年度</w:t>
      </w:r>
      <w:r>
        <w:rPr>
          <w:rFonts w:hint="eastAsia" w:ascii="仿宋" w:hAnsi="仿宋" w:eastAsia="仿宋" w:cs="仿宋"/>
          <w:spacing w:val="1"/>
          <w:sz w:val="32"/>
          <w:szCs w:val="32"/>
        </w:rPr>
        <w:t>人员晋级晋档，</w:t>
      </w:r>
      <w:r>
        <w:rPr>
          <w:rFonts w:ascii="仿宋" w:hAnsi="仿宋" w:eastAsia="仿宋" w:cs="仿宋"/>
          <w:spacing w:val="1"/>
          <w:sz w:val="32"/>
          <w:szCs w:val="32"/>
        </w:rPr>
        <w:t>预算</w:t>
      </w:r>
      <w:r>
        <w:rPr>
          <w:rFonts w:hint="eastAsia" w:ascii="仿宋" w:hAnsi="仿宋" w:eastAsia="仿宋" w:cs="仿宋"/>
          <w:spacing w:val="1"/>
          <w:sz w:val="32"/>
          <w:szCs w:val="32"/>
        </w:rPr>
        <w:t>人员增加</w:t>
      </w:r>
      <w:r>
        <w:rPr>
          <w:rFonts w:ascii="仿宋" w:hAnsi="仿宋" w:eastAsia="仿宋" w:cs="仿宋"/>
          <w:spacing w:val="1"/>
          <w:sz w:val="32"/>
          <w:szCs w:val="32"/>
        </w:rPr>
        <w:t>、办公经费增加</w:t>
      </w:r>
      <w:r>
        <w:rPr>
          <w:rFonts w:hint="eastAsia" w:ascii="仿宋" w:hAnsi="仿宋" w:eastAsia="仿宋" w:cs="仿宋"/>
          <w:spacing w:val="1"/>
          <w:sz w:val="32"/>
          <w:szCs w:val="32"/>
        </w:rPr>
        <w:t>。</w:t>
      </w:r>
    </w:p>
    <w:p>
      <w:pPr>
        <w:spacing w:line="600" w:lineRule="exact"/>
        <w:ind w:firstLine="480" w:firstLineChars="150"/>
        <w:rPr>
          <w:rFonts w:hint="default" w:ascii="仿宋" w:hAnsi="仿宋" w:eastAsia="仿宋"/>
          <w:sz w:val="32"/>
          <w:szCs w:val="32"/>
          <w:lang w:val="en-US"/>
        </w:rPr>
      </w:pPr>
      <w:r>
        <w:rPr>
          <w:rFonts w:hint="default" w:ascii="仿宋" w:hAnsi="仿宋" w:eastAsia="仿宋"/>
          <w:sz w:val="32"/>
          <w:szCs w:val="32"/>
          <w:lang w:val="en-US"/>
        </w:rPr>
        <w:drawing>
          <wp:anchor distT="0" distB="0" distL="114300" distR="114300" simplePos="0" relativeHeight="251660288" behindDoc="1" locked="0" layoutInCell="1" allowOverlap="1">
            <wp:simplePos x="0" y="0"/>
            <wp:positionH relativeFrom="column">
              <wp:posOffset>386715</wp:posOffset>
            </wp:positionH>
            <wp:positionV relativeFrom="paragraph">
              <wp:posOffset>1270</wp:posOffset>
            </wp:positionV>
            <wp:extent cx="4023360" cy="2227580"/>
            <wp:effectExtent l="4445" t="4445" r="10795" b="15875"/>
            <wp:wrapTight wrapText="bothSides">
              <wp:wrapPolygon>
                <wp:start x="-24" y="-43"/>
                <wp:lineTo x="-24" y="21384"/>
                <wp:lineTo x="21556" y="21384"/>
                <wp:lineTo x="21556" y="-43"/>
                <wp:lineTo x="-24" y="-43"/>
              </wp:wrapPolygon>
            </wp:wrapTight>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spacing w:line="600" w:lineRule="exact"/>
        <w:ind w:firstLine="480" w:firstLineChars="150"/>
        <w:rPr>
          <w:rFonts w:ascii="仿宋" w:hAnsi="仿宋" w:eastAsia="仿宋"/>
          <w:sz w:val="32"/>
          <w:szCs w:val="32"/>
        </w:rPr>
      </w:pPr>
    </w:p>
    <w:p>
      <w:pPr>
        <w:spacing w:line="600" w:lineRule="exact"/>
        <w:ind w:firstLine="480" w:firstLineChars="150"/>
        <w:rPr>
          <w:rFonts w:hint="eastAsia" w:ascii="仿宋" w:hAnsi="仿宋" w:eastAsia="仿宋"/>
          <w:sz w:val="32"/>
          <w:szCs w:val="32"/>
        </w:rPr>
      </w:pPr>
    </w:p>
    <w:p>
      <w:pPr>
        <w:spacing w:line="600" w:lineRule="exact"/>
        <w:ind w:firstLine="480" w:firstLineChars="150"/>
        <w:rPr>
          <w:rFonts w:hint="eastAsia" w:ascii="仿宋" w:hAnsi="仿宋" w:eastAsia="仿宋"/>
          <w:sz w:val="32"/>
          <w:szCs w:val="32"/>
        </w:rPr>
      </w:pPr>
    </w:p>
    <w:p>
      <w:pPr>
        <w:spacing w:line="600" w:lineRule="exact"/>
        <w:ind w:firstLine="480" w:firstLineChars="150"/>
        <w:rPr>
          <w:rFonts w:hint="eastAsia" w:ascii="仿宋" w:hAnsi="仿宋" w:eastAsia="仿宋"/>
          <w:sz w:val="32"/>
          <w:szCs w:val="32"/>
        </w:rPr>
      </w:pPr>
    </w:p>
    <w:p>
      <w:pPr>
        <w:spacing w:line="600" w:lineRule="exact"/>
        <w:ind w:firstLine="480" w:firstLineChars="150"/>
        <w:rPr>
          <w:rFonts w:hint="eastAsia" w:ascii="仿宋" w:hAnsi="仿宋" w:eastAsia="仿宋"/>
          <w:sz w:val="32"/>
          <w:szCs w:val="32"/>
        </w:rPr>
      </w:pPr>
    </w:p>
    <w:p>
      <w:pPr>
        <w:spacing w:line="600" w:lineRule="exact"/>
        <w:ind w:firstLine="480" w:firstLineChars="150"/>
        <w:rPr>
          <w:rFonts w:ascii="仿宋_GB2312" w:eastAsia="仿宋_GB2312"/>
          <w:sz w:val="32"/>
          <w:szCs w:val="32"/>
        </w:rPr>
      </w:pPr>
      <w:r>
        <w:rPr>
          <w:rFonts w:hint="eastAsia" w:ascii="仿宋" w:hAnsi="仿宋" w:eastAsia="仿宋"/>
          <w:sz w:val="32"/>
          <w:szCs w:val="32"/>
        </w:rPr>
        <w:t>（图</w:t>
      </w:r>
      <w:r>
        <w:rPr>
          <w:rFonts w:ascii="仿宋" w:hAnsi="仿宋" w:eastAsia="仿宋"/>
          <w:sz w:val="32"/>
          <w:szCs w:val="32"/>
        </w:rPr>
        <w:t>1</w:t>
      </w:r>
      <w:r>
        <w:rPr>
          <w:rFonts w:hint="eastAsia" w:ascii="仿宋" w:hAnsi="仿宋" w:eastAsia="仿宋"/>
          <w:sz w:val="32"/>
          <w:szCs w:val="32"/>
        </w:rPr>
        <w:t>：收、支决算总计变动情况图）（柱状图）</w:t>
      </w:r>
    </w:p>
    <w:p>
      <w:pPr>
        <w:pStyle w:val="27"/>
        <w:numPr>
          <w:ilvl w:val="0"/>
          <w:numId w:val="2"/>
        </w:numPr>
        <w:spacing w:line="600" w:lineRule="exact"/>
        <w:ind w:firstLineChars="0"/>
        <w:outlineLvl w:val="1"/>
        <w:rPr>
          <w:rStyle w:val="21"/>
          <w:rFonts w:ascii="黑体" w:hAnsi="黑体" w:eastAsia="黑体"/>
          <w:b w:val="0"/>
        </w:rPr>
      </w:pPr>
      <w:bookmarkStart w:id="26" w:name="_Toc15396604"/>
      <w:bookmarkStart w:id="27" w:name="_Toc15377206"/>
      <w:bookmarkStart w:id="28" w:name="_Toc1378259544"/>
      <w:r>
        <w:rPr>
          <w:rFonts w:hint="eastAsia" w:ascii="黑体" w:hAnsi="黑体" w:eastAsia="黑体"/>
          <w:sz w:val="32"/>
          <w:szCs w:val="32"/>
        </w:rPr>
        <w:t>收</w:t>
      </w:r>
      <w:r>
        <w:rPr>
          <w:rStyle w:val="21"/>
          <w:rFonts w:hint="eastAsia" w:ascii="黑体" w:hAnsi="黑体" w:eastAsia="黑体"/>
          <w:b w:val="0"/>
        </w:rPr>
        <w:t>入决算情况说明</w:t>
      </w:r>
      <w:bookmarkEnd w:id="26"/>
      <w:bookmarkEnd w:id="27"/>
      <w:bookmarkEnd w:id="28"/>
    </w:p>
    <w:p>
      <w:pPr>
        <w:spacing w:line="600" w:lineRule="exact"/>
        <w:ind w:firstLine="640" w:firstLineChars="200"/>
        <w:outlineLvl w:val="1"/>
        <w:rPr>
          <w:rFonts w:ascii="仿宋" w:hAnsi="仿宋" w:eastAsia="仿宋"/>
          <w:sz w:val="32"/>
          <w:szCs w:val="32"/>
        </w:rPr>
      </w:pPr>
      <w:bookmarkStart w:id="29" w:name="_Toc11455"/>
      <w:bookmarkStart w:id="30" w:name="_Toc309"/>
      <w:bookmarkStart w:id="31" w:name="_Toc1507416560"/>
      <w:r>
        <w:rPr>
          <w:rFonts w:hint="eastAsia" w:ascii="仿宋" w:hAnsi="仿宋" w:eastAsia="仿宋"/>
          <w:sz w:val="32"/>
          <w:szCs w:val="32"/>
        </w:rPr>
        <w:t>202</w:t>
      </w:r>
      <w:r>
        <w:rPr>
          <w:rFonts w:ascii="仿宋" w:hAnsi="仿宋" w:eastAsia="仿宋"/>
          <w:sz w:val="32"/>
          <w:szCs w:val="32"/>
        </w:rPr>
        <w:t>5</w:t>
      </w:r>
      <w:r>
        <w:rPr>
          <w:rFonts w:hint="eastAsia" w:ascii="仿宋" w:hAnsi="仿宋" w:eastAsia="仿宋"/>
          <w:sz w:val="32"/>
          <w:szCs w:val="32"/>
        </w:rPr>
        <w:t>年度本年收入合计</w:t>
      </w:r>
      <w:r>
        <w:rPr>
          <w:rFonts w:ascii="仿宋" w:hAnsi="仿宋" w:eastAsia="仿宋"/>
          <w:b/>
          <w:sz w:val="32"/>
          <w:szCs w:val="32"/>
        </w:rPr>
        <w:t>1086.13</w:t>
      </w:r>
      <w:r>
        <w:rPr>
          <w:rFonts w:hint="eastAsia" w:ascii="仿宋" w:hAnsi="仿宋" w:eastAsia="仿宋"/>
          <w:sz w:val="32"/>
          <w:szCs w:val="32"/>
        </w:rPr>
        <w:t>万元，其中：一般公共预算财政拨款收入</w:t>
      </w:r>
      <w:r>
        <w:rPr>
          <w:rFonts w:ascii="仿宋" w:hAnsi="仿宋" w:eastAsia="仿宋"/>
          <w:b/>
          <w:sz w:val="32"/>
          <w:szCs w:val="32"/>
        </w:rPr>
        <w:t>1086.13</w:t>
      </w:r>
      <w:r>
        <w:rPr>
          <w:rFonts w:hint="eastAsia" w:ascii="仿宋" w:hAnsi="仿宋" w:eastAsia="仿宋"/>
          <w:sz w:val="32"/>
          <w:szCs w:val="32"/>
        </w:rPr>
        <w:t>万元，占</w:t>
      </w:r>
      <w:r>
        <w:rPr>
          <w:rFonts w:ascii="仿宋" w:hAnsi="仿宋" w:eastAsia="仿宋"/>
          <w:b/>
          <w:sz w:val="32"/>
          <w:szCs w:val="32"/>
        </w:rPr>
        <w:t>100%</w:t>
      </w:r>
      <w:r>
        <w:rPr>
          <w:rFonts w:hint="eastAsia" w:ascii="仿宋" w:hAnsi="仿宋" w:eastAsia="仿宋"/>
          <w:sz w:val="32"/>
          <w:szCs w:val="32"/>
        </w:rPr>
        <w:t>；政府性基金预算财政拨款收入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；国有资本经营预算财政拨款收入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；上级补助收入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sz w:val="32"/>
          <w:szCs w:val="32"/>
        </w:rPr>
        <w:t>0%</w:t>
      </w:r>
      <w:r>
        <w:rPr>
          <w:rFonts w:hint="eastAsia" w:ascii="仿宋" w:hAnsi="仿宋" w:eastAsia="仿宋"/>
          <w:sz w:val="32"/>
          <w:szCs w:val="32"/>
        </w:rPr>
        <w:t>；事业收入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；经营收入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；附属单位上缴收入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；其他收入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bookmarkEnd w:id="29"/>
      <w:bookmarkEnd w:id="30"/>
      <w:bookmarkEnd w:id="31"/>
    </w:p>
    <w:p>
      <w:pPr>
        <w:spacing w:line="600" w:lineRule="exact"/>
        <w:rPr>
          <w:rFonts w:ascii="仿宋" w:hAnsi="仿宋" w:eastAsia="仿宋"/>
          <w:sz w:val="32"/>
          <w:szCs w:val="32"/>
        </w:rPr>
      </w:pPr>
    </w:p>
    <w:p>
      <w:pPr>
        <w:spacing w:line="600" w:lineRule="exact"/>
        <w:ind w:firstLine="640" w:firstLineChars="200"/>
        <w:rPr>
          <w:rFonts w:ascii="仿宋" w:hAnsi="仿宋" w:eastAsia="仿宋"/>
          <w:sz w:val="32"/>
          <w:szCs w:val="32"/>
        </w:rPr>
      </w:pPr>
    </w:p>
    <w:p>
      <w:pPr>
        <w:spacing w:line="600" w:lineRule="exact"/>
        <w:ind w:firstLine="640" w:firstLineChars="200"/>
        <w:rPr>
          <w:rFonts w:ascii="仿宋" w:hAnsi="仿宋" w:eastAsia="仿宋"/>
          <w:sz w:val="32"/>
          <w:szCs w:val="32"/>
        </w:rPr>
      </w:pPr>
    </w:p>
    <w:p>
      <w:pPr>
        <w:spacing w:line="600" w:lineRule="exact"/>
        <w:rPr>
          <w:rFonts w:ascii="仿宋" w:hAnsi="仿宋" w:eastAsia="仿宋"/>
          <w:sz w:val="32"/>
          <w:szCs w:val="32"/>
        </w:rPr>
      </w:pPr>
    </w:p>
    <w:p>
      <w:pPr>
        <w:spacing w:line="600" w:lineRule="exact"/>
        <w:ind w:firstLine="640" w:firstLineChars="200"/>
        <w:rPr>
          <w:rFonts w:ascii="仿宋" w:hAnsi="仿宋" w:eastAsia="仿宋"/>
          <w:sz w:val="32"/>
          <w:szCs w:val="32"/>
        </w:rPr>
      </w:pPr>
    </w:p>
    <w:p>
      <w:pPr>
        <w:pStyle w:val="5"/>
        <w:spacing w:line="600" w:lineRule="exact"/>
        <w:rPr>
          <w:rFonts w:hint="eastAsia" w:ascii="仿宋" w:hAnsi="仿宋" w:eastAsia="仿宋"/>
          <w:sz w:val="32"/>
          <w:szCs w:val="32"/>
          <w:lang w:eastAsia="zh-CN"/>
        </w:rPr>
      </w:pPr>
      <w:r>
        <w:rPr>
          <w:rFonts w:hint="eastAsia" w:ascii="仿宋" w:hAnsi="仿宋" w:eastAsia="仿宋"/>
          <w:sz w:val="32"/>
          <w:szCs w:val="32"/>
        </w:rPr>
        <w:drawing>
          <wp:anchor distT="0" distB="0" distL="114300" distR="114300" simplePos="0" relativeHeight="251659264" behindDoc="0" locked="0" layoutInCell="1" allowOverlap="1">
            <wp:simplePos x="0" y="0"/>
            <wp:positionH relativeFrom="column">
              <wp:posOffset>411480</wp:posOffset>
            </wp:positionH>
            <wp:positionV relativeFrom="paragraph">
              <wp:posOffset>-2700020</wp:posOffset>
            </wp:positionV>
            <wp:extent cx="4666615" cy="2378710"/>
            <wp:effectExtent l="4445" t="5080" r="15240" b="16510"/>
            <wp:wrapTight wrapText="bothSides">
              <wp:wrapPolygon>
                <wp:start x="-21" y="-46"/>
                <wp:lineTo x="-21" y="21404"/>
                <wp:lineTo x="21494" y="21404"/>
                <wp:lineTo x="21494" y="-46"/>
                <wp:lineTo x="-21" y="-46"/>
              </wp:wrapPolygon>
            </wp:wrapTight>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spacing w:line="600" w:lineRule="exact"/>
        <w:ind w:left="1598" w:leftChars="304" w:hanging="960" w:hangingChars="300"/>
        <w:rPr>
          <w:rFonts w:ascii="仿宋_GB2312" w:eastAsia="仿宋_GB2312"/>
          <w:sz w:val="32"/>
          <w:szCs w:val="32"/>
        </w:rPr>
      </w:pPr>
      <w:r>
        <w:rPr>
          <w:rFonts w:hint="eastAsia" w:ascii="仿宋" w:hAnsi="仿宋" w:eastAsia="仿宋"/>
          <w:sz w:val="32"/>
          <w:szCs w:val="32"/>
        </w:rPr>
        <w:t xml:space="preserve">     （图2：收入决算结构图）（饼状图）</w:t>
      </w:r>
    </w:p>
    <w:p>
      <w:pPr>
        <w:pStyle w:val="27"/>
        <w:numPr>
          <w:ilvl w:val="0"/>
          <w:numId w:val="2"/>
        </w:numPr>
        <w:spacing w:line="600" w:lineRule="exact"/>
        <w:ind w:firstLineChars="0"/>
        <w:outlineLvl w:val="1"/>
        <w:rPr>
          <w:rStyle w:val="21"/>
          <w:rFonts w:ascii="黑体" w:hAnsi="黑体" w:eastAsia="黑体"/>
          <w:b w:val="0"/>
        </w:rPr>
      </w:pPr>
      <w:bookmarkStart w:id="32" w:name="_Toc15377207"/>
      <w:bookmarkStart w:id="33" w:name="_Toc380511488"/>
      <w:bookmarkStart w:id="34" w:name="_Toc15396605"/>
      <w:bookmarkStart w:id="35" w:name="_Toc29646"/>
      <w:r>
        <w:rPr>
          <w:rFonts w:hint="eastAsia" w:ascii="黑体" w:hAnsi="黑体" w:eastAsia="黑体"/>
          <w:sz w:val="32"/>
          <w:szCs w:val="32"/>
        </w:rPr>
        <w:t>支</w:t>
      </w:r>
      <w:r>
        <w:rPr>
          <w:rStyle w:val="21"/>
          <w:rFonts w:hint="eastAsia" w:ascii="黑体" w:hAnsi="黑体" w:eastAsia="黑体"/>
          <w:b w:val="0"/>
        </w:rPr>
        <w:t>出决算情况说明</w:t>
      </w:r>
      <w:bookmarkEnd w:id="32"/>
      <w:bookmarkEnd w:id="33"/>
      <w:bookmarkEnd w:id="34"/>
      <w:bookmarkEnd w:id="35"/>
    </w:p>
    <w:p>
      <w:pPr>
        <w:spacing w:line="600" w:lineRule="exact"/>
        <w:ind w:firstLine="640" w:firstLineChars="200"/>
        <w:outlineLvl w:val="1"/>
        <w:rPr>
          <w:rFonts w:ascii="仿宋" w:hAnsi="仿宋" w:eastAsia="仿宋"/>
          <w:sz w:val="32"/>
          <w:szCs w:val="32"/>
        </w:rPr>
      </w:pPr>
      <w:bookmarkStart w:id="36" w:name="_Toc11038"/>
      <w:bookmarkStart w:id="37" w:name="_Toc25764"/>
      <w:bookmarkStart w:id="38" w:name="_Toc390067576"/>
      <w:r>
        <w:rPr>
          <w:rFonts w:hint="eastAsia" w:ascii="仿宋" w:hAnsi="仿宋" w:eastAsia="仿宋"/>
          <w:sz w:val="32"/>
          <w:szCs w:val="32"/>
        </w:rPr>
        <w:t>202</w:t>
      </w:r>
      <w:r>
        <w:rPr>
          <w:rFonts w:ascii="仿宋" w:hAnsi="仿宋" w:eastAsia="仿宋"/>
          <w:sz w:val="32"/>
          <w:szCs w:val="32"/>
        </w:rPr>
        <w:t>5</w:t>
      </w:r>
      <w:r>
        <w:rPr>
          <w:rFonts w:hint="eastAsia" w:ascii="仿宋" w:hAnsi="仿宋" w:eastAsia="仿宋"/>
          <w:sz w:val="32"/>
          <w:szCs w:val="32"/>
        </w:rPr>
        <w:t>年度本年支出合计</w:t>
      </w:r>
      <w:r>
        <w:rPr>
          <w:rFonts w:hint="eastAsia" w:ascii="仿宋" w:hAnsi="仿宋" w:eastAsia="仿宋"/>
          <w:b/>
          <w:sz w:val="32"/>
          <w:szCs w:val="32"/>
        </w:rPr>
        <w:t>1</w:t>
      </w:r>
      <w:r>
        <w:rPr>
          <w:rFonts w:ascii="仿宋" w:hAnsi="仿宋" w:eastAsia="仿宋"/>
          <w:b/>
          <w:sz w:val="32"/>
          <w:szCs w:val="32"/>
        </w:rPr>
        <w:t>222.49</w:t>
      </w:r>
      <w:r>
        <w:rPr>
          <w:rFonts w:hint="eastAsia" w:ascii="仿宋" w:hAnsi="仿宋" w:eastAsia="仿宋"/>
          <w:sz w:val="32"/>
          <w:szCs w:val="32"/>
        </w:rPr>
        <w:t>万元，其中：基本支出</w:t>
      </w:r>
      <w:r>
        <w:rPr>
          <w:rFonts w:ascii="仿宋" w:hAnsi="仿宋" w:eastAsia="仿宋"/>
          <w:b/>
          <w:sz w:val="32"/>
          <w:szCs w:val="32"/>
        </w:rPr>
        <w:t>1013.71</w:t>
      </w:r>
      <w:r>
        <w:rPr>
          <w:rFonts w:hint="eastAsia" w:ascii="仿宋" w:hAnsi="仿宋" w:eastAsia="仿宋"/>
          <w:sz w:val="32"/>
          <w:szCs w:val="32"/>
        </w:rPr>
        <w:t>万元，占</w:t>
      </w:r>
      <w:r>
        <w:rPr>
          <w:rFonts w:hint="eastAsia" w:ascii="仿宋" w:hAnsi="仿宋" w:eastAsia="仿宋"/>
          <w:b/>
          <w:sz w:val="32"/>
          <w:szCs w:val="32"/>
        </w:rPr>
        <w:t>8</w:t>
      </w:r>
      <w:r>
        <w:rPr>
          <w:rFonts w:ascii="仿宋" w:hAnsi="仿宋" w:eastAsia="仿宋"/>
          <w:b/>
          <w:sz w:val="32"/>
          <w:szCs w:val="32"/>
        </w:rPr>
        <w:t>2.9</w:t>
      </w:r>
      <w:r>
        <w:rPr>
          <w:rFonts w:ascii="仿宋" w:hAnsi="仿宋" w:eastAsia="仿宋"/>
          <w:sz w:val="32"/>
          <w:szCs w:val="32"/>
        </w:rPr>
        <w:t>%</w:t>
      </w:r>
      <w:r>
        <w:rPr>
          <w:rFonts w:hint="eastAsia" w:ascii="仿宋" w:hAnsi="仿宋" w:eastAsia="仿宋"/>
          <w:sz w:val="32"/>
          <w:szCs w:val="32"/>
        </w:rPr>
        <w:t>；项目支出</w:t>
      </w:r>
      <w:r>
        <w:rPr>
          <w:rFonts w:ascii="仿宋" w:hAnsi="仿宋" w:eastAsia="仿宋"/>
          <w:b/>
          <w:sz w:val="32"/>
          <w:szCs w:val="32"/>
        </w:rPr>
        <w:t>208.79</w:t>
      </w:r>
      <w:r>
        <w:rPr>
          <w:rFonts w:hint="eastAsia" w:ascii="仿宋" w:hAnsi="仿宋" w:eastAsia="仿宋"/>
          <w:sz w:val="32"/>
          <w:szCs w:val="32"/>
        </w:rPr>
        <w:t>万元，占</w:t>
      </w:r>
      <w:r>
        <w:rPr>
          <w:rFonts w:hint="eastAsia" w:ascii="仿宋" w:hAnsi="仿宋" w:eastAsia="仿宋"/>
          <w:b/>
          <w:sz w:val="32"/>
          <w:szCs w:val="32"/>
        </w:rPr>
        <w:t>17</w:t>
      </w:r>
      <w:r>
        <w:rPr>
          <w:rFonts w:ascii="仿宋" w:hAnsi="仿宋" w:eastAsia="仿宋"/>
          <w:b/>
          <w:sz w:val="32"/>
          <w:szCs w:val="32"/>
        </w:rPr>
        <w:t>.1</w:t>
      </w:r>
      <w:r>
        <w:rPr>
          <w:rFonts w:ascii="仿宋" w:hAnsi="仿宋" w:eastAsia="仿宋"/>
          <w:sz w:val="32"/>
          <w:szCs w:val="32"/>
        </w:rPr>
        <w:t>%</w:t>
      </w:r>
      <w:r>
        <w:rPr>
          <w:rFonts w:hint="eastAsia" w:ascii="仿宋" w:hAnsi="仿宋" w:eastAsia="仿宋"/>
          <w:sz w:val="32"/>
          <w:szCs w:val="32"/>
        </w:rPr>
        <w:t>；上缴上级支出</w:t>
      </w:r>
      <w:r>
        <w:rPr>
          <w:rFonts w:ascii="仿宋" w:hAnsi="仿宋" w:eastAsia="仿宋"/>
          <w:b/>
          <w:sz w:val="32"/>
          <w:szCs w:val="32"/>
        </w:rPr>
        <w:t>0</w:t>
      </w:r>
      <w:r>
        <w:rPr>
          <w:rFonts w:hint="eastAsia" w:ascii="仿宋" w:hAnsi="仿宋" w:eastAsia="仿宋"/>
          <w:sz w:val="32"/>
          <w:szCs w:val="32"/>
        </w:rPr>
        <w:t>万元，占</w:t>
      </w:r>
      <w:r>
        <w:rPr>
          <w:rFonts w:hint="eastAsia"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；经营支出</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；对附属单位补助支出</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w:t>
      </w:r>
      <w:bookmarkEnd w:id="36"/>
      <w:bookmarkEnd w:id="37"/>
      <w:bookmarkEnd w:id="38"/>
    </w:p>
    <w:p>
      <w:pPr>
        <w:spacing w:line="600" w:lineRule="exact"/>
        <w:ind w:firstLine="640" w:firstLineChars="200"/>
        <w:outlineLvl w:val="1"/>
        <w:rPr>
          <w:rFonts w:ascii="仿宋" w:hAnsi="仿宋" w:eastAsia="仿宋"/>
          <w:sz w:val="32"/>
          <w:szCs w:val="32"/>
          <w:shd w:val="pct10" w:color="auto" w:fill="FFFFFF"/>
        </w:rPr>
      </w:pPr>
      <w:bookmarkStart w:id="39" w:name="_Toc31413"/>
      <w:r>
        <w:rPr>
          <w:rFonts w:hint="eastAsia" w:ascii="仿宋" w:hAnsi="仿宋" w:eastAsia="仿宋"/>
          <w:sz w:val="32"/>
          <w:szCs w:val="32"/>
          <w:shd w:val="pct10" w:color="auto" w:fill="FFFFFF"/>
        </w:rPr>
        <w:drawing>
          <wp:anchor distT="0" distB="0" distL="114300" distR="114300" simplePos="0" relativeHeight="251659264" behindDoc="0" locked="0" layoutInCell="1" allowOverlap="1">
            <wp:simplePos x="0" y="0"/>
            <wp:positionH relativeFrom="column">
              <wp:posOffset>373380</wp:posOffset>
            </wp:positionH>
            <wp:positionV relativeFrom="paragraph">
              <wp:posOffset>507365</wp:posOffset>
            </wp:positionV>
            <wp:extent cx="4723130" cy="2176145"/>
            <wp:effectExtent l="0" t="0" r="0" b="0"/>
            <wp:wrapTight wrapText="bothSides">
              <wp:wrapPolygon>
                <wp:start x="-23" y="-57"/>
                <wp:lineTo x="-23" y="21592"/>
                <wp:lineTo x="21582" y="21592"/>
                <wp:lineTo x="21582" y="-57"/>
                <wp:lineTo x="-23" y="-57"/>
              </wp:wrapPolygon>
            </wp:wrapTight>
            <wp:docPr id="5" name="图表 5" descr="7b0a202020202263686172745265734964223a2022343533383432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bookmarkEnd w:id="39"/>
    </w:p>
    <w:p>
      <w:pPr>
        <w:spacing w:line="600" w:lineRule="exact"/>
        <w:ind w:left="0"/>
        <w:rPr>
          <w:rFonts w:ascii="仿宋" w:hAnsi="仿宋" w:eastAsia="仿宋"/>
          <w:sz w:val="32"/>
          <w:szCs w:val="32"/>
          <w:shd w:val="pct10" w:color="auto" w:fill="FFFFFF"/>
        </w:rPr>
      </w:pPr>
    </w:p>
    <w:p>
      <w:pPr>
        <w:spacing w:line="600" w:lineRule="exact"/>
        <w:ind w:firstLine="1600" w:firstLineChars="500"/>
        <w:rPr>
          <w:rFonts w:ascii="仿宋_GB2312" w:eastAsia="仿宋_GB2312"/>
          <w:sz w:val="32"/>
          <w:szCs w:val="32"/>
        </w:rPr>
      </w:pPr>
      <w:r>
        <w:rPr>
          <w:rFonts w:hint="eastAsia" w:ascii="仿宋" w:hAnsi="仿宋" w:eastAsia="仿宋"/>
          <w:sz w:val="32"/>
          <w:szCs w:val="32"/>
        </w:rPr>
        <w:t>（图3：支出决算结构图）（饼状图）</w:t>
      </w:r>
    </w:p>
    <w:p>
      <w:pPr>
        <w:spacing w:line="600" w:lineRule="exact"/>
        <w:ind w:firstLine="640" w:firstLineChars="200"/>
        <w:outlineLvl w:val="1"/>
        <w:rPr>
          <w:rStyle w:val="21"/>
          <w:rFonts w:ascii="黑体" w:hAnsi="黑体" w:eastAsia="黑体"/>
          <w:b w:val="0"/>
        </w:rPr>
      </w:pPr>
      <w:bookmarkStart w:id="40" w:name="_Toc15396606"/>
      <w:bookmarkStart w:id="41" w:name="_Toc1172782846"/>
      <w:bookmarkStart w:id="42" w:name="_Toc15377208"/>
      <w:r>
        <w:rPr>
          <w:rFonts w:hint="eastAsia" w:ascii="黑体" w:hAnsi="黑体" w:eastAsia="黑体"/>
          <w:sz w:val="32"/>
          <w:szCs w:val="32"/>
        </w:rPr>
        <w:t>四、财</w:t>
      </w:r>
      <w:r>
        <w:rPr>
          <w:rStyle w:val="21"/>
          <w:rFonts w:hint="eastAsia" w:ascii="黑体" w:hAnsi="黑体" w:eastAsia="黑体"/>
          <w:b w:val="0"/>
        </w:rPr>
        <w:t>政拨款收入支出决算总体情况说明</w:t>
      </w:r>
      <w:bookmarkEnd w:id="40"/>
      <w:bookmarkEnd w:id="41"/>
      <w:bookmarkEnd w:id="42"/>
    </w:p>
    <w:p>
      <w:pPr>
        <w:spacing w:before="1" w:line="360" w:lineRule="auto"/>
        <w:ind w:left="50" w:firstLine="640" w:firstLineChars="200"/>
        <w:rPr>
          <w:rFonts w:ascii="仿宋" w:hAnsi="仿宋" w:eastAsia="仿宋" w:cs="仿宋"/>
          <w:spacing w:val="1"/>
          <w:sz w:val="32"/>
          <w:szCs w:val="32"/>
        </w:rPr>
      </w:pPr>
      <w:r>
        <w:rPr>
          <w:rFonts w:hint="eastAsia" w:ascii="仿宋" w:hAnsi="仿宋" w:eastAsia="仿宋"/>
          <w:sz w:val="32"/>
          <w:szCs w:val="32"/>
        </w:rPr>
        <w:t>202</w:t>
      </w:r>
      <w:r>
        <w:rPr>
          <w:rFonts w:ascii="仿宋" w:hAnsi="仿宋" w:eastAsia="仿宋"/>
          <w:sz w:val="32"/>
          <w:szCs w:val="32"/>
        </w:rPr>
        <w:t>5</w:t>
      </w:r>
      <w:r>
        <w:rPr>
          <w:rFonts w:hint="eastAsia" w:ascii="仿宋" w:hAnsi="仿宋" w:eastAsia="仿宋"/>
          <w:sz w:val="32"/>
          <w:szCs w:val="32"/>
        </w:rPr>
        <w:t>年度财政拨款收、支总计均为</w:t>
      </w:r>
      <w:r>
        <w:rPr>
          <w:rFonts w:ascii="仿宋" w:hAnsi="仿宋" w:eastAsia="仿宋"/>
          <w:b/>
          <w:sz w:val="32"/>
          <w:szCs w:val="32"/>
        </w:rPr>
        <w:t>1222.49</w:t>
      </w:r>
      <w:r>
        <w:rPr>
          <w:rFonts w:hint="eastAsia" w:ascii="仿宋" w:hAnsi="仿宋" w:eastAsia="仿宋"/>
          <w:sz w:val="32"/>
          <w:szCs w:val="32"/>
        </w:rPr>
        <w:t>万元。与20</w:t>
      </w:r>
      <w:r>
        <w:rPr>
          <w:rFonts w:ascii="仿宋" w:hAnsi="仿宋" w:eastAsia="仿宋"/>
          <w:sz w:val="32"/>
          <w:szCs w:val="32"/>
        </w:rPr>
        <w:t>24</w:t>
      </w:r>
      <w:r>
        <w:rPr>
          <w:rFonts w:hint="eastAsia" w:ascii="仿宋" w:hAnsi="仿宋" w:eastAsia="仿宋"/>
          <w:sz w:val="32"/>
          <w:szCs w:val="32"/>
        </w:rPr>
        <w:t>年度相比，财政拨款收、支总计各增加</w:t>
      </w:r>
      <w:r>
        <w:rPr>
          <w:rFonts w:ascii="仿宋" w:hAnsi="仿宋" w:eastAsia="仿宋"/>
          <w:sz w:val="32"/>
          <w:szCs w:val="32"/>
        </w:rPr>
        <w:t>95.21</w:t>
      </w:r>
      <w:r>
        <w:rPr>
          <w:rFonts w:hint="eastAsia" w:ascii="仿宋" w:hAnsi="仿宋" w:eastAsia="仿宋"/>
          <w:sz w:val="32"/>
          <w:szCs w:val="32"/>
        </w:rPr>
        <w:t>万元，增长</w:t>
      </w:r>
      <w:r>
        <w:rPr>
          <w:rFonts w:ascii="仿宋" w:hAnsi="仿宋" w:eastAsia="仿宋"/>
          <w:sz w:val="32"/>
          <w:szCs w:val="32"/>
        </w:rPr>
        <w:t>8.5%</w:t>
      </w:r>
      <w:r>
        <w:rPr>
          <w:rFonts w:hint="eastAsia" w:ascii="仿宋" w:hAnsi="仿宋" w:eastAsia="仿宋"/>
          <w:sz w:val="32"/>
          <w:szCs w:val="32"/>
        </w:rPr>
        <w:t>。</w:t>
      </w:r>
      <w:r>
        <w:rPr>
          <w:rFonts w:ascii="仿宋" w:hAnsi="仿宋" w:eastAsia="仿宋" w:cs="仿宋"/>
          <w:spacing w:val="1"/>
          <w:sz w:val="32"/>
          <w:szCs w:val="32"/>
        </w:rPr>
        <w:t>主要原因</w:t>
      </w:r>
      <w:r>
        <w:rPr>
          <w:rFonts w:hint="eastAsia" w:ascii="仿宋" w:hAnsi="仿宋" w:eastAsia="仿宋" w:cs="仿宋"/>
          <w:spacing w:val="1"/>
          <w:sz w:val="32"/>
          <w:szCs w:val="32"/>
          <w:lang w:eastAsia="zh-CN"/>
        </w:rPr>
        <w:t>为本年度</w:t>
      </w:r>
      <w:r>
        <w:rPr>
          <w:rFonts w:hint="eastAsia" w:ascii="仿宋" w:hAnsi="仿宋" w:eastAsia="仿宋" w:cs="仿宋"/>
          <w:spacing w:val="1"/>
          <w:sz w:val="32"/>
          <w:szCs w:val="32"/>
        </w:rPr>
        <w:t>人员晋级晋档，</w:t>
      </w:r>
      <w:r>
        <w:rPr>
          <w:rFonts w:ascii="仿宋" w:hAnsi="仿宋" w:eastAsia="仿宋" w:cs="仿宋"/>
          <w:spacing w:val="1"/>
          <w:sz w:val="32"/>
          <w:szCs w:val="32"/>
        </w:rPr>
        <w:t>预算</w:t>
      </w:r>
      <w:r>
        <w:rPr>
          <w:rFonts w:hint="eastAsia" w:ascii="仿宋" w:hAnsi="仿宋" w:eastAsia="仿宋" w:cs="仿宋"/>
          <w:spacing w:val="1"/>
          <w:sz w:val="32"/>
          <w:szCs w:val="32"/>
        </w:rPr>
        <w:t>人员增加</w:t>
      </w:r>
      <w:r>
        <w:rPr>
          <w:rFonts w:ascii="仿宋" w:hAnsi="仿宋" w:eastAsia="仿宋" w:cs="仿宋"/>
          <w:spacing w:val="1"/>
          <w:sz w:val="32"/>
          <w:szCs w:val="32"/>
        </w:rPr>
        <w:t>、办公经费增加</w:t>
      </w:r>
      <w:r>
        <w:rPr>
          <w:rFonts w:hint="eastAsia" w:ascii="仿宋" w:hAnsi="仿宋" w:eastAsia="仿宋" w:cs="仿宋"/>
          <w:spacing w:val="1"/>
          <w:sz w:val="32"/>
          <w:szCs w:val="32"/>
        </w:rPr>
        <w:t>。</w:t>
      </w:r>
    </w:p>
    <w:p>
      <w:pPr>
        <w:spacing w:line="600" w:lineRule="exact"/>
        <w:ind w:firstLine="640"/>
        <w:rPr>
          <w:rFonts w:ascii="仿宋" w:hAnsi="仿宋" w:eastAsia="仿宋"/>
          <w:b/>
          <w:sz w:val="32"/>
          <w:szCs w:val="32"/>
        </w:rPr>
      </w:pPr>
      <w:r>
        <w:rPr>
          <w:rFonts w:hint="eastAsia" w:ascii="仿宋" w:hAnsi="仿宋" w:eastAsia="仿宋"/>
          <w:sz w:val="32"/>
          <w:szCs w:val="32"/>
        </w:rPr>
        <w:drawing>
          <wp:anchor distT="0" distB="0" distL="114300" distR="114300" simplePos="0" relativeHeight="251659264" behindDoc="0" locked="0" layoutInCell="1" allowOverlap="1">
            <wp:simplePos x="0" y="0"/>
            <wp:positionH relativeFrom="column">
              <wp:posOffset>5080</wp:posOffset>
            </wp:positionH>
            <wp:positionV relativeFrom="paragraph">
              <wp:posOffset>20320</wp:posOffset>
            </wp:positionV>
            <wp:extent cx="5380990" cy="2755900"/>
            <wp:effectExtent l="5080" t="4445" r="5080" b="20955"/>
            <wp:wrapTight wrapText="bothSides">
              <wp:wrapPolygon>
                <wp:start x="-20" y="-35"/>
                <wp:lineTo x="-20" y="21466"/>
                <wp:lineTo x="21544" y="21466"/>
                <wp:lineTo x="21544" y="-35"/>
                <wp:lineTo x="-20" y="-35"/>
              </wp:wrapPolygon>
            </wp:wrapTight>
            <wp:docPr id="6" name="图表 6" descr="7b0a202020202263686172745265734964223a202234363235383434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仿宋" w:hAnsi="仿宋" w:eastAsia="仿宋"/>
          <w:sz w:val="32"/>
          <w:szCs w:val="32"/>
        </w:rPr>
        <w:t>（图4：财政拨款收、支决算总计变动情况）（柱状图）</w:t>
      </w:r>
    </w:p>
    <w:p>
      <w:pPr>
        <w:spacing w:line="600" w:lineRule="exact"/>
        <w:ind w:firstLine="640" w:firstLineChars="200"/>
        <w:outlineLvl w:val="1"/>
        <w:rPr>
          <w:rStyle w:val="21"/>
          <w:rFonts w:ascii="黑体" w:hAnsi="黑体" w:eastAsia="黑体"/>
          <w:b w:val="0"/>
        </w:rPr>
      </w:pPr>
      <w:bookmarkStart w:id="43" w:name="_Toc15377209"/>
      <w:bookmarkStart w:id="44" w:name="_Toc15396607"/>
      <w:bookmarkStart w:id="45" w:name="_Toc235837931"/>
      <w:r>
        <w:rPr>
          <w:rFonts w:hint="eastAsia" w:ascii="黑体" w:hAnsi="黑体" w:eastAsia="黑体"/>
          <w:sz w:val="32"/>
          <w:szCs w:val="32"/>
        </w:rPr>
        <w:t>五、</w:t>
      </w:r>
      <w:r>
        <w:rPr>
          <w:rFonts w:hint="eastAsia" w:ascii="黑体" w:hAnsi="黑体" w:eastAsia="黑体"/>
          <w:b/>
          <w:sz w:val="32"/>
          <w:szCs w:val="32"/>
        </w:rPr>
        <w:t>一</w:t>
      </w:r>
      <w:r>
        <w:rPr>
          <w:rStyle w:val="21"/>
          <w:rFonts w:hint="eastAsia" w:ascii="黑体" w:hAnsi="黑体" w:eastAsia="黑体"/>
          <w:b w:val="0"/>
        </w:rPr>
        <w:t>般公共预算财政拨款支出决算情况说明</w:t>
      </w:r>
      <w:bookmarkEnd w:id="43"/>
      <w:bookmarkEnd w:id="44"/>
      <w:bookmarkEnd w:id="45"/>
    </w:p>
    <w:p>
      <w:pPr>
        <w:spacing w:line="600" w:lineRule="exact"/>
        <w:ind w:firstLine="642" w:firstLineChars="200"/>
        <w:outlineLvl w:val="2"/>
        <w:rPr>
          <w:rFonts w:ascii="仿宋" w:hAnsi="仿宋" w:eastAsia="仿宋"/>
          <w:b/>
          <w:sz w:val="32"/>
          <w:szCs w:val="32"/>
        </w:rPr>
      </w:pPr>
      <w:bookmarkStart w:id="46" w:name="_Toc15377210"/>
      <w:r>
        <w:rPr>
          <w:rFonts w:hint="eastAsia" w:ascii="仿宋" w:hAnsi="仿宋" w:eastAsia="仿宋"/>
          <w:b/>
          <w:sz w:val="32"/>
          <w:szCs w:val="32"/>
        </w:rPr>
        <w:t>（一）一般公共预算财政拨款支出决算总体情况</w:t>
      </w:r>
      <w:bookmarkEnd w:id="46"/>
    </w:p>
    <w:p>
      <w:pPr>
        <w:spacing w:before="1" w:line="360" w:lineRule="auto"/>
        <w:ind w:left="50" w:firstLine="640" w:firstLineChars="200"/>
        <w:rPr>
          <w:rFonts w:hint="eastAsia" w:ascii="仿宋" w:hAnsi="仿宋" w:eastAsia="仿宋" w:cs="仿宋"/>
          <w:spacing w:val="1"/>
          <w:sz w:val="32"/>
          <w:szCs w:val="32"/>
        </w:rPr>
      </w:pPr>
      <w:r>
        <w:rPr>
          <w:rFonts w:hint="eastAsia" w:ascii="仿宋" w:hAnsi="仿宋" w:eastAsia="仿宋"/>
          <w:sz w:val="32"/>
          <w:szCs w:val="32"/>
        </w:rPr>
        <w:t>202</w:t>
      </w:r>
      <w:r>
        <w:rPr>
          <w:rFonts w:ascii="仿宋" w:hAnsi="仿宋" w:eastAsia="仿宋"/>
          <w:sz w:val="32"/>
          <w:szCs w:val="32"/>
        </w:rPr>
        <w:t>5</w:t>
      </w:r>
      <w:r>
        <w:rPr>
          <w:rFonts w:hint="eastAsia" w:ascii="仿宋" w:hAnsi="仿宋" w:eastAsia="仿宋"/>
          <w:sz w:val="32"/>
          <w:szCs w:val="32"/>
        </w:rPr>
        <w:t>年度一般公共预算财政拨款支出</w:t>
      </w:r>
      <w:r>
        <w:rPr>
          <w:rFonts w:ascii="仿宋" w:hAnsi="仿宋" w:eastAsia="仿宋"/>
          <w:b/>
          <w:sz w:val="32"/>
          <w:szCs w:val="32"/>
        </w:rPr>
        <w:t>1222.49</w:t>
      </w:r>
      <w:r>
        <w:rPr>
          <w:rFonts w:hint="eastAsia" w:ascii="仿宋" w:hAnsi="仿宋" w:eastAsia="仿宋"/>
          <w:sz w:val="32"/>
          <w:szCs w:val="32"/>
        </w:rPr>
        <w:t>万元，占本年支出合计的</w:t>
      </w:r>
      <w:r>
        <w:rPr>
          <w:rFonts w:ascii="仿宋" w:hAnsi="仿宋" w:eastAsia="仿宋"/>
          <w:b/>
          <w:sz w:val="32"/>
          <w:szCs w:val="32"/>
        </w:rPr>
        <w:t>100</w:t>
      </w:r>
      <w:r>
        <w:rPr>
          <w:rFonts w:ascii="仿宋" w:hAnsi="仿宋" w:eastAsia="仿宋"/>
          <w:sz w:val="32"/>
          <w:szCs w:val="32"/>
        </w:rPr>
        <w:t>%</w:t>
      </w:r>
      <w:r>
        <w:rPr>
          <w:rFonts w:hint="eastAsia" w:ascii="仿宋" w:hAnsi="仿宋" w:eastAsia="仿宋"/>
          <w:sz w:val="32"/>
          <w:szCs w:val="32"/>
        </w:rPr>
        <w:t>。与202</w:t>
      </w:r>
      <w:r>
        <w:rPr>
          <w:rFonts w:ascii="仿宋" w:hAnsi="仿宋" w:eastAsia="仿宋"/>
          <w:sz w:val="32"/>
          <w:szCs w:val="32"/>
        </w:rPr>
        <w:t>4</w:t>
      </w:r>
      <w:r>
        <w:rPr>
          <w:rFonts w:hint="eastAsia" w:ascii="仿宋" w:hAnsi="仿宋" w:eastAsia="仿宋"/>
          <w:sz w:val="32"/>
          <w:szCs w:val="32"/>
        </w:rPr>
        <w:t>年度相比，一般公共预算财政拨款支出增加</w:t>
      </w:r>
      <w:r>
        <w:rPr>
          <w:rFonts w:ascii="仿宋" w:hAnsi="仿宋" w:eastAsia="仿宋"/>
          <w:sz w:val="32"/>
          <w:szCs w:val="32"/>
        </w:rPr>
        <w:t>95.21</w:t>
      </w:r>
      <w:r>
        <w:rPr>
          <w:rFonts w:hint="eastAsia" w:ascii="仿宋" w:hAnsi="仿宋" w:eastAsia="仿宋"/>
          <w:sz w:val="32"/>
          <w:szCs w:val="32"/>
        </w:rPr>
        <w:t>万元，增长</w:t>
      </w:r>
      <w:r>
        <w:rPr>
          <w:rFonts w:ascii="仿宋" w:hAnsi="仿宋" w:eastAsia="仿宋"/>
          <w:sz w:val="32"/>
          <w:szCs w:val="32"/>
        </w:rPr>
        <w:t>8.5%</w:t>
      </w:r>
      <w:r>
        <w:rPr>
          <w:rFonts w:hint="eastAsia" w:ascii="仿宋" w:hAnsi="仿宋" w:eastAsia="仿宋"/>
          <w:sz w:val="32"/>
          <w:szCs w:val="32"/>
        </w:rPr>
        <w:t>。</w:t>
      </w:r>
      <w:r>
        <w:rPr>
          <w:rFonts w:ascii="仿宋" w:hAnsi="仿宋" w:eastAsia="仿宋" w:cs="仿宋"/>
          <w:spacing w:val="1"/>
          <w:sz w:val="32"/>
          <w:szCs w:val="32"/>
        </w:rPr>
        <w:t>主要原因</w:t>
      </w:r>
      <w:r>
        <w:rPr>
          <w:rFonts w:hint="eastAsia" w:ascii="仿宋" w:hAnsi="仿宋" w:eastAsia="仿宋" w:cs="仿宋"/>
          <w:spacing w:val="1"/>
          <w:sz w:val="32"/>
          <w:szCs w:val="32"/>
          <w:lang w:eastAsia="zh-CN"/>
        </w:rPr>
        <w:t>为本年度</w:t>
      </w:r>
      <w:r>
        <w:rPr>
          <w:rFonts w:hint="eastAsia" w:ascii="仿宋" w:hAnsi="仿宋" w:eastAsia="仿宋" w:cs="仿宋"/>
          <w:spacing w:val="1"/>
          <w:sz w:val="32"/>
          <w:szCs w:val="32"/>
        </w:rPr>
        <w:t>人员晋级晋档，</w:t>
      </w:r>
      <w:r>
        <w:rPr>
          <w:rFonts w:ascii="仿宋" w:hAnsi="仿宋" w:eastAsia="仿宋" w:cs="仿宋"/>
          <w:spacing w:val="1"/>
          <w:sz w:val="32"/>
          <w:szCs w:val="32"/>
        </w:rPr>
        <w:t>预算</w:t>
      </w:r>
      <w:r>
        <w:rPr>
          <w:rFonts w:hint="eastAsia" w:ascii="仿宋" w:hAnsi="仿宋" w:eastAsia="仿宋" w:cs="仿宋"/>
          <w:spacing w:val="1"/>
          <w:sz w:val="32"/>
          <w:szCs w:val="32"/>
        </w:rPr>
        <w:t>人员增加</w:t>
      </w:r>
      <w:r>
        <w:rPr>
          <w:rFonts w:ascii="仿宋" w:hAnsi="仿宋" w:eastAsia="仿宋" w:cs="仿宋"/>
          <w:spacing w:val="1"/>
          <w:sz w:val="32"/>
          <w:szCs w:val="32"/>
        </w:rPr>
        <w:t>、办公经费增加</w:t>
      </w:r>
      <w:r>
        <w:rPr>
          <w:rFonts w:hint="eastAsia" w:ascii="仿宋" w:hAnsi="仿宋" w:eastAsia="仿宋" w:cs="仿宋"/>
          <w:spacing w:val="1"/>
          <w:sz w:val="32"/>
          <w:szCs w:val="32"/>
        </w:rPr>
        <w:t>。</w:t>
      </w:r>
    </w:p>
    <w:p>
      <w:pPr>
        <w:tabs>
          <w:tab w:val="left" w:pos="2223"/>
        </w:tabs>
        <w:spacing w:before="1" w:line="360" w:lineRule="auto"/>
        <w:rPr>
          <w:rFonts w:hint="eastAsia" w:ascii="仿宋" w:hAnsi="仿宋" w:eastAsia="仿宋" w:cs="仿宋"/>
          <w:spacing w:val="1"/>
          <w:sz w:val="32"/>
          <w:szCs w:val="32"/>
        </w:rPr>
      </w:pPr>
      <w:r>
        <w:rPr>
          <w:rFonts w:hint="eastAsia" w:ascii="仿宋" w:hAnsi="仿宋" w:eastAsia="仿宋" w:cs="仿宋"/>
          <w:spacing w:val="1"/>
          <w:sz w:val="32"/>
          <w:szCs w:val="32"/>
          <w:lang w:eastAsia="zh-CN"/>
        </w:rPr>
        <w:drawing>
          <wp:inline distT="0" distB="0" distL="114300" distR="114300">
            <wp:extent cx="5080000" cy="2589530"/>
            <wp:effectExtent l="4445" t="4445" r="20955" b="1587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before="1" w:line="360" w:lineRule="auto"/>
        <w:rPr>
          <w:rFonts w:ascii="仿宋" w:hAnsi="仿宋" w:eastAsia="仿宋"/>
          <w:sz w:val="32"/>
          <w:szCs w:val="32"/>
        </w:rPr>
      </w:pPr>
      <w:r>
        <w:rPr>
          <w:rFonts w:hint="eastAsia" w:ascii="仿宋" w:hAnsi="仿宋" w:eastAsia="仿宋"/>
          <w:sz w:val="32"/>
          <w:szCs w:val="32"/>
        </w:rPr>
        <w:t>（图5：一般公共预算财政拨款支出决算变动情况）（柱状图）</w:t>
      </w:r>
    </w:p>
    <w:p>
      <w:pPr>
        <w:spacing w:line="600" w:lineRule="exact"/>
        <w:ind w:firstLine="642" w:firstLineChars="200"/>
        <w:outlineLvl w:val="2"/>
        <w:rPr>
          <w:rFonts w:ascii="仿宋" w:hAnsi="仿宋" w:eastAsia="仿宋"/>
          <w:b/>
          <w:sz w:val="32"/>
          <w:szCs w:val="32"/>
        </w:rPr>
      </w:pPr>
      <w:bookmarkStart w:id="47" w:name="_Toc15377211"/>
      <w:r>
        <w:rPr>
          <w:rFonts w:hint="eastAsia" w:ascii="仿宋" w:hAnsi="仿宋" w:eastAsia="仿宋"/>
          <w:b/>
          <w:sz w:val="32"/>
          <w:szCs w:val="32"/>
        </w:rPr>
        <w:t>（二）一般公共预算财政拨款支出决算结构情况</w:t>
      </w:r>
      <w:bookmarkEnd w:id="47"/>
    </w:p>
    <w:p>
      <w:pPr>
        <w:spacing w:line="600" w:lineRule="exact"/>
        <w:ind w:firstLine="640"/>
        <w:rPr>
          <w:rFonts w:ascii="仿宋" w:hAnsi="仿宋" w:eastAsia="仿宋"/>
          <w:b/>
          <w:sz w:val="32"/>
          <w:szCs w:val="32"/>
        </w:rPr>
      </w:pPr>
      <w:r>
        <w:rPr>
          <w:rFonts w:hint="eastAsia" w:ascii="仿宋" w:hAnsi="仿宋" w:eastAsia="仿宋"/>
          <w:sz w:val="32"/>
          <w:szCs w:val="32"/>
        </w:rPr>
        <w:t>202</w:t>
      </w:r>
      <w:r>
        <w:rPr>
          <w:rFonts w:ascii="仿宋" w:hAnsi="仿宋" w:eastAsia="仿宋"/>
          <w:sz w:val="32"/>
          <w:szCs w:val="32"/>
        </w:rPr>
        <w:t>5</w:t>
      </w:r>
      <w:r>
        <w:rPr>
          <w:rFonts w:hint="eastAsia" w:ascii="仿宋" w:hAnsi="仿宋" w:eastAsia="仿宋"/>
          <w:sz w:val="32"/>
          <w:szCs w:val="32"/>
        </w:rPr>
        <w:t>年度一般公共预算财政拨款支出</w:t>
      </w:r>
      <w:r>
        <w:rPr>
          <w:rFonts w:ascii="仿宋" w:hAnsi="仿宋" w:eastAsia="仿宋"/>
          <w:b/>
          <w:sz w:val="32"/>
          <w:szCs w:val="32"/>
        </w:rPr>
        <w:t>1222.49</w:t>
      </w:r>
      <w:r>
        <w:rPr>
          <w:rFonts w:hint="eastAsia" w:ascii="仿宋" w:hAnsi="仿宋" w:eastAsia="仿宋"/>
          <w:sz w:val="32"/>
          <w:szCs w:val="32"/>
        </w:rPr>
        <w:t>万元，主要用于以下方面</w:t>
      </w:r>
      <w:r>
        <w:rPr>
          <w:rFonts w:ascii="仿宋" w:hAnsi="仿宋" w:eastAsia="仿宋"/>
          <w:sz w:val="32"/>
          <w:szCs w:val="32"/>
        </w:rPr>
        <w:t>:</w:t>
      </w:r>
      <w:r>
        <w:rPr>
          <w:rFonts w:hint="eastAsia" w:ascii="仿宋" w:hAnsi="仿宋" w:eastAsia="仿宋"/>
          <w:b/>
          <w:sz w:val="32"/>
          <w:szCs w:val="32"/>
        </w:rPr>
        <w:t>一般公共服务</w:t>
      </w:r>
      <w:r>
        <w:rPr>
          <w:rFonts w:hint="eastAsia" w:ascii="仿宋" w:hAnsi="仿宋" w:eastAsia="仿宋"/>
          <w:b/>
          <w:bCs/>
          <w:sz w:val="32"/>
          <w:szCs w:val="32"/>
        </w:rPr>
        <w:t>支出</w:t>
      </w:r>
      <w:r>
        <w:rPr>
          <w:rFonts w:ascii="仿宋" w:hAnsi="仿宋" w:eastAsia="仿宋"/>
          <w:sz w:val="32"/>
          <w:szCs w:val="32"/>
        </w:rPr>
        <w:t>994.91</w:t>
      </w:r>
      <w:r>
        <w:rPr>
          <w:rFonts w:hint="eastAsia" w:ascii="仿宋" w:hAnsi="仿宋" w:eastAsia="仿宋"/>
          <w:sz w:val="32"/>
          <w:szCs w:val="32"/>
        </w:rPr>
        <w:t>万元，占8</w:t>
      </w:r>
      <w:r>
        <w:rPr>
          <w:rFonts w:ascii="仿宋" w:hAnsi="仿宋" w:eastAsia="仿宋"/>
          <w:sz w:val="32"/>
          <w:szCs w:val="32"/>
        </w:rPr>
        <w:t>1</w:t>
      </w:r>
      <w:r>
        <w:rPr>
          <w:rFonts w:hint="eastAsia" w:ascii="仿宋" w:hAnsi="仿宋" w:eastAsia="仿宋"/>
          <w:sz w:val="32"/>
          <w:szCs w:val="32"/>
        </w:rPr>
        <w:t>.4</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sz w:val="32"/>
          <w:szCs w:val="32"/>
        </w:rPr>
        <w:t>社会保障和就业</w:t>
      </w:r>
      <w:r>
        <w:rPr>
          <w:rFonts w:hint="eastAsia" w:ascii="仿宋" w:hAnsi="仿宋" w:eastAsia="仿宋"/>
          <w:b/>
          <w:bCs/>
          <w:sz w:val="32"/>
          <w:szCs w:val="32"/>
        </w:rPr>
        <w:t>支出</w:t>
      </w:r>
      <w:r>
        <w:rPr>
          <w:rFonts w:hint="eastAsia" w:ascii="仿宋" w:hAnsi="仿宋" w:eastAsia="仿宋"/>
          <w:sz w:val="32"/>
          <w:szCs w:val="32"/>
        </w:rPr>
        <w:t>11</w:t>
      </w:r>
      <w:r>
        <w:rPr>
          <w:rFonts w:ascii="仿宋" w:hAnsi="仿宋" w:eastAsia="仿宋"/>
          <w:sz w:val="32"/>
          <w:szCs w:val="32"/>
        </w:rPr>
        <w:t>5</w:t>
      </w:r>
      <w:r>
        <w:rPr>
          <w:rFonts w:hint="eastAsia" w:ascii="仿宋" w:hAnsi="仿宋" w:eastAsia="仿宋"/>
          <w:sz w:val="32"/>
          <w:szCs w:val="32"/>
        </w:rPr>
        <w:t>.</w:t>
      </w:r>
      <w:r>
        <w:rPr>
          <w:rFonts w:ascii="仿宋" w:hAnsi="仿宋" w:eastAsia="仿宋"/>
          <w:sz w:val="32"/>
          <w:szCs w:val="32"/>
        </w:rPr>
        <w:t>5</w:t>
      </w:r>
      <w:r>
        <w:rPr>
          <w:rFonts w:hint="eastAsia" w:ascii="仿宋" w:hAnsi="仿宋" w:eastAsia="仿宋"/>
          <w:sz w:val="32"/>
          <w:szCs w:val="32"/>
        </w:rPr>
        <w:t>4万元，占</w:t>
      </w:r>
      <w:r>
        <w:rPr>
          <w:rFonts w:ascii="仿宋" w:hAnsi="仿宋" w:eastAsia="仿宋"/>
          <w:sz w:val="32"/>
          <w:szCs w:val="32"/>
        </w:rPr>
        <w:t>9.4%</w:t>
      </w:r>
      <w:r>
        <w:rPr>
          <w:rFonts w:hint="eastAsia" w:ascii="仿宋" w:hAnsi="仿宋" w:eastAsia="仿宋"/>
          <w:sz w:val="32"/>
          <w:szCs w:val="32"/>
        </w:rPr>
        <w:t>；</w:t>
      </w:r>
      <w:r>
        <w:rPr>
          <w:rFonts w:hint="eastAsia" w:ascii="仿宋" w:hAnsi="仿宋" w:eastAsia="仿宋"/>
          <w:b/>
          <w:bCs/>
          <w:sz w:val="32"/>
          <w:szCs w:val="32"/>
        </w:rPr>
        <w:t>卫生健康支出</w:t>
      </w:r>
      <w:r>
        <w:rPr>
          <w:rFonts w:ascii="仿宋" w:hAnsi="仿宋" w:eastAsia="仿宋"/>
          <w:b/>
          <w:bCs/>
          <w:sz w:val="32"/>
          <w:szCs w:val="32"/>
        </w:rPr>
        <w:t>48.29</w:t>
      </w:r>
      <w:r>
        <w:rPr>
          <w:rFonts w:hint="eastAsia" w:ascii="仿宋" w:hAnsi="仿宋" w:eastAsia="仿宋"/>
          <w:sz w:val="32"/>
          <w:szCs w:val="32"/>
        </w:rPr>
        <w:t>万元，占4</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住房保障支出</w:t>
      </w:r>
      <w:r>
        <w:rPr>
          <w:rFonts w:ascii="仿宋" w:hAnsi="仿宋" w:eastAsia="仿宋"/>
          <w:b/>
          <w:bCs/>
          <w:sz w:val="32"/>
          <w:szCs w:val="32"/>
        </w:rPr>
        <w:t>63.76</w:t>
      </w:r>
      <w:r>
        <w:rPr>
          <w:rFonts w:hint="eastAsia" w:ascii="仿宋" w:hAnsi="仿宋" w:eastAsia="仿宋"/>
          <w:sz w:val="32"/>
          <w:szCs w:val="32"/>
        </w:rPr>
        <w:t>万元，占5</w:t>
      </w:r>
      <w:r>
        <w:rPr>
          <w:rFonts w:ascii="仿宋" w:hAnsi="仿宋" w:eastAsia="仿宋"/>
          <w:sz w:val="32"/>
          <w:szCs w:val="32"/>
        </w:rPr>
        <w:t>.2%</w:t>
      </w:r>
      <w:r>
        <w:rPr>
          <w:rFonts w:hint="eastAsia" w:ascii="仿宋" w:hAnsi="仿宋" w:eastAsia="仿宋"/>
          <w:sz w:val="32"/>
          <w:szCs w:val="32"/>
        </w:rPr>
        <w:t>；</w:t>
      </w:r>
    </w:p>
    <w:p>
      <w:pPr>
        <w:spacing w:line="600" w:lineRule="exact"/>
        <w:rPr>
          <w:rFonts w:ascii="仿宋" w:hAnsi="仿宋" w:eastAsia="仿宋"/>
          <w:b/>
          <w:sz w:val="32"/>
          <w:szCs w:val="32"/>
        </w:rPr>
      </w:pPr>
      <w:r>
        <w:rPr>
          <w:rFonts w:hint="eastAsia" w:ascii="仿宋" w:hAnsi="仿宋" w:eastAsia="仿宋"/>
          <w:b/>
          <w:sz w:val="32"/>
          <w:szCs w:val="32"/>
        </w:rPr>
        <w:drawing>
          <wp:anchor distT="0" distB="0" distL="114300" distR="114300" simplePos="0" relativeHeight="251659264" behindDoc="0" locked="0" layoutInCell="1" allowOverlap="1">
            <wp:simplePos x="0" y="0"/>
            <wp:positionH relativeFrom="column">
              <wp:posOffset>354330</wp:posOffset>
            </wp:positionH>
            <wp:positionV relativeFrom="paragraph">
              <wp:posOffset>104775</wp:posOffset>
            </wp:positionV>
            <wp:extent cx="4770120" cy="2026920"/>
            <wp:effectExtent l="0" t="0" r="0" b="0"/>
            <wp:wrapTight wrapText="bothSides">
              <wp:wrapPolygon>
                <wp:start x="-23" y="-87"/>
                <wp:lineTo x="-23" y="21532"/>
                <wp:lineTo x="21585" y="21532"/>
                <wp:lineTo x="21585" y="-87"/>
                <wp:lineTo x="-23" y="-87"/>
              </wp:wrapPolygon>
            </wp:wrapTight>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spacing w:line="600" w:lineRule="exact"/>
        <w:ind w:firstLine="640" w:firstLineChars="200"/>
        <w:rPr>
          <w:rFonts w:ascii="仿宋" w:hAnsi="仿宋" w:eastAsia="仿宋"/>
          <w:sz w:val="32"/>
          <w:szCs w:val="32"/>
        </w:rPr>
      </w:pPr>
      <w:r>
        <w:rPr>
          <w:rFonts w:hint="eastAsia" w:ascii="仿宋" w:hAnsi="仿宋" w:eastAsia="仿宋"/>
          <w:sz w:val="32"/>
          <w:szCs w:val="32"/>
        </w:rPr>
        <w:t>（图6：一般公共预算财政拨款支出决算结构）（饼状图）</w:t>
      </w:r>
    </w:p>
    <w:p>
      <w:pPr>
        <w:spacing w:line="600" w:lineRule="exact"/>
        <w:ind w:firstLine="642" w:firstLineChars="200"/>
        <w:outlineLvl w:val="2"/>
        <w:rPr>
          <w:rFonts w:ascii="仿宋" w:hAnsi="仿宋" w:eastAsia="仿宋"/>
          <w:b/>
          <w:sz w:val="32"/>
          <w:szCs w:val="32"/>
        </w:rPr>
      </w:pPr>
      <w:bookmarkStart w:id="48" w:name="_Toc15377212"/>
      <w:r>
        <w:rPr>
          <w:rFonts w:hint="eastAsia" w:ascii="仿宋" w:hAnsi="仿宋" w:eastAsia="仿宋"/>
          <w:b/>
          <w:sz w:val="32"/>
          <w:szCs w:val="32"/>
        </w:rPr>
        <w:t>（三）一般公共预算财政拨款支出决算具体情况</w:t>
      </w:r>
      <w:bookmarkEnd w:id="48"/>
    </w:p>
    <w:p>
      <w:pPr>
        <w:spacing w:line="600" w:lineRule="exact"/>
        <w:ind w:firstLine="642" w:firstLineChars="200"/>
        <w:outlineLvl w:val="1"/>
        <w:rPr>
          <w:rFonts w:ascii="仿宋" w:hAnsi="仿宋" w:eastAsia="仿宋"/>
          <w:sz w:val="32"/>
          <w:szCs w:val="32"/>
        </w:rPr>
      </w:pPr>
      <w:bookmarkStart w:id="49" w:name="_Toc325485070"/>
      <w:bookmarkStart w:id="50" w:name="_Toc15378460"/>
      <w:bookmarkStart w:id="51" w:name="_Toc22328"/>
      <w:bookmarkStart w:id="52" w:name="_Toc15377213"/>
      <w:bookmarkStart w:id="53" w:name="_Toc2122"/>
      <w:bookmarkStart w:id="54" w:name="_Toc15377444"/>
      <w:r>
        <w:rPr>
          <w:rFonts w:hint="eastAsia" w:ascii="仿宋" w:hAnsi="仿宋" w:eastAsia="仿宋"/>
          <w:b/>
          <w:sz w:val="32"/>
          <w:szCs w:val="32"/>
        </w:rPr>
        <w:t>202</w:t>
      </w:r>
      <w:r>
        <w:rPr>
          <w:rFonts w:ascii="仿宋" w:hAnsi="仿宋" w:eastAsia="仿宋"/>
          <w:b/>
          <w:sz w:val="32"/>
          <w:szCs w:val="32"/>
        </w:rPr>
        <w:t>5</w:t>
      </w:r>
      <w:r>
        <w:rPr>
          <w:rFonts w:hint="eastAsia" w:ascii="仿宋" w:hAnsi="仿宋" w:eastAsia="仿宋"/>
          <w:b/>
          <w:sz w:val="32"/>
          <w:szCs w:val="32"/>
        </w:rPr>
        <w:t>年度一般公共预算支出决算数为1</w:t>
      </w:r>
      <w:r>
        <w:rPr>
          <w:rFonts w:ascii="仿宋" w:hAnsi="仿宋" w:eastAsia="仿宋"/>
          <w:b/>
          <w:sz w:val="32"/>
          <w:szCs w:val="32"/>
        </w:rPr>
        <w:t>222.49</w:t>
      </w:r>
      <w:r>
        <w:rPr>
          <w:rFonts w:hint="eastAsia" w:ascii="仿宋" w:hAnsi="仿宋" w:eastAsia="仿宋"/>
          <w:sz w:val="32"/>
          <w:szCs w:val="32"/>
        </w:rPr>
        <w:t>，</w:t>
      </w:r>
      <w:r>
        <w:rPr>
          <w:rStyle w:val="18"/>
          <w:rFonts w:hint="eastAsia" w:ascii="仿宋" w:hAnsi="仿宋" w:eastAsia="仿宋"/>
          <w:bCs/>
          <w:sz w:val="32"/>
          <w:szCs w:val="32"/>
        </w:rPr>
        <w:t>完成预算100</w:t>
      </w:r>
      <w:r>
        <w:rPr>
          <w:rStyle w:val="18"/>
          <w:rFonts w:ascii="仿宋" w:hAnsi="仿宋" w:eastAsia="仿宋"/>
          <w:bCs/>
          <w:sz w:val="32"/>
          <w:szCs w:val="32"/>
        </w:rPr>
        <w:t>%</w:t>
      </w:r>
      <w:r>
        <w:rPr>
          <w:rStyle w:val="18"/>
          <w:rFonts w:hint="eastAsia" w:ascii="仿宋" w:hAnsi="仿宋" w:eastAsia="仿宋"/>
          <w:bCs/>
          <w:sz w:val="32"/>
          <w:szCs w:val="32"/>
        </w:rPr>
        <w:t>。其中：</w:t>
      </w:r>
      <w:bookmarkEnd w:id="49"/>
      <w:bookmarkEnd w:id="50"/>
      <w:bookmarkEnd w:id="51"/>
      <w:bookmarkEnd w:id="52"/>
      <w:bookmarkEnd w:id="53"/>
      <w:bookmarkEnd w:id="54"/>
    </w:p>
    <w:p>
      <w:pPr>
        <w:spacing w:before="186" w:line="600" w:lineRule="exact"/>
        <w:ind w:left="629"/>
        <w:rPr>
          <w:rFonts w:ascii="仿宋" w:eastAsia="仿宋"/>
          <w:sz w:val="32"/>
          <w:szCs w:val="32"/>
        </w:rPr>
      </w:pPr>
      <w:r>
        <w:rPr>
          <w:rFonts w:ascii="仿宋" w:eastAsia="仿宋"/>
          <w:sz w:val="32"/>
          <w:szCs w:val="32"/>
        </w:rPr>
        <w:t>1.一般公共服务(201类)(02款)(01项):支出决算为</w:t>
      </w:r>
      <w:r>
        <w:rPr>
          <w:rFonts w:hint="eastAsia" w:ascii="仿宋" w:eastAsia="仿宋"/>
          <w:sz w:val="32"/>
          <w:szCs w:val="32"/>
        </w:rPr>
        <w:t xml:space="preserve">  </w:t>
      </w:r>
      <w:r>
        <w:rPr>
          <w:rFonts w:ascii="仿宋" w:eastAsia="仿宋"/>
          <w:sz w:val="32"/>
          <w:szCs w:val="32"/>
        </w:rPr>
        <w:t>786.12万元，完成预算100%。</w:t>
      </w:r>
    </w:p>
    <w:p>
      <w:pPr>
        <w:spacing w:before="226" w:line="602" w:lineRule="exact"/>
        <w:ind w:left="629"/>
        <w:rPr>
          <w:rFonts w:ascii="仿宋" w:eastAsia="仿宋"/>
          <w:sz w:val="32"/>
          <w:szCs w:val="32"/>
        </w:rPr>
      </w:pPr>
      <w:r>
        <w:rPr>
          <w:rFonts w:ascii="仿宋" w:eastAsia="仿宋"/>
          <w:sz w:val="32"/>
          <w:szCs w:val="32"/>
        </w:rPr>
        <w:t>2.社会保障和就业(208类)(05款)(05项):支出决算为115.53万元，完成预算100%。</w:t>
      </w:r>
    </w:p>
    <w:p>
      <w:pPr>
        <w:spacing w:before="227" w:line="600" w:lineRule="exact"/>
        <w:ind w:left="629"/>
        <w:rPr>
          <w:rFonts w:ascii="仿宋" w:eastAsia="仿宋"/>
          <w:sz w:val="32"/>
          <w:szCs w:val="32"/>
        </w:rPr>
      </w:pPr>
      <w:r>
        <w:rPr>
          <w:rFonts w:ascii="仿宋" w:eastAsia="仿宋"/>
          <w:sz w:val="32"/>
          <w:szCs w:val="32"/>
        </w:rPr>
        <w:t>3.卫生健康(210类)(11款)(01项):支出决算为48.29</w:t>
      </w:r>
      <w:r>
        <w:rPr>
          <w:rFonts w:hint="eastAsia" w:ascii="仿宋" w:eastAsia="仿宋"/>
          <w:sz w:val="32"/>
          <w:szCs w:val="32"/>
        </w:rPr>
        <w:t xml:space="preserve"> </w:t>
      </w:r>
      <w:r>
        <w:rPr>
          <w:rFonts w:ascii="仿宋" w:eastAsia="仿宋"/>
          <w:sz w:val="32"/>
          <w:szCs w:val="32"/>
        </w:rPr>
        <w:t>万元，完成预算100%。</w:t>
      </w:r>
    </w:p>
    <w:p>
      <w:pPr>
        <w:spacing w:before="227" w:line="601" w:lineRule="exact"/>
        <w:ind w:left="629"/>
        <w:rPr>
          <w:rFonts w:ascii="仿宋" w:eastAsia="仿宋"/>
          <w:sz w:val="32"/>
          <w:szCs w:val="32"/>
        </w:rPr>
      </w:pPr>
      <w:r>
        <w:rPr>
          <w:rFonts w:ascii="仿宋" w:eastAsia="仿宋"/>
          <w:sz w:val="32"/>
          <w:szCs w:val="32"/>
        </w:rPr>
        <w:t>4.住房保障支出(221类)(02款)(01项):支出决算为63.76万元，完成预算100%。</w:t>
      </w:r>
    </w:p>
    <w:p>
      <w:pPr>
        <w:tabs>
          <w:tab w:val="right" w:pos="8306"/>
        </w:tabs>
        <w:spacing w:line="600" w:lineRule="exact"/>
        <w:ind w:firstLine="640"/>
        <w:outlineLvl w:val="1"/>
        <w:rPr>
          <w:rStyle w:val="21"/>
        </w:rPr>
      </w:pPr>
      <w:bookmarkStart w:id="55" w:name="_Toc15377214"/>
      <w:bookmarkStart w:id="56" w:name="_Toc15396608"/>
      <w:bookmarkStart w:id="57" w:name="_Toc1005811431"/>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21"/>
          <w:rFonts w:hint="eastAsia" w:ascii="黑体" w:hAnsi="黑体" w:eastAsia="黑体"/>
          <w:b w:val="0"/>
        </w:rPr>
        <w:t>般公共预算财政拨款基本支出决算情况说明</w:t>
      </w:r>
      <w:bookmarkEnd w:id="55"/>
      <w:bookmarkEnd w:id="56"/>
      <w:bookmarkEnd w:id="57"/>
      <w:r>
        <w:rPr>
          <w:rStyle w:val="21"/>
          <w:rFonts w:ascii="黑体" w:hAnsi="黑体" w:eastAsia="黑体"/>
          <w:b w:val="0"/>
        </w:rPr>
        <w:tab/>
      </w:r>
    </w:p>
    <w:p>
      <w:pPr>
        <w:spacing w:line="600" w:lineRule="exact"/>
        <w:ind w:firstLine="645"/>
        <w:rPr>
          <w:rFonts w:ascii="仿宋" w:hAnsi="仿宋" w:eastAsia="仿宋"/>
          <w:sz w:val="32"/>
          <w:szCs w:val="32"/>
        </w:rPr>
      </w:pPr>
      <w:r>
        <w:rPr>
          <w:rFonts w:hint="eastAsia" w:ascii="仿宋" w:hAnsi="仿宋" w:eastAsia="仿宋"/>
          <w:sz w:val="32"/>
          <w:szCs w:val="32"/>
        </w:rPr>
        <w:t>202</w:t>
      </w:r>
      <w:r>
        <w:rPr>
          <w:rFonts w:ascii="仿宋" w:hAnsi="仿宋" w:eastAsia="仿宋"/>
          <w:sz w:val="32"/>
          <w:szCs w:val="32"/>
        </w:rPr>
        <w:t>5</w:t>
      </w:r>
      <w:r>
        <w:rPr>
          <w:rFonts w:hint="eastAsia" w:ascii="仿宋" w:hAnsi="仿宋" w:eastAsia="仿宋"/>
          <w:sz w:val="32"/>
          <w:szCs w:val="32"/>
        </w:rPr>
        <w:t>年度一般公共预算财政拨款基本支出</w:t>
      </w:r>
      <w:r>
        <w:rPr>
          <w:rFonts w:ascii="仿宋" w:hAnsi="仿宋" w:eastAsia="仿宋"/>
          <w:b/>
          <w:sz w:val="32"/>
          <w:szCs w:val="32"/>
        </w:rPr>
        <w:t>1013.71</w:t>
      </w:r>
      <w:r>
        <w:rPr>
          <w:rFonts w:hint="eastAsia" w:ascii="仿宋" w:hAnsi="仿宋" w:eastAsia="仿宋"/>
          <w:sz w:val="32"/>
          <w:szCs w:val="32"/>
        </w:rPr>
        <w:t>万元，其中：</w:t>
      </w:r>
    </w:p>
    <w:p>
      <w:pPr>
        <w:spacing w:line="600" w:lineRule="exact"/>
        <w:ind w:firstLine="645"/>
        <w:rPr>
          <w:rFonts w:ascii="仿宋" w:hAnsi="仿宋" w:eastAsia="仿宋"/>
          <w:sz w:val="32"/>
          <w:szCs w:val="32"/>
        </w:rPr>
      </w:pPr>
      <w:r>
        <w:rPr>
          <w:rFonts w:hint="eastAsia" w:ascii="仿宋" w:hAnsi="仿宋" w:eastAsia="仿宋"/>
          <w:sz w:val="32"/>
          <w:szCs w:val="32"/>
        </w:rPr>
        <w:t>人员经费</w:t>
      </w:r>
      <w:r>
        <w:rPr>
          <w:rFonts w:ascii="仿宋" w:hAnsi="仿宋" w:eastAsia="仿宋"/>
          <w:b/>
          <w:sz w:val="32"/>
          <w:szCs w:val="32"/>
        </w:rPr>
        <w:t>905.31</w:t>
      </w:r>
      <w:r>
        <w:rPr>
          <w:rFonts w:hint="eastAsia" w:ascii="仿宋" w:hAnsi="仿宋" w:eastAsia="仿宋"/>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pPr>
        <w:spacing w:line="600" w:lineRule="exact"/>
        <w:ind w:firstLine="645"/>
        <w:rPr>
          <w:rFonts w:ascii="仿宋" w:hAnsi="仿宋" w:eastAsia="仿宋"/>
          <w:sz w:val="32"/>
          <w:szCs w:val="32"/>
        </w:rPr>
      </w:pPr>
      <w:r>
        <w:rPr>
          <w:rFonts w:hint="eastAsia" w:ascii="仿宋" w:hAnsi="仿宋" w:eastAsia="仿宋"/>
          <w:sz w:val="32"/>
          <w:szCs w:val="32"/>
        </w:rPr>
        <w:t>公用经费</w:t>
      </w:r>
      <w:r>
        <w:rPr>
          <w:rFonts w:ascii="仿宋" w:hAnsi="仿宋" w:eastAsia="仿宋"/>
          <w:b/>
          <w:sz w:val="32"/>
          <w:szCs w:val="32"/>
        </w:rPr>
        <w:t>108.39</w:t>
      </w:r>
      <w:r>
        <w:rPr>
          <w:rFonts w:hint="eastAsia" w:ascii="仿宋" w:hAnsi="仿宋" w:eastAsia="仿宋"/>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outlineLvl w:val="1"/>
        <w:rPr>
          <w:rStyle w:val="21"/>
          <w:rFonts w:ascii="黑体" w:hAnsi="黑体" w:eastAsia="黑体"/>
          <w:b w:val="0"/>
        </w:rPr>
      </w:pPr>
      <w:bookmarkStart w:id="58" w:name="_Toc1481371558"/>
      <w:bookmarkStart w:id="59" w:name="_Toc15396609"/>
      <w:bookmarkStart w:id="60" w:name="_Toc15377215"/>
      <w:r>
        <w:rPr>
          <w:rFonts w:hint="eastAsia" w:ascii="黑体" w:eastAsia="黑体"/>
          <w:sz w:val="32"/>
          <w:szCs w:val="32"/>
        </w:rPr>
        <w:t>七、</w:t>
      </w:r>
      <w:r>
        <w:rPr>
          <w:rStyle w:val="21"/>
          <w:rFonts w:hint="eastAsia" w:ascii="黑体" w:hAnsi="黑体" w:eastAsia="黑体"/>
          <w:b w:val="0"/>
        </w:rPr>
        <w:t>财政拨款</w:t>
      </w:r>
      <w:r>
        <w:rPr>
          <w:rStyle w:val="21"/>
          <w:rFonts w:hint="eastAsia" w:ascii="黑体" w:hAnsi="黑体" w:eastAsia="黑体"/>
        </w:rPr>
        <w:t>“</w:t>
      </w:r>
      <w:r>
        <w:rPr>
          <w:rStyle w:val="21"/>
          <w:rFonts w:hint="eastAsia" w:ascii="黑体" w:hAnsi="黑体" w:eastAsia="黑体"/>
          <w:b w:val="0"/>
        </w:rPr>
        <w:t>三公”经费支出决算情况说明</w:t>
      </w:r>
      <w:bookmarkEnd w:id="58"/>
      <w:bookmarkEnd w:id="59"/>
      <w:bookmarkEnd w:id="60"/>
    </w:p>
    <w:p>
      <w:pPr>
        <w:spacing w:line="600" w:lineRule="exact"/>
        <w:ind w:firstLine="640"/>
        <w:outlineLvl w:val="2"/>
        <w:rPr>
          <w:rFonts w:ascii="仿宋" w:hAnsi="仿宋" w:eastAsia="仿宋"/>
          <w:b/>
          <w:sz w:val="32"/>
          <w:szCs w:val="32"/>
        </w:rPr>
      </w:pPr>
      <w:bookmarkStart w:id="61" w:name="_Toc15377216"/>
      <w:r>
        <w:rPr>
          <w:rFonts w:hint="eastAsia" w:ascii="仿宋" w:hAnsi="仿宋" w:eastAsia="仿宋"/>
          <w:b/>
          <w:sz w:val="32"/>
          <w:szCs w:val="32"/>
        </w:rPr>
        <w:t>（一）“三公”经费财政拨款支出决算总体情况说明</w:t>
      </w:r>
      <w:bookmarkEnd w:id="61"/>
    </w:p>
    <w:p>
      <w:pPr>
        <w:spacing w:before="279" w:line="358" w:lineRule="auto"/>
        <w:ind w:left="9" w:right="248" w:firstLine="630"/>
        <w:rPr>
          <w:rFonts w:ascii="仿宋" w:hAnsi="仿宋" w:eastAsia="仿宋" w:cs="仿宋"/>
          <w:sz w:val="32"/>
          <w:szCs w:val="32"/>
        </w:rPr>
      </w:pPr>
      <w:r>
        <w:rPr>
          <w:rFonts w:hint="eastAsia" w:ascii="仿宋" w:hAnsi="仿宋" w:eastAsia="仿宋"/>
          <w:sz w:val="32"/>
          <w:szCs w:val="32"/>
        </w:rPr>
        <w:t>202</w:t>
      </w:r>
      <w:r>
        <w:rPr>
          <w:rFonts w:ascii="仿宋" w:hAnsi="仿宋" w:eastAsia="仿宋"/>
          <w:sz w:val="32"/>
          <w:szCs w:val="32"/>
        </w:rPr>
        <w:t>5</w:t>
      </w:r>
      <w:r>
        <w:rPr>
          <w:rFonts w:hint="eastAsia" w:ascii="仿宋" w:hAnsi="仿宋" w:eastAsia="仿宋"/>
          <w:sz w:val="32"/>
          <w:szCs w:val="32"/>
        </w:rPr>
        <w:t>年度“三公”经费财政拨款支出决算为</w:t>
      </w:r>
      <w:r>
        <w:rPr>
          <w:rFonts w:hint="eastAsia" w:ascii="仿宋" w:hAnsi="仿宋" w:eastAsia="仿宋"/>
          <w:b/>
          <w:sz w:val="32"/>
          <w:szCs w:val="32"/>
        </w:rPr>
        <w:t>48</w:t>
      </w:r>
      <w:r>
        <w:rPr>
          <w:rFonts w:hint="eastAsia" w:ascii="仿宋" w:hAnsi="仿宋" w:eastAsia="仿宋"/>
          <w:sz w:val="32"/>
          <w:szCs w:val="32"/>
        </w:rPr>
        <w:t>万元，完成预算</w:t>
      </w:r>
      <w:r>
        <w:rPr>
          <w:rFonts w:ascii="仿宋" w:hAnsi="仿宋" w:eastAsia="仿宋"/>
          <w:b/>
          <w:sz w:val="32"/>
          <w:szCs w:val="32"/>
        </w:rPr>
        <w:t>100</w:t>
      </w:r>
      <w:r>
        <w:rPr>
          <w:rFonts w:ascii="仿宋" w:hAnsi="仿宋" w:eastAsia="仿宋"/>
          <w:sz w:val="32"/>
          <w:szCs w:val="32"/>
        </w:rPr>
        <w:t>%</w:t>
      </w:r>
      <w:r>
        <w:rPr>
          <w:rFonts w:hint="eastAsia" w:ascii="仿宋" w:hAnsi="仿宋" w:eastAsia="仿宋"/>
          <w:sz w:val="32"/>
          <w:szCs w:val="32"/>
        </w:rPr>
        <w:t>，较上年度</w:t>
      </w:r>
      <w:r>
        <w:rPr>
          <w:rFonts w:ascii="仿宋" w:hAnsi="仿宋" w:eastAsia="仿宋"/>
          <w:sz w:val="32"/>
          <w:szCs w:val="32"/>
        </w:rPr>
        <w:t>增加</w:t>
      </w:r>
      <w:r>
        <w:rPr>
          <w:rFonts w:hint="eastAsia" w:ascii="仿宋" w:hAnsi="仿宋" w:eastAsia="仿宋"/>
          <w:sz w:val="32"/>
          <w:szCs w:val="32"/>
        </w:rPr>
        <w:t>0万元，</w:t>
      </w:r>
      <w:r>
        <w:rPr>
          <w:rFonts w:ascii="仿宋" w:hAnsi="仿宋" w:eastAsia="仿宋"/>
          <w:sz w:val="32"/>
          <w:szCs w:val="32"/>
        </w:rPr>
        <w:t>增长0</w:t>
      </w:r>
      <w:r>
        <w:rPr>
          <w:rFonts w:hint="eastAsia" w:ascii="仿宋" w:hAnsi="仿宋" w:eastAsia="仿宋"/>
          <w:sz w:val="32"/>
          <w:szCs w:val="32"/>
        </w:rPr>
        <w:t>%。决算数小于预算数（或与预算数持平）的主要原因是厉行勤俭节约，落实过紧日子要求；因公出</w:t>
      </w:r>
      <w:r>
        <w:rPr>
          <w:rFonts w:ascii="仿宋" w:hAnsi="仿宋" w:eastAsia="仿宋" w:cs="仿宋"/>
          <w:spacing w:val="6"/>
          <w:sz w:val="32"/>
          <w:szCs w:val="32"/>
        </w:rPr>
        <w:t>国(境)费支出决算数为0.00万元，</w:t>
      </w:r>
      <w:r>
        <w:rPr>
          <w:rFonts w:ascii="仿宋" w:hAnsi="仿宋" w:eastAsia="仿宋" w:cs="仿宋"/>
          <w:spacing w:val="8"/>
          <w:sz w:val="32"/>
          <w:szCs w:val="32"/>
        </w:rPr>
        <w:t>相比上年度增加0.00万元；</w:t>
      </w:r>
    </w:p>
    <w:p>
      <w:pPr>
        <w:spacing w:before="279" w:line="358" w:lineRule="auto"/>
        <w:ind w:left="9" w:right="248" w:firstLine="630"/>
        <w:rPr>
          <w:rFonts w:ascii="仿宋" w:hAnsi="仿宋" w:eastAsia="仿宋"/>
          <w:b/>
          <w:sz w:val="32"/>
          <w:szCs w:val="32"/>
        </w:rPr>
      </w:pPr>
      <w:bookmarkStart w:id="62" w:name="_Toc15377217"/>
      <w:r>
        <w:rPr>
          <w:rFonts w:hint="eastAsia" w:ascii="仿宋" w:hAnsi="仿宋" w:eastAsia="仿宋"/>
          <w:b/>
          <w:sz w:val="32"/>
          <w:szCs w:val="32"/>
        </w:rPr>
        <w:t>（二）“三公”经费财政拨款支出决算具体情况说明</w:t>
      </w:r>
      <w:bookmarkEnd w:id="62"/>
    </w:p>
    <w:p>
      <w:pPr>
        <w:spacing w:before="279" w:line="358" w:lineRule="auto"/>
        <w:ind w:left="9" w:right="248" w:firstLine="630"/>
        <w:rPr>
          <w:rFonts w:ascii="仿宋" w:hAnsi="仿宋" w:eastAsia="仿宋" w:cs="仿宋"/>
          <w:sz w:val="32"/>
          <w:szCs w:val="32"/>
        </w:rPr>
      </w:pPr>
      <w:r>
        <w:rPr>
          <w:rFonts w:hint="eastAsia" w:ascii="仿宋" w:hAnsi="仿宋" w:eastAsia="仿宋"/>
          <w:sz w:val="32"/>
          <w:szCs w:val="32"/>
        </w:rPr>
        <w:drawing>
          <wp:anchor distT="0" distB="0" distL="114300" distR="114300" simplePos="0" relativeHeight="251659264" behindDoc="0" locked="0" layoutInCell="1" allowOverlap="1">
            <wp:simplePos x="0" y="0"/>
            <wp:positionH relativeFrom="column">
              <wp:posOffset>457200</wp:posOffset>
            </wp:positionH>
            <wp:positionV relativeFrom="paragraph">
              <wp:posOffset>2249170</wp:posOffset>
            </wp:positionV>
            <wp:extent cx="4530090" cy="1654175"/>
            <wp:effectExtent l="4445" t="4445" r="18415" b="17780"/>
            <wp:wrapTight wrapText="bothSides">
              <wp:wrapPolygon>
                <wp:start x="-21" y="-58"/>
                <wp:lineTo x="-21" y="21335"/>
                <wp:lineTo x="21506" y="21335"/>
                <wp:lineTo x="21506" y="-58"/>
                <wp:lineTo x="-21" y="-58"/>
              </wp:wrapPolygon>
            </wp:wrapTight>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hint="eastAsia" w:ascii="仿宋" w:hAnsi="仿宋" w:eastAsia="仿宋"/>
          <w:sz w:val="32"/>
          <w:szCs w:val="32"/>
        </w:rPr>
        <w:t>202</w:t>
      </w:r>
      <w:r>
        <w:rPr>
          <w:rFonts w:ascii="仿宋" w:hAnsi="仿宋" w:eastAsia="仿宋"/>
          <w:sz w:val="32"/>
          <w:szCs w:val="32"/>
        </w:rPr>
        <w:t>5</w:t>
      </w:r>
      <w:r>
        <w:rPr>
          <w:rFonts w:hint="eastAsia" w:ascii="仿宋" w:hAnsi="仿宋" w:eastAsia="仿宋"/>
          <w:sz w:val="32"/>
          <w:szCs w:val="32"/>
        </w:rPr>
        <w:t>年度“三公”经费财政拨款支出</w:t>
      </w:r>
      <w:r>
        <w:rPr>
          <w:rFonts w:hint="eastAsia" w:ascii="仿宋" w:hAnsi="仿宋" w:eastAsia="仿宋"/>
          <w:b/>
          <w:sz w:val="32"/>
          <w:szCs w:val="32"/>
        </w:rPr>
        <w:t>48</w:t>
      </w:r>
      <w:r>
        <w:rPr>
          <w:rFonts w:hint="eastAsia" w:ascii="仿宋" w:hAnsi="仿宋" w:eastAsia="仿宋"/>
          <w:sz w:val="32"/>
          <w:szCs w:val="32"/>
        </w:rPr>
        <w:t>万元，因公出</w:t>
      </w:r>
      <w:r>
        <w:rPr>
          <w:rFonts w:ascii="仿宋" w:hAnsi="仿宋" w:eastAsia="仿宋" w:cs="仿宋"/>
          <w:spacing w:val="6"/>
          <w:sz w:val="32"/>
          <w:szCs w:val="32"/>
        </w:rPr>
        <w:t>国(境)费支出决算数为0.00万元，</w:t>
      </w:r>
      <w:r>
        <w:rPr>
          <w:rFonts w:ascii="仿宋" w:hAnsi="仿宋" w:eastAsia="仿宋" w:cs="仿宋"/>
          <w:spacing w:val="8"/>
          <w:sz w:val="32"/>
          <w:szCs w:val="32"/>
        </w:rPr>
        <w:t>相比上年度增加0.00万元，占比0%；公务接待费支出决算0万元，占比0%；公务车运行维护费支出决算48万元，</w:t>
      </w:r>
      <w:r>
        <w:rPr>
          <w:rFonts w:ascii="仿宋" w:hAnsi="仿宋" w:eastAsia="仿宋"/>
          <w:sz w:val="32"/>
          <w:szCs w:val="32"/>
        </w:rPr>
        <w:t>占比</w:t>
      </w:r>
      <w:r>
        <w:rPr>
          <w:rFonts w:ascii="仿宋" w:hAnsi="仿宋" w:eastAsia="仿宋"/>
          <w:b/>
          <w:sz w:val="32"/>
          <w:szCs w:val="32"/>
        </w:rPr>
        <w:t>100</w:t>
      </w:r>
      <w:r>
        <w:rPr>
          <w:rFonts w:ascii="仿宋" w:hAnsi="仿宋" w:eastAsia="仿宋"/>
          <w:sz w:val="32"/>
          <w:szCs w:val="32"/>
        </w:rPr>
        <w:t>%</w:t>
      </w:r>
      <w:r>
        <w:rPr>
          <w:rFonts w:hint="eastAsia" w:ascii="仿宋" w:hAnsi="仿宋" w:eastAsia="仿宋"/>
          <w:sz w:val="32"/>
          <w:szCs w:val="32"/>
        </w:rPr>
        <w:t>，</w:t>
      </w:r>
      <w:r>
        <w:rPr>
          <w:rFonts w:ascii="仿宋" w:hAnsi="仿宋" w:eastAsia="仿宋"/>
          <w:sz w:val="32"/>
          <w:szCs w:val="32"/>
        </w:rPr>
        <w:t>具体情况如下</w:t>
      </w:r>
      <w:r>
        <w:rPr>
          <w:rFonts w:hint="eastAsia" w:ascii="仿宋" w:hAnsi="仿宋" w:eastAsia="仿宋"/>
          <w:sz w:val="32"/>
          <w:szCs w:val="32"/>
        </w:rPr>
        <w:t>；</w:t>
      </w:r>
    </w:p>
    <w:p>
      <w:pPr>
        <w:spacing w:line="600" w:lineRule="exact"/>
        <w:ind w:firstLine="640"/>
        <w:rPr>
          <w:rFonts w:ascii="仿宋" w:hAnsi="仿宋" w:eastAsia="仿宋"/>
          <w:sz w:val="32"/>
          <w:szCs w:val="32"/>
        </w:rPr>
      </w:pPr>
      <w:r>
        <w:rPr>
          <w:rFonts w:hint="eastAsia" w:ascii="仿宋" w:hAnsi="仿宋" w:eastAsia="仿宋"/>
          <w:sz w:val="32"/>
          <w:szCs w:val="32"/>
        </w:rPr>
        <w:t>（图7：“三公”经费财政拨款支出结构）（饼状图）</w:t>
      </w:r>
    </w:p>
    <w:p>
      <w:pPr>
        <w:spacing w:line="600" w:lineRule="exact"/>
        <w:ind w:firstLine="640"/>
        <w:rPr>
          <w:rFonts w:ascii="仿宋_GB2312" w:eastAsia="仿宋_GB2312"/>
          <w:sz w:val="32"/>
          <w:szCs w:val="32"/>
        </w:rPr>
      </w:pPr>
      <w:bookmarkStart w:id="63" w:name="_Toc15377218"/>
      <w:bookmarkStart w:id="64" w:name="_Toc15396610"/>
      <w:r>
        <w:rPr>
          <w:rFonts w:ascii="仿宋_GB2312" w:eastAsia="仿宋_GB2312"/>
          <w:b/>
          <w:sz w:val="32"/>
          <w:szCs w:val="32"/>
        </w:rPr>
        <w:t>1.</w:t>
      </w:r>
      <w:r>
        <w:rPr>
          <w:rFonts w:hint="eastAsia" w:ascii="仿宋_GB2312" w:eastAsia="仿宋_GB2312"/>
          <w:b/>
          <w:sz w:val="32"/>
          <w:szCs w:val="32"/>
        </w:rPr>
        <w:t>因公出国（境）经费支出</w:t>
      </w:r>
      <w:r>
        <w:rPr>
          <w:rFonts w:ascii="仿宋" w:hAnsi="仿宋" w:eastAsia="仿宋"/>
          <w:b/>
          <w:sz w:val="32"/>
          <w:szCs w:val="32"/>
        </w:rPr>
        <w:t>0</w:t>
      </w:r>
      <w:r>
        <w:rPr>
          <w:rFonts w:hint="eastAsia" w:ascii="仿宋_GB2312" w:eastAsia="仿宋_GB2312"/>
          <w:sz w:val="32"/>
          <w:szCs w:val="32"/>
        </w:rPr>
        <w:t>万元，</w:t>
      </w:r>
      <w:r>
        <w:rPr>
          <w:rStyle w:val="18"/>
          <w:rFonts w:hint="eastAsia" w:ascii="仿宋" w:hAnsi="仿宋" w:eastAsia="仿宋"/>
          <w:b w:val="0"/>
          <w:bCs/>
          <w:sz w:val="32"/>
          <w:szCs w:val="32"/>
        </w:rPr>
        <w:t>完成预算</w:t>
      </w:r>
      <w:r>
        <w:rPr>
          <w:rStyle w:val="18"/>
          <w:rFonts w:ascii="仿宋" w:hAnsi="仿宋" w:eastAsia="仿宋"/>
          <w:b w:val="0"/>
          <w:bCs/>
          <w:sz w:val="32"/>
          <w:szCs w:val="32"/>
        </w:rPr>
        <w:t>10</w:t>
      </w:r>
      <w:r>
        <w:rPr>
          <w:rStyle w:val="18"/>
          <w:rFonts w:ascii="仿宋" w:hAnsi="仿宋" w:eastAsia="仿宋"/>
          <w:bCs/>
          <w:sz w:val="32"/>
          <w:szCs w:val="32"/>
        </w:rPr>
        <w:t>0</w:t>
      </w:r>
      <w:r>
        <w:rPr>
          <w:rStyle w:val="18"/>
          <w:rFonts w:ascii="仿宋" w:hAnsi="仿宋" w:eastAsia="仿宋"/>
          <w:b w:val="0"/>
          <w:bCs/>
          <w:sz w:val="32"/>
          <w:szCs w:val="32"/>
        </w:rPr>
        <w:t>%</w:t>
      </w:r>
      <w:r>
        <w:rPr>
          <w:rStyle w:val="18"/>
          <w:rFonts w:hint="eastAsia" w:ascii="仿宋" w:hAnsi="仿宋" w:eastAsia="仿宋"/>
          <w:b w:val="0"/>
          <w:bCs/>
          <w:sz w:val="32"/>
          <w:szCs w:val="32"/>
        </w:rPr>
        <w:t>。</w:t>
      </w:r>
      <w:r>
        <w:rPr>
          <w:rFonts w:hint="eastAsia" w:ascii="仿宋_GB2312" w:eastAsia="仿宋_GB2312"/>
          <w:sz w:val="32"/>
          <w:szCs w:val="32"/>
        </w:rPr>
        <w:t>全年安排因公出国（境）团组</w:t>
      </w:r>
      <w:r>
        <w:rPr>
          <w:rFonts w:ascii="仿宋_GB2312" w:eastAsia="仿宋_GB2312"/>
          <w:b/>
          <w:sz w:val="32"/>
          <w:szCs w:val="32"/>
        </w:rPr>
        <w:t>0</w:t>
      </w:r>
      <w:r>
        <w:rPr>
          <w:rFonts w:hint="eastAsia" w:ascii="仿宋_GB2312" w:eastAsia="仿宋_GB2312"/>
          <w:sz w:val="32"/>
          <w:szCs w:val="32"/>
        </w:rPr>
        <w:t>次，出国（境）</w:t>
      </w:r>
      <w:r>
        <w:rPr>
          <w:rFonts w:ascii="仿宋_GB2312" w:eastAsia="仿宋_GB2312"/>
          <w:b/>
          <w:sz w:val="32"/>
          <w:szCs w:val="32"/>
        </w:rPr>
        <w:t>0</w:t>
      </w:r>
      <w:r>
        <w:rPr>
          <w:rFonts w:hint="eastAsia" w:ascii="仿宋_GB2312" w:eastAsia="仿宋_GB2312"/>
          <w:sz w:val="32"/>
          <w:szCs w:val="32"/>
        </w:rPr>
        <w:t>人。因公出国（境）支出决算比202</w:t>
      </w:r>
      <w:r>
        <w:rPr>
          <w:rFonts w:ascii="仿宋_GB2312" w:eastAsia="仿宋_GB2312"/>
          <w:sz w:val="32"/>
          <w:szCs w:val="32"/>
        </w:rPr>
        <w:t>4</w:t>
      </w:r>
      <w:r>
        <w:rPr>
          <w:rFonts w:hint="eastAsia" w:ascii="仿宋_GB2312" w:eastAsia="仿宋_GB2312"/>
          <w:sz w:val="32"/>
          <w:szCs w:val="32"/>
        </w:rPr>
        <w:t>年增加0万元，增长0</w:t>
      </w:r>
      <w:r>
        <w:rPr>
          <w:rFonts w:ascii="仿宋_GB2312" w:eastAsia="仿宋_GB2312"/>
          <w:sz w:val="32"/>
          <w:szCs w:val="32"/>
        </w:rPr>
        <w:t>%</w:t>
      </w:r>
      <w:r>
        <w:rPr>
          <w:rFonts w:hint="eastAsia" w:ascii="仿宋_GB2312" w:eastAsia="仿宋_GB2312"/>
          <w:sz w:val="32"/>
          <w:szCs w:val="32"/>
        </w:rPr>
        <w:t>。</w:t>
      </w:r>
    </w:p>
    <w:p>
      <w:pPr>
        <w:spacing w:line="600" w:lineRule="exact"/>
        <w:ind w:firstLine="640"/>
        <w:rPr>
          <w:rFonts w:ascii="仿宋_GB2312" w:hAnsi="仿宋_GB2312" w:eastAsia="仿宋"/>
          <w:b/>
          <w:sz w:val="32"/>
          <w:szCs w:val="32"/>
        </w:rPr>
      </w:pPr>
      <w:r>
        <w:rPr>
          <w:rFonts w:ascii="仿宋_GB2312" w:eastAsia="仿宋_GB2312"/>
          <w:b/>
          <w:sz w:val="32"/>
          <w:szCs w:val="32"/>
        </w:rPr>
        <w:t>2.</w:t>
      </w:r>
      <w:r>
        <w:rPr>
          <w:rFonts w:hint="eastAsia" w:ascii="仿宋_GB2312" w:eastAsia="仿宋_GB2312"/>
          <w:b/>
          <w:sz w:val="32"/>
          <w:szCs w:val="32"/>
        </w:rPr>
        <w:t>公务用车购置及运行维护费支出</w:t>
      </w:r>
      <w:r>
        <w:rPr>
          <w:rFonts w:hint="eastAsia" w:ascii="仿宋" w:hAnsi="仿宋" w:eastAsia="仿宋"/>
          <w:b/>
          <w:sz w:val="32"/>
          <w:szCs w:val="32"/>
        </w:rPr>
        <w:t>48</w:t>
      </w:r>
      <w:r>
        <w:rPr>
          <w:rFonts w:hint="eastAsia" w:ascii="仿宋_GB2312" w:eastAsia="仿宋_GB2312"/>
          <w:sz w:val="32"/>
          <w:szCs w:val="32"/>
        </w:rPr>
        <w:t>万元,</w:t>
      </w:r>
      <w:r>
        <w:rPr>
          <w:rStyle w:val="18"/>
          <w:rFonts w:hint="eastAsia" w:ascii="仿宋" w:hAnsi="仿宋" w:eastAsia="仿宋"/>
          <w:b w:val="0"/>
          <w:bCs/>
          <w:sz w:val="32"/>
          <w:szCs w:val="32"/>
        </w:rPr>
        <w:t>完成预算</w:t>
      </w:r>
      <w:r>
        <w:rPr>
          <w:rStyle w:val="18"/>
          <w:rFonts w:ascii="仿宋" w:hAnsi="仿宋" w:eastAsia="仿宋"/>
          <w:bCs/>
          <w:sz w:val="32"/>
          <w:szCs w:val="32"/>
        </w:rPr>
        <w:t>100</w:t>
      </w:r>
      <w:r>
        <w:rPr>
          <w:rStyle w:val="18"/>
          <w:rFonts w:ascii="仿宋" w:hAnsi="仿宋" w:eastAsia="仿宋"/>
          <w:b w:val="0"/>
          <w:bCs/>
          <w:sz w:val="32"/>
          <w:szCs w:val="32"/>
        </w:rPr>
        <w:t>%</w:t>
      </w:r>
      <w:r>
        <w:rPr>
          <w:rStyle w:val="18"/>
          <w:rFonts w:hint="eastAsia" w:ascii="仿宋" w:hAnsi="仿宋" w:eastAsia="仿宋"/>
          <w:b w:val="0"/>
          <w:bCs/>
          <w:sz w:val="32"/>
          <w:szCs w:val="32"/>
        </w:rPr>
        <w:t>。</w:t>
      </w:r>
      <w:r>
        <w:rPr>
          <w:rFonts w:hint="eastAsia" w:ascii="仿宋_GB2312" w:eastAsia="仿宋_GB2312"/>
          <w:sz w:val="32"/>
          <w:szCs w:val="32"/>
        </w:rPr>
        <w:t>公务用车购置及运行维护费支出决算比202</w:t>
      </w:r>
      <w:r>
        <w:rPr>
          <w:rFonts w:ascii="仿宋_GB2312" w:eastAsia="仿宋_GB2312"/>
          <w:sz w:val="32"/>
          <w:szCs w:val="32"/>
        </w:rPr>
        <w:t>4</w:t>
      </w:r>
      <w:r>
        <w:rPr>
          <w:rFonts w:hint="eastAsia" w:ascii="仿宋_GB2312" w:eastAsia="仿宋_GB2312"/>
          <w:sz w:val="32"/>
          <w:szCs w:val="32"/>
        </w:rPr>
        <w:t>年度</w:t>
      </w:r>
      <w:r>
        <w:rPr>
          <w:rFonts w:ascii="仿宋_GB2312" w:eastAsia="仿宋_GB2312"/>
          <w:sz w:val="32"/>
          <w:szCs w:val="32"/>
        </w:rPr>
        <w:t>增加</w:t>
      </w:r>
      <w:r>
        <w:rPr>
          <w:rFonts w:hint="eastAsia" w:ascii="仿宋_GB2312" w:eastAsia="仿宋_GB2312"/>
          <w:sz w:val="32"/>
          <w:szCs w:val="32"/>
        </w:rPr>
        <w:t>0万元，</w:t>
      </w:r>
      <w:r>
        <w:rPr>
          <w:rFonts w:ascii="仿宋_GB2312" w:eastAsia="仿宋_GB2312"/>
          <w:sz w:val="32"/>
          <w:szCs w:val="32"/>
        </w:rPr>
        <w:t>增长0%</w:t>
      </w:r>
      <w:r>
        <w:rPr>
          <w:rFonts w:hint="eastAsia" w:ascii="仿宋_GB2312" w:eastAsia="仿宋_GB2312"/>
          <w:sz w:val="32"/>
          <w:szCs w:val="32"/>
        </w:rPr>
        <w:t>。下降原因为</w:t>
      </w:r>
      <w:r>
        <w:rPr>
          <w:rFonts w:hint="eastAsia" w:ascii="仿宋" w:hAnsi="仿宋" w:eastAsia="仿宋"/>
          <w:sz w:val="32"/>
          <w:szCs w:val="32"/>
        </w:rPr>
        <w:t>厉行勤俭节约，落实过紧日子要求。</w:t>
      </w:r>
    </w:p>
    <w:p>
      <w:pPr>
        <w:spacing w:line="600" w:lineRule="exact"/>
        <w:ind w:firstLine="640" w:firstLineChars="200"/>
        <w:rPr>
          <w:rFonts w:ascii="仿宋_GB2312" w:eastAsia="仿宋_GB2312"/>
          <w:b/>
          <w:sz w:val="32"/>
          <w:szCs w:val="32"/>
        </w:rPr>
      </w:pPr>
      <w:r>
        <w:rPr>
          <w:rFonts w:hint="eastAsia" w:ascii="仿宋_GB2312" w:eastAsia="仿宋_GB2312"/>
          <w:sz w:val="32"/>
          <w:szCs w:val="32"/>
        </w:rPr>
        <w:t>其中：</w:t>
      </w:r>
      <w:r>
        <w:rPr>
          <w:rFonts w:hint="eastAsia" w:ascii="仿宋_GB2312" w:eastAsia="仿宋_GB2312"/>
          <w:b/>
          <w:sz w:val="32"/>
          <w:szCs w:val="32"/>
        </w:rPr>
        <w:t>公务用车购置支出</w:t>
      </w:r>
      <w:r>
        <w:rPr>
          <w:rFonts w:ascii="仿宋" w:hAnsi="仿宋" w:eastAsia="仿宋"/>
          <w:b/>
          <w:sz w:val="32"/>
          <w:szCs w:val="32"/>
        </w:rPr>
        <w:t>0</w:t>
      </w:r>
      <w:r>
        <w:rPr>
          <w:rFonts w:hint="eastAsia" w:ascii="仿宋_GB2312" w:eastAsia="仿宋_GB2312"/>
          <w:sz w:val="32"/>
          <w:szCs w:val="32"/>
        </w:rPr>
        <w:t>万元。全年按规定更新购置公务用车0辆，其中：轿车0辆、金额0万元，越野车0辆、金额0万元，载客汽车0辆、金额0万元。截至202</w:t>
      </w:r>
      <w:r>
        <w:rPr>
          <w:rFonts w:ascii="仿宋_GB2312" w:eastAsia="仿宋_GB2312"/>
          <w:sz w:val="32"/>
          <w:szCs w:val="32"/>
        </w:rPr>
        <w:t>5</w:t>
      </w:r>
      <w:r>
        <w:rPr>
          <w:rFonts w:hint="eastAsia" w:ascii="仿宋_GB2312" w:eastAsia="仿宋_GB2312"/>
          <w:sz w:val="32"/>
          <w:szCs w:val="32"/>
        </w:rPr>
        <w:t>年</w:t>
      </w:r>
      <w:r>
        <w:rPr>
          <w:rFonts w:ascii="仿宋_GB2312" w:eastAsia="仿宋_GB2312"/>
          <w:sz w:val="32"/>
          <w:szCs w:val="32"/>
        </w:rPr>
        <w:t>12</w:t>
      </w:r>
      <w:r>
        <w:rPr>
          <w:rFonts w:hint="eastAsia" w:ascii="仿宋_GB2312" w:eastAsia="仿宋_GB2312"/>
          <w:sz w:val="32"/>
          <w:szCs w:val="32"/>
        </w:rPr>
        <w:t>月31日，单位共有公务用车5辆，其中：轿车0辆、越野车5辆、载客汽车0辆。</w:t>
      </w:r>
    </w:p>
    <w:p>
      <w:pPr>
        <w:spacing w:line="600" w:lineRule="exact"/>
        <w:ind w:firstLine="640"/>
        <w:rPr>
          <w:rFonts w:ascii="仿宋_GB2312" w:eastAsia="仿宋_GB2312"/>
          <w:sz w:val="32"/>
          <w:szCs w:val="32"/>
        </w:rPr>
      </w:pPr>
      <w:r>
        <w:rPr>
          <w:rFonts w:hint="eastAsia" w:ascii="仿宋_GB2312" w:eastAsia="仿宋_GB2312"/>
          <w:b/>
          <w:sz w:val="32"/>
          <w:szCs w:val="32"/>
        </w:rPr>
        <w:t>公务用车运行维护费支出</w:t>
      </w:r>
      <w:r>
        <w:rPr>
          <w:rFonts w:hint="eastAsia" w:ascii="仿宋" w:hAnsi="仿宋" w:eastAsia="仿宋"/>
          <w:b/>
          <w:sz w:val="32"/>
          <w:szCs w:val="32"/>
        </w:rPr>
        <w:t>48</w:t>
      </w:r>
      <w:r>
        <w:rPr>
          <w:rFonts w:hint="eastAsia" w:ascii="仿宋_GB2312" w:eastAsia="仿宋_GB2312"/>
          <w:sz w:val="32"/>
          <w:szCs w:val="32"/>
        </w:rPr>
        <w:t>万元。主要用于：公务用车燃料费、维修费、过路过桥费、保险费等支出。</w:t>
      </w:r>
    </w:p>
    <w:p>
      <w:pPr>
        <w:numPr>
          <w:ilvl w:val="0"/>
          <w:numId w:val="3"/>
        </w:numPr>
        <w:spacing w:line="600" w:lineRule="exact"/>
        <w:ind w:left="640" w:leftChars="0"/>
        <w:rPr>
          <w:rFonts w:hint="eastAsia" w:ascii="仿宋_GB2312" w:eastAsia="仿宋_GB2312"/>
          <w:sz w:val="32"/>
          <w:szCs w:val="32"/>
        </w:rPr>
      </w:pPr>
      <w:r>
        <w:rPr>
          <w:rFonts w:hint="eastAsia" w:ascii="仿宋_GB2312" w:eastAsia="仿宋_GB2312"/>
          <w:b/>
          <w:sz w:val="32"/>
          <w:szCs w:val="32"/>
        </w:rPr>
        <w:t>公务接待费支出</w:t>
      </w:r>
      <w:r>
        <w:rPr>
          <w:rFonts w:ascii="仿宋" w:hAnsi="仿宋" w:eastAsia="仿宋"/>
          <w:b/>
          <w:sz w:val="32"/>
          <w:szCs w:val="32"/>
        </w:rPr>
        <w:t>0</w:t>
      </w:r>
      <w:r>
        <w:rPr>
          <w:rFonts w:hint="eastAsia" w:ascii="仿宋_GB2312" w:eastAsia="仿宋_GB2312"/>
          <w:sz w:val="32"/>
          <w:szCs w:val="32"/>
        </w:rPr>
        <w:t>万元，</w:t>
      </w:r>
      <w:r>
        <w:rPr>
          <w:rStyle w:val="18"/>
          <w:rFonts w:hint="eastAsia" w:ascii="仿宋" w:hAnsi="仿宋" w:eastAsia="仿宋"/>
          <w:b w:val="0"/>
          <w:bCs/>
          <w:sz w:val="32"/>
          <w:szCs w:val="32"/>
        </w:rPr>
        <w:t>完成预算</w:t>
      </w:r>
      <w:r>
        <w:rPr>
          <w:rStyle w:val="18"/>
          <w:rFonts w:ascii="仿宋" w:hAnsi="仿宋" w:eastAsia="仿宋"/>
          <w:b w:val="0"/>
          <w:bCs/>
          <w:sz w:val="32"/>
          <w:szCs w:val="32"/>
        </w:rPr>
        <w:t>0%</w:t>
      </w:r>
      <w:r>
        <w:rPr>
          <w:rStyle w:val="18"/>
          <w:rFonts w:hint="eastAsia" w:ascii="仿宋" w:hAnsi="仿宋" w:eastAsia="仿宋"/>
          <w:b w:val="0"/>
          <w:bCs/>
          <w:sz w:val="32"/>
          <w:szCs w:val="32"/>
        </w:rPr>
        <w:t>。</w:t>
      </w:r>
      <w:r>
        <w:rPr>
          <w:rFonts w:hint="eastAsia" w:ascii="仿宋_GB2312" w:eastAsia="仿宋_GB2312"/>
          <w:sz w:val="32"/>
          <w:szCs w:val="32"/>
        </w:rPr>
        <w:t>公务接待费支</w:t>
      </w:r>
    </w:p>
    <w:p>
      <w:pPr>
        <w:numPr>
          <w:ilvl w:val="0"/>
          <w:numId w:val="0"/>
        </w:numPr>
        <w:spacing w:line="600" w:lineRule="exact"/>
        <w:rPr>
          <w:rFonts w:ascii="仿宋_GB2312" w:eastAsia="仿宋_GB2312"/>
          <w:sz w:val="32"/>
          <w:szCs w:val="32"/>
        </w:rPr>
      </w:pPr>
      <w:r>
        <w:rPr>
          <w:rFonts w:hint="eastAsia" w:ascii="仿宋_GB2312" w:eastAsia="仿宋_GB2312"/>
          <w:sz w:val="32"/>
          <w:szCs w:val="32"/>
        </w:rPr>
        <w:t>出决算比202</w:t>
      </w:r>
      <w:r>
        <w:rPr>
          <w:rFonts w:ascii="仿宋_GB2312" w:eastAsia="仿宋_GB2312"/>
          <w:sz w:val="32"/>
          <w:szCs w:val="32"/>
        </w:rPr>
        <w:t>4</w:t>
      </w:r>
      <w:r>
        <w:rPr>
          <w:rFonts w:hint="eastAsia" w:ascii="仿宋_GB2312" w:eastAsia="仿宋_GB2312"/>
          <w:sz w:val="32"/>
          <w:szCs w:val="32"/>
        </w:rPr>
        <w:t>年度减少0万元，下降0</w:t>
      </w:r>
      <w:r>
        <w:rPr>
          <w:rFonts w:ascii="仿宋_GB2312" w:eastAsia="仿宋_GB2312"/>
          <w:sz w:val="32"/>
          <w:szCs w:val="32"/>
        </w:rPr>
        <w:t>%</w:t>
      </w:r>
      <w:r>
        <w:rPr>
          <w:rFonts w:hint="eastAsia" w:ascii="仿宋_GB2312" w:eastAsia="仿宋_GB2312"/>
          <w:sz w:val="32"/>
          <w:szCs w:val="32"/>
        </w:rPr>
        <w:t>，无变化。</w:t>
      </w:r>
    </w:p>
    <w:p>
      <w:pPr>
        <w:spacing w:line="600" w:lineRule="exact"/>
        <w:ind w:firstLine="642" w:firstLineChars="200"/>
        <w:rPr>
          <w:rFonts w:ascii="仿宋_GB2312" w:eastAsia="仿宋_GB2312"/>
          <w:sz w:val="32"/>
          <w:szCs w:val="32"/>
        </w:rPr>
      </w:pPr>
      <w:r>
        <w:rPr>
          <w:rFonts w:hint="eastAsia" w:ascii="仿宋" w:hAnsi="仿宋" w:eastAsia="仿宋"/>
          <w:b/>
          <w:sz w:val="32"/>
          <w:szCs w:val="32"/>
        </w:rPr>
        <w:t>国内公务接待支出</w:t>
      </w:r>
      <w:r>
        <w:rPr>
          <w:rFonts w:ascii="仿宋" w:hAnsi="仿宋" w:eastAsia="仿宋"/>
          <w:b/>
          <w:sz w:val="32"/>
          <w:szCs w:val="32"/>
        </w:rPr>
        <w:t>0</w:t>
      </w:r>
      <w:r>
        <w:rPr>
          <w:rFonts w:hint="eastAsia" w:ascii="仿宋_GB2312" w:eastAsia="仿宋_GB2312"/>
          <w:sz w:val="32"/>
          <w:szCs w:val="32"/>
        </w:rPr>
        <w:t>万元，主要用于：执行公务、开展业务活动开支的交通费、住宿费、用餐费等。国内公务接待0批次，0人次（不包括陪同人员），共计支出0万元。</w:t>
      </w:r>
    </w:p>
    <w:p>
      <w:pPr>
        <w:spacing w:line="600" w:lineRule="exact"/>
        <w:ind w:firstLine="642" w:firstLineChars="200"/>
        <w:rPr>
          <w:rFonts w:ascii="黑体" w:eastAsia="黑体"/>
          <w:sz w:val="32"/>
          <w:szCs w:val="32"/>
        </w:rPr>
      </w:pPr>
      <w:r>
        <w:rPr>
          <w:rFonts w:hint="eastAsia" w:ascii="仿宋" w:hAnsi="仿宋" w:eastAsia="仿宋"/>
          <w:b/>
          <w:sz w:val="32"/>
          <w:szCs w:val="32"/>
        </w:rPr>
        <w:t>外事接待支出</w:t>
      </w:r>
      <w:r>
        <w:rPr>
          <w:rFonts w:ascii="仿宋" w:hAnsi="仿宋" w:eastAsia="仿宋"/>
          <w:b/>
          <w:sz w:val="32"/>
          <w:szCs w:val="32"/>
        </w:rPr>
        <w:t>0</w:t>
      </w:r>
      <w:r>
        <w:rPr>
          <w:rFonts w:hint="eastAsia" w:ascii="仿宋_GB2312" w:eastAsia="仿宋_GB2312"/>
          <w:sz w:val="32"/>
          <w:szCs w:val="32"/>
        </w:rPr>
        <w:t>万元。外事接待0批次，0人次（不包括陪同人员），共计支出0万元。</w:t>
      </w:r>
    </w:p>
    <w:p>
      <w:pPr>
        <w:spacing w:line="600" w:lineRule="exact"/>
        <w:ind w:firstLine="640"/>
        <w:outlineLvl w:val="1"/>
        <w:rPr>
          <w:rStyle w:val="21"/>
          <w:rFonts w:ascii="黑体" w:hAnsi="黑体" w:eastAsia="黑体"/>
        </w:rPr>
      </w:pPr>
      <w:bookmarkStart w:id="65" w:name="_Toc365081588"/>
      <w:r>
        <w:rPr>
          <w:rFonts w:hint="eastAsia" w:ascii="黑体" w:eastAsia="黑体"/>
          <w:sz w:val="32"/>
          <w:szCs w:val="32"/>
        </w:rPr>
        <w:t>八、</w:t>
      </w:r>
      <w:r>
        <w:rPr>
          <w:rStyle w:val="21"/>
          <w:rFonts w:hint="eastAsia" w:ascii="黑体" w:hAnsi="黑体" w:eastAsia="黑体"/>
          <w:b w:val="0"/>
        </w:rPr>
        <w:t>政府性基金预算支出决算情况说明</w:t>
      </w:r>
      <w:bookmarkEnd w:id="63"/>
      <w:bookmarkEnd w:id="64"/>
      <w:bookmarkEnd w:id="65"/>
    </w:p>
    <w:p>
      <w:pPr>
        <w:spacing w:line="600" w:lineRule="exact"/>
        <w:ind w:firstLine="640"/>
        <w:rPr>
          <w:rFonts w:ascii="仿宋_GB2312" w:eastAsia="仿宋_GB2312"/>
          <w:sz w:val="32"/>
          <w:szCs w:val="32"/>
        </w:rPr>
      </w:pPr>
      <w:r>
        <w:rPr>
          <w:rFonts w:hint="eastAsia" w:ascii="仿宋_GB2312" w:eastAsia="仿宋_GB2312"/>
          <w:sz w:val="32"/>
          <w:szCs w:val="32"/>
        </w:rPr>
        <w:t>202</w:t>
      </w:r>
      <w:r>
        <w:rPr>
          <w:rFonts w:ascii="仿宋_GB2312" w:eastAsia="仿宋_GB2312"/>
          <w:sz w:val="32"/>
          <w:szCs w:val="32"/>
        </w:rPr>
        <w:t>5</w:t>
      </w:r>
      <w:r>
        <w:rPr>
          <w:rFonts w:hint="eastAsia" w:ascii="仿宋_GB2312" w:eastAsia="仿宋_GB2312"/>
          <w:sz w:val="32"/>
          <w:szCs w:val="32"/>
        </w:rPr>
        <w:t>年度政府性基金预算财政拨款支出</w:t>
      </w:r>
      <w:r>
        <w:rPr>
          <w:rFonts w:ascii="仿宋" w:hAnsi="仿宋" w:eastAsia="仿宋"/>
          <w:b/>
          <w:sz w:val="32"/>
          <w:szCs w:val="32"/>
        </w:rPr>
        <w:t>0</w:t>
      </w:r>
      <w:r>
        <w:rPr>
          <w:rFonts w:hint="eastAsia" w:ascii="仿宋_GB2312" w:eastAsia="仿宋_GB2312"/>
          <w:sz w:val="32"/>
          <w:szCs w:val="32"/>
        </w:rPr>
        <w:t>万元，较202</w:t>
      </w:r>
      <w:r>
        <w:rPr>
          <w:rFonts w:ascii="仿宋_GB2312" w:eastAsia="仿宋_GB2312"/>
          <w:sz w:val="32"/>
          <w:szCs w:val="32"/>
        </w:rPr>
        <w:t>4</w:t>
      </w:r>
      <w:r>
        <w:rPr>
          <w:rFonts w:hint="eastAsia" w:ascii="仿宋_GB2312" w:eastAsia="仿宋_GB2312"/>
          <w:sz w:val="32"/>
          <w:szCs w:val="32"/>
        </w:rPr>
        <w:t>年决算增长0万元、无变化。</w:t>
      </w:r>
    </w:p>
    <w:p>
      <w:pPr>
        <w:numPr>
          <w:ilvl w:val="0"/>
          <w:numId w:val="4"/>
        </w:numPr>
        <w:spacing w:line="600" w:lineRule="exact"/>
        <w:ind w:left="0" w:firstLine="640"/>
        <w:outlineLvl w:val="1"/>
        <w:rPr>
          <w:rStyle w:val="21"/>
          <w:rFonts w:ascii="黑体" w:hAnsi="黑体" w:eastAsia="黑体"/>
          <w:b w:val="0"/>
        </w:rPr>
      </w:pPr>
      <w:bookmarkStart w:id="66" w:name="_Toc15377219"/>
      <w:bookmarkStart w:id="67" w:name="_Toc1818591810"/>
      <w:bookmarkStart w:id="68" w:name="_Toc15396611"/>
      <w:r>
        <w:rPr>
          <w:rStyle w:val="21"/>
          <w:rFonts w:hint="eastAsia" w:ascii="黑体" w:hAnsi="黑体" w:eastAsia="黑体"/>
          <w:b w:val="0"/>
        </w:rPr>
        <w:t>国有资本经营预算支出决算情况说明</w:t>
      </w:r>
      <w:bookmarkEnd w:id="66"/>
      <w:bookmarkEnd w:id="67"/>
      <w:bookmarkEnd w:id="68"/>
    </w:p>
    <w:p>
      <w:pPr>
        <w:spacing w:line="600" w:lineRule="exact"/>
        <w:ind w:firstLine="640"/>
        <w:rPr>
          <w:rFonts w:ascii="仿宋_GB2312" w:eastAsia="仿宋_GB2312"/>
          <w:sz w:val="32"/>
          <w:szCs w:val="32"/>
        </w:rPr>
      </w:pPr>
      <w:r>
        <w:rPr>
          <w:rFonts w:hint="eastAsia" w:ascii="仿宋_GB2312" w:eastAsia="仿宋_GB2312"/>
          <w:sz w:val="32"/>
          <w:szCs w:val="32"/>
        </w:rPr>
        <w:t>202</w:t>
      </w:r>
      <w:r>
        <w:rPr>
          <w:rFonts w:ascii="仿宋_GB2312" w:eastAsia="仿宋_GB2312"/>
          <w:sz w:val="32"/>
          <w:szCs w:val="32"/>
        </w:rPr>
        <w:t>5</w:t>
      </w:r>
      <w:r>
        <w:rPr>
          <w:rFonts w:hint="eastAsia" w:ascii="仿宋_GB2312" w:eastAsia="仿宋_GB2312"/>
          <w:sz w:val="32"/>
          <w:szCs w:val="32"/>
        </w:rPr>
        <w:t>年度国有资本经营预算财政拨款支出</w:t>
      </w:r>
      <w:r>
        <w:rPr>
          <w:rFonts w:ascii="仿宋" w:hAnsi="仿宋" w:eastAsia="仿宋"/>
          <w:b/>
          <w:sz w:val="32"/>
          <w:szCs w:val="32"/>
        </w:rPr>
        <w:t>0</w:t>
      </w:r>
      <w:r>
        <w:rPr>
          <w:rFonts w:hint="eastAsia" w:ascii="仿宋_GB2312" w:eastAsia="仿宋_GB2312"/>
          <w:sz w:val="32"/>
          <w:szCs w:val="32"/>
        </w:rPr>
        <w:t>万元，较202</w:t>
      </w:r>
      <w:r>
        <w:rPr>
          <w:rFonts w:ascii="仿宋_GB2312" w:eastAsia="仿宋_GB2312"/>
          <w:sz w:val="32"/>
          <w:szCs w:val="32"/>
        </w:rPr>
        <w:t>4</w:t>
      </w:r>
      <w:r>
        <w:rPr>
          <w:rFonts w:hint="eastAsia" w:ascii="仿宋_GB2312" w:eastAsia="仿宋_GB2312"/>
          <w:sz w:val="32"/>
          <w:szCs w:val="32"/>
        </w:rPr>
        <w:t>年决算增长0万元、无变化。</w:t>
      </w:r>
    </w:p>
    <w:p>
      <w:pPr>
        <w:numPr>
          <w:ilvl w:val="0"/>
          <w:numId w:val="4"/>
        </w:numPr>
        <w:spacing w:line="600" w:lineRule="exact"/>
        <w:ind w:left="0" w:firstLine="640"/>
        <w:outlineLvl w:val="1"/>
        <w:rPr>
          <w:rStyle w:val="21"/>
          <w:rFonts w:ascii="黑体" w:hAnsi="黑体" w:eastAsia="黑体"/>
          <w:b w:val="0"/>
        </w:rPr>
      </w:pPr>
      <w:bookmarkStart w:id="69" w:name="_Toc15396612"/>
      <w:bookmarkStart w:id="70" w:name="_Toc15377221"/>
      <w:bookmarkStart w:id="71" w:name="_Toc1129472076"/>
      <w:r>
        <w:rPr>
          <w:rStyle w:val="21"/>
          <w:rFonts w:hint="eastAsia" w:ascii="黑体" w:hAnsi="黑体" w:eastAsia="黑体"/>
          <w:b w:val="0"/>
        </w:rPr>
        <w:t>其他重要事项的情况说明</w:t>
      </w:r>
      <w:bookmarkEnd w:id="69"/>
      <w:bookmarkEnd w:id="70"/>
      <w:bookmarkEnd w:id="71"/>
    </w:p>
    <w:p>
      <w:pPr>
        <w:spacing w:line="600" w:lineRule="exact"/>
        <w:ind w:firstLine="642" w:firstLineChars="200"/>
        <w:outlineLvl w:val="2"/>
        <w:rPr>
          <w:rFonts w:ascii="仿宋" w:hAnsi="仿宋" w:eastAsia="仿宋"/>
          <w:sz w:val="32"/>
          <w:szCs w:val="32"/>
        </w:rPr>
      </w:pPr>
      <w:bookmarkStart w:id="72" w:name="_Toc15377222"/>
      <w:r>
        <w:rPr>
          <w:rFonts w:hint="eastAsia" w:ascii="仿宋" w:hAnsi="仿宋" w:eastAsia="仿宋"/>
          <w:b/>
          <w:sz w:val="32"/>
          <w:szCs w:val="32"/>
        </w:rPr>
        <w:t>（一）机关运行经费支出情况</w:t>
      </w:r>
      <w:bookmarkEnd w:id="72"/>
    </w:p>
    <w:p>
      <w:pPr>
        <w:spacing w:line="600" w:lineRule="exact"/>
        <w:ind w:firstLine="640" w:firstLineChars="200"/>
        <w:rPr>
          <w:rFonts w:ascii="仿宋" w:hAnsi="仿宋" w:eastAsia="仿宋"/>
          <w:b/>
          <w:sz w:val="32"/>
          <w:szCs w:val="32"/>
        </w:rPr>
      </w:pPr>
      <w:r>
        <w:rPr>
          <w:rFonts w:hint="eastAsia" w:ascii="仿宋_GB2312" w:eastAsia="仿宋_GB2312"/>
          <w:sz w:val="32"/>
          <w:szCs w:val="32"/>
        </w:rPr>
        <w:t>202</w:t>
      </w:r>
      <w:r>
        <w:rPr>
          <w:rFonts w:ascii="仿宋_GB2312" w:eastAsia="仿宋_GB2312"/>
          <w:sz w:val="32"/>
          <w:szCs w:val="32"/>
        </w:rPr>
        <w:t>5</w:t>
      </w:r>
      <w:r>
        <w:rPr>
          <w:rFonts w:hint="eastAsia" w:ascii="仿宋_GB2312" w:eastAsia="仿宋_GB2312"/>
          <w:sz w:val="32"/>
          <w:szCs w:val="32"/>
        </w:rPr>
        <w:t>年度，</w:t>
      </w:r>
      <w:r>
        <w:rPr>
          <w:rFonts w:ascii="仿宋_GB2312" w:eastAsia="仿宋_GB2312"/>
          <w:b/>
          <w:sz w:val="32"/>
          <w:szCs w:val="32"/>
        </w:rPr>
        <w:t>中国人民政治协商会议阿坝州若尔盖县委员会办公室</w:t>
      </w:r>
      <w:r>
        <w:rPr>
          <w:rFonts w:hint="eastAsia" w:ascii="仿宋_GB2312" w:eastAsia="仿宋_GB2312"/>
          <w:sz w:val="32"/>
          <w:szCs w:val="32"/>
        </w:rPr>
        <w:t>机关运行经费支出</w:t>
      </w:r>
      <w:r>
        <w:rPr>
          <w:rFonts w:ascii="仿宋" w:hAnsi="仿宋" w:eastAsia="仿宋"/>
          <w:b/>
          <w:sz w:val="32"/>
          <w:szCs w:val="32"/>
        </w:rPr>
        <w:t>108.39</w:t>
      </w:r>
      <w:r>
        <w:rPr>
          <w:rFonts w:hint="eastAsia" w:ascii="仿宋_GB2312" w:eastAsia="仿宋_GB2312"/>
          <w:sz w:val="32"/>
          <w:szCs w:val="32"/>
        </w:rPr>
        <w:t>万元，比20</w:t>
      </w:r>
      <w:r>
        <w:rPr>
          <w:rFonts w:ascii="仿宋_GB2312" w:eastAsia="仿宋_GB2312"/>
          <w:sz w:val="32"/>
          <w:szCs w:val="32"/>
        </w:rPr>
        <w:t>24</w:t>
      </w:r>
      <w:r>
        <w:rPr>
          <w:rFonts w:hint="eastAsia" w:ascii="仿宋_GB2312" w:eastAsia="仿宋_GB2312"/>
          <w:sz w:val="32"/>
          <w:szCs w:val="32"/>
        </w:rPr>
        <w:t>年度</w:t>
      </w:r>
      <w:r>
        <w:rPr>
          <w:rFonts w:ascii="仿宋_GB2312" w:eastAsia="仿宋_GB2312"/>
          <w:sz w:val="32"/>
          <w:szCs w:val="32"/>
        </w:rPr>
        <w:t>增加1</w:t>
      </w:r>
      <w:r>
        <w:rPr>
          <w:rFonts w:hint="eastAsia" w:ascii="仿宋_GB2312" w:eastAsia="仿宋_GB2312"/>
          <w:sz w:val="32"/>
          <w:szCs w:val="32"/>
        </w:rPr>
        <w:t>2万元，</w:t>
      </w:r>
      <w:r>
        <w:rPr>
          <w:rFonts w:hint="eastAsia" w:ascii="仿宋_GB2312" w:eastAsia="仿宋_GB2312"/>
          <w:sz w:val="32"/>
          <w:szCs w:val="32"/>
          <w:lang w:eastAsia="zh-CN"/>
        </w:rPr>
        <w:t>增加</w:t>
      </w:r>
      <w:r>
        <w:rPr>
          <w:rFonts w:ascii="仿宋_GB2312" w:eastAsia="仿宋_GB2312"/>
          <w:sz w:val="32"/>
          <w:szCs w:val="32"/>
        </w:rPr>
        <w:t>11.1%</w:t>
      </w:r>
      <w:r>
        <w:rPr>
          <w:rFonts w:hint="eastAsia" w:ascii="仿宋_GB2312" w:eastAsia="仿宋_GB2312"/>
          <w:sz w:val="32"/>
          <w:szCs w:val="32"/>
        </w:rPr>
        <w:t>。主要原因是</w:t>
      </w:r>
      <w:r>
        <w:rPr>
          <w:rFonts w:ascii="仿宋_GB2312" w:eastAsia="仿宋_GB2312"/>
          <w:sz w:val="32"/>
          <w:szCs w:val="32"/>
        </w:rPr>
        <w:t>人员增加运行经费增加</w:t>
      </w:r>
      <w:r>
        <w:rPr>
          <w:rFonts w:hint="eastAsia" w:ascii="仿宋_GB2312" w:eastAsia="仿宋_GB2312"/>
          <w:sz w:val="32"/>
          <w:szCs w:val="32"/>
        </w:rPr>
        <w:t>。</w:t>
      </w:r>
    </w:p>
    <w:p>
      <w:pPr>
        <w:autoSpaceDE w:val="0"/>
        <w:autoSpaceDN w:val="0"/>
        <w:adjustRightInd w:val="0"/>
        <w:spacing w:line="600" w:lineRule="exact"/>
        <w:ind w:firstLine="642" w:firstLineChars="200"/>
        <w:jc w:val="left"/>
        <w:outlineLvl w:val="2"/>
        <w:rPr>
          <w:rFonts w:ascii="仿宋" w:hAnsi="仿宋" w:eastAsia="仿宋"/>
          <w:b/>
          <w:sz w:val="32"/>
          <w:szCs w:val="32"/>
        </w:rPr>
      </w:pPr>
      <w:bookmarkStart w:id="73" w:name="_Toc15377223"/>
      <w:r>
        <w:rPr>
          <w:rFonts w:hint="eastAsia" w:ascii="仿宋" w:hAnsi="仿宋" w:eastAsia="仿宋"/>
          <w:b/>
          <w:sz w:val="32"/>
          <w:szCs w:val="32"/>
        </w:rPr>
        <w:t>（二）政府采购支出情况</w:t>
      </w:r>
      <w:bookmarkEnd w:id="73"/>
    </w:p>
    <w:p>
      <w:pPr>
        <w:spacing w:line="600" w:lineRule="exact"/>
        <w:ind w:firstLine="640" w:firstLineChars="200"/>
        <w:rPr>
          <w:rFonts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年度，中国人民政治协商会议阿坝州若尔盖县委员会办公室政府采购支出总额</w:t>
      </w:r>
      <w:r>
        <w:rPr>
          <w:rFonts w:ascii="仿宋" w:hAnsi="仿宋" w:eastAsia="仿宋"/>
          <w:b/>
          <w:sz w:val="32"/>
          <w:szCs w:val="32"/>
        </w:rPr>
        <w:t>28.23</w:t>
      </w:r>
      <w:r>
        <w:rPr>
          <w:rFonts w:hint="eastAsia" w:ascii="仿宋_GB2312" w:eastAsia="仿宋_GB2312"/>
          <w:sz w:val="32"/>
          <w:szCs w:val="32"/>
        </w:rPr>
        <w:t>万元，其中：政府采购货物支出</w:t>
      </w:r>
      <w:r>
        <w:rPr>
          <w:rFonts w:ascii="仿宋" w:hAnsi="仿宋" w:eastAsia="仿宋"/>
          <w:b/>
          <w:sz w:val="32"/>
          <w:szCs w:val="32"/>
        </w:rPr>
        <w:t>2.32</w:t>
      </w:r>
      <w:r>
        <w:rPr>
          <w:rFonts w:hint="eastAsia" w:ascii="仿宋_GB2312" w:eastAsia="仿宋_GB2312"/>
          <w:sz w:val="32"/>
          <w:szCs w:val="32"/>
        </w:rPr>
        <w:t>万元、政府采购工程支出</w:t>
      </w:r>
      <w:r>
        <w:rPr>
          <w:rFonts w:ascii="仿宋" w:hAnsi="仿宋" w:eastAsia="仿宋"/>
          <w:b/>
          <w:sz w:val="32"/>
          <w:szCs w:val="32"/>
        </w:rPr>
        <w:t>0</w:t>
      </w:r>
      <w:r>
        <w:rPr>
          <w:rFonts w:hint="eastAsia" w:ascii="仿宋_GB2312" w:eastAsia="仿宋_GB2312"/>
          <w:sz w:val="32"/>
          <w:szCs w:val="32"/>
        </w:rPr>
        <w:t>万元、政府采购服务支出</w:t>
      </w:r>
      <w:r>
        <w:rPr>
          <w:rFonts w:ascii="仿宋" w:hAnsi="仿宋" w:eastAsia="仿宋"/>
          <w:b/>
          <w:sz w:val="32"/>
          <w:szCs w:val="32"/>
        </w:rPr>
        <w:t>25.92</w:t>
      </w:r>
      <w:r>
        <w:rPr>
          <w:rFonts w:hint="eastAsia" w:ascii="仿宋_GB2312" w:eastAsia="仿宋_GB2312"/>
          <w:sz w:val="32"/>
          <w:szCs w:val="32"/>
        </w:rPr>
        <w:t>万元。授予中小企业合同金额</w:t>
      </w:r>
      <w:r>
        <w:rPr>
          <w:rFonts w:ascii="仿宋" w:hAnsi="仿宋" w:eastAsia="仿宋"/>
          <w:b/>
          <w:sz w:val="32"/>
          <w:szCs w:val="32"/>
        </w:rPr>
        <w:t>25.92</w:t>
      </w:r>
      <w:r>
        <w:rPr>
          <w:rFonts w:hint="eastAsia" w:ascii="仿宋_GB2312" w:eastAsia="仿宋_GB2312"/>
          <w:sz w:val="32"/>
          <w:szCs w:val="32"/>
        </w:rPr>
        <w:t>万元，占政府采购支出总额的</w:t>
      </w:r>
      <w:r>
        <w:rPr>
          <w:rFonts w:ascii="仿宋_GB2312" w:eastAsia="仿宋_GB2312"/>
          <w:sz w:val="32"/>
          <w:szCs w:val="32"/>
        </w:rPr>
        <w:t>91.79%</w:t>
      </w:r>
      <w:r>
        <w:rPr>
          <w:rFonts w:hint="eastAsia" w:ascii="仿宋_GB2312" w:eastAsia="仿宋_GB2312"/>
          <w:sz w:val="32"/>
          <w:szCs w:val="32"/>
        </w:rPr>
        <w:t>，其中：授予小微企业合同金额</w:t>
      </w:r>
      <w:r>
        <w:rPr>
          <w:rFonts w:ascii="仿宋" w:hAnsi="仿宋" w:eastAsia="仿宋"/>
          <w:b/>
          <w:sz w:val="32"/>
          <w:szCs w:val="32"/>
        </w:rPr>
        <w:t>25.92</w:t>
      </w:r>
      <w:r>
        <w:rPr>
          <w:rFonts w:hint="eastAsia" w:ascii="仿宋_GB2312" w:eastAsia="仿宋_GB2312"/>
          <w:sz w:val="32"/>
          <w:szCs w:val="32"/>
        </w:rPr>
        <w:t>万元，占政府采购支出总额的</w:t>
      </w:r>
      <w:r>
        <w:rPr>
          <w:rFonts w:ascii="仿宋_GB2312" w:eastAsia="仿宋_GB2312"/>
          <w:b/>
          <w:sz w:val="32"/>
          <w:szCs w:val="32"/>
        </w:rPr>
        <w:t>91.79</w:t>
      </w:r>
      <w:r>
        <w:rPr>
          <w:rFonts w:ascii="仿宋_GB2312" w:eastAsia="仿宋_GB2312"/>
          <w:sz w:val="32"/>
          <w:szCs w:val="32"/>
        </w:rPr>
        <w:t>%</w:t>
      </w:r>
      <w:r>
        <w:rPr>
          <w:rFonts w:hint="eastAsia" w:ascii="仿宋_GB2312" w:eastAsia="仿宋_GB2312"/>
          <w:sz w:val="32"/>
          <w:szCs w:val="32"/>
        </w:rPr>
        <w:t>。</w:t>
      </w:r>
    </w:p>
    <w:p>
      <w:pPr>
        <w:autoSpaceDE w:val="0"/>
        <w:autoSpaceDN w:val="0"/>
        <w:adjustRightInd w:val="0"/>
        <w:spacing w:line="600" w:lineRule="exact"/>
        <w:ind w:firstLine="642" w:firstLineChars="200"/>
        <w:jc w:val="left"/>
        <w:outlineLvl w:val="2"/>
        <w:rPr>
          <w:rFonts w:ascii="仿宋" w:hAnsi="仿宋" w:eastAsia="仿宋"/>
          <w:b/>
          <w:sz w:val="32"/>
          <w:szCs w:val="32"/>
        </w:rPr>
      </w:pPr>
      <w:bookmarkStart w:id="74" w:name="_Toc15377224"/>
      <w:r>
        <w:rPr>
          <w:rFonts w:hint="eastAsia" w:ascii="仿宋" w:hAnsi="仿宋" w:eastAsia="仿宋"/>
          <w:b/>
          <w:sz w:val="32"/>
          <w:szCs w:val="32"/>
        </w:rPr>
        <w:t>（三）国有资产占有使用情况</w:t>
      </w:r>
      <w:bookmarkEnd w:id="74"/>
    </w:p>
    <w:p>
      <w:pPr>
        <w:autoSpaceDE w:val="0"/>
        <w:autoSpaceDN w:val="0"/>
        <w:adjustRightInd w:val="0"/>
        <w:spacing w:line="600" w:lineRule="exact"/>
        <w:ind w:firstLine="640" w:firstLineChars="200"/>
        <w:jc w:val="left"/>
        <w:rPr>
          <w:rFonts w:ascii="仿宋_GB2312" w:eastAsia="仿宋_GB2312"/>
          <w:sz w:val="32"/>
          <w:szCs w:val="32"/>
        </w:rPr>
      </w:pPr>
      <w:r>
        <w:rPr>
          <w:rFonts w:hint="eastAsia" w:ascii="仿宋_GB2312" w:eastAsia="仿宋_GB2312"/>
          <w:sz w:val="32"/>
          <w:szCs w:val="32"/>
        </w:rPr>
        <w:t>截至202</w:t>
      </w:r>
      <w:r>
        <w:rPr>
          <w:rFonts w:ascii="仿宋_GB2312" w:eastAsia="仿宋_GB2312"/>
          <w:sz w:val="32"/>
          <w:szCs w:val="32"/>
        </w:rPr>
        <w:t>5</w:t>
      </w:r>
      <w:r>
        <w:rPr>
          <w:rFonts w:hint="eastAsia" w:ascii="仿宋_GB2312" w:eastAsia="仿宋_GB2312"/>
          <w:sz w:val="32"/>
          <w:szCs w:val="32"/>
        </w:rPr>
        <w:t>年</w:t>
      </w:r>
      <w:r>
        <w:rPr>
          <w:rFonts w:ascii="仿宋_GB2312" w:eastAsia="仿宋_GB2312"/>
          <w:sz w:val="32"/>
          <w:szCs w:val="32"/>
        </w:rPr>
        <w:t>12</w:t>
      </w:r>
      <w:r>
        <w:rPr>
          <w:rFonts w:hint="eastAsia" w:ascii="仿宋_GB2312" w:eastAsia="仿宋_GB2312"/>
          <w:sz w:val="32"/>
          <w:szCs w:val="32"/>
        </w:rPr>
        <w:t>月</w:t>
      </w:r>
      <w:r>
        <w:rPr>
          <w:rFonts w:ascii="仿宋_GB2312" w:eastAsia="仿宋_GB2312"/>
          <w:sz w:val="32"/>
          <w:szCs w:val="32"/>
        </w:rPr>
        <w:t>31</w:t>
      </w:r>
      <w:r>
        <w:rPr>
          <w:rFonts w:hint="eastAsia" w:ascii="仿宋_GB2312" w:eastAsia="仿宋_GB2312"/>
          <w:sz w:val="32"/>
          <w:szCs w:val="32"/>
        </w:rPr>
        <w:t>日，中国人民政治协商会议阿坝州若尔盖县委员会办公室共有车辆</w:t>
      </w:r>
      <w:r>
        <w:rPr>
          <w:rFonts w:hint="eastAsia" w:ascii="仿宋_GB2312" w:eastAsia="仿宋_GB2312"/>
          <w:b/>
          <w:sz w:val="32"/>
          <w:szCs w:val="32"/>
        </w:rPr>
        <w:t>5</w:t>
      </w:r>
      <w:r>
        <w:rPr>
          <w:rFonts w:hint="eastAsia" w:ascii="仿宋_GB2312" w:eastAsia="仿宋_GB2312"/>
          <w:sz w:val="32"/>
          <w:szCs w:val="32"/>
        </w:rPr>
        <w:t>辆，其中：主要领导干部用车0辆、机要通信用车0辆、应急保障用车0辆、其他用车5辆，</w:t>
      </w:r>
      <w:r>
        <w:rPr>
          <w:rFonts w:ascii="仿宋_GB2312" w:eastAsia="仿宋_GB2312"/>
          <w:sz w:val="32"/>
          <w:szCs w:val="32"/>
        </w:rPr>
        <w:t>其他用车主要是用于委员视察、委员参政议政、下乡、出差等相关工作。</w:t>
      </w:r>
      <w:r>
        <w:rPr>
          <w:rFonts w:hint="eastAsia" w:ascii="仿宋_GB2312" w:eastAsia="仿宋_GB2312"/>
          <w:sz w:val="32"/>
          <w:szCs w:val="32"/>
        </w:rPr>
        <w:t>单价</w:t>
      </w:r>
      <w:r>
        <w:rPr>
          <w:rFonts w:ascii="仿宋_GB2312" w:eastAsia="仿宋_GB2312"/>
          <w:sz w:val="32"/>
          <w:szCs w:val="32"/>
        </w:rPr>
        <w:t>100</w:t>
      </w:r>
      <w:r>
        <w:rPr>
          <w:rFonts w:hint="eastAsia" w:ascii="仿宋_GB2312" w:eastAsia="仿宋_GB2312"/>
          <w:sz w:val="32"/>
          <w:szCs w:val="32"/>
        </w:rPr>
        <w:t>万元以上设备（不含车辆）</w:t>
      </w:r>
      <w:r>
        <w:rPr>
          <w:rFonts w:ascii="仿宋_GB2312" w:eastAsia="仿宋_GB2312"/>
          <w:b/>
          <w:sz w:val="32"/>
          <w:szCs w:val="32"/>
        </w:rPr>
        <w:t>0</w:t>
      </w:r>
      <w:r>
        <w:rPr>
          <w:rFonts w:hint="eastAsia" w:ascii="仿宋_GB2312" w:eastAsia="仿宋_GB2312"/>
          <w:sz w:val="32"/>
          <w:szCs w:val="32"/>
        </w:rPr>
        <w:t>台（套）。</w:t>
      </w:r>
    </w:p>
    <w:p>
      <w:pPr>
        <w:autoSpaceDE w:val="0"/>
        <w:autoSpaceDN w:val="0"/>
        <w:adjustRightInd w:val="0"/>
        <w:spacing w:line="600" w:lineRule="exact"/>
        <w:ind w:firstLine="642" w:firstLineChars="200"/>
        <w:jc w:val="left"/>
        <w:outlineLvl w:val="2"/>
        <w:rPr>
          <w:rFonts w:ascii="仿宋" w:hAnsi="仿宋" w:eastAsia="仿宋"/>
          <w:b/>
          <w:sz w:val="32"/>
          <w:szCs w:val="32"/>
        </w:rPr>
      </w:pPr>
      <w:r>
        <w:rPr>
          <w:rFonts w:hint="eastAsia" w:ascii="仿宋" w:hAnsi="仿宋" w:eastAsia="仿宋"/>
          <w:b/>
          <w:sz w:val="32"/>
          <w:szCs w:val="32"/>
        </w:rPr>
        <w:t>（四）预算绩效管理情况</w:t>
      </w:r>
    </w:p>
    <w:p>
      <w:pPr>
        <w:spacing w:before="173" w:line="355" w:lineRule="auto"/>
        <w:ind w:right="165" w:firstLine="470"/>
        <w:rPr>
          <w:rFonts w:ascii="仿宋_GB2312" w:hAnsi="黑体" w:eastAsia="仿宋_GB2312" w:cs="黑体"/>
          <w:sz w:val="32"/>
          <w:szCs w:val="32"/>
        </w:rPr>
      </w:pPr>
      <w:r>
        <w:rPr>
          <w:rFonts w:ascii="仿宋_GB2312" w:hAnsi="黑体" w:eastAsia="仿宋_GB2312" w:cs="黑体"/>
          <w:sz w:val="32"/>
          <w:szCs w:val="32"/>
        </w:rPr>
        <w:t>根据预算绩效管理要求，本部门在20</w:t>
      </w:r>
      <w:r>
        <w:rPr>
          <w:rFonts w:hint="eastAsia" w:ascii="仿宋_GB2312" w:hAnsi="黑体" w:eastAsia="仿宋_GB2312" w:cs="黑体"/>
          <w:sz w:val="32"/>
          <w:szCs w:val="32"/>
        </w:rPr>
        <w:t>2</w:t>
      </w:r>
      <w:r>
        <w:rPr>
          <w:rFonts w:ascii="仿宋_GB2312" w:hAnsi="黑体" w:eastAsia="仿宋_GB2312" w:cs="黑体"/>
          <w:sz w:val="32"/>
          <w:szCs w:val="32"/>
        </w:rPr>
        <w:t>5年度预算编制阶段，组织对公务支出、政协会议、委员视察、参政议政项目(项目名称)等4个项目开展了预算事前绩效评估，对4个项目编制了绩效目标，预算执行过程中，选取4个项目开展绩效监控。</w:t>
      </w:r>
    </w:p>
    <w:p>
      <w:pPr>
        <w:spacing w:before="302" w:line="358" w:lineRule="auto"/>
        <w:ind w:right="146" w:firstLine="470"/>
        <w:rPr>
          <w:rFonts w:ascii="仿宋_GB2312" w:hAnsi="黑体" w:eastAsia="仿宋_GB2312" w:cs="黑体"/>
          <w:sz w:val="32"/>
          <w:szCs w:val="32"/>
        </w:rPr>
      </w:pPr>
      <w:r>
        <w:rPr>
          <w:rFonts w:ascii="仿宋_GB2312" w:hAnsi="黑体" w:eastAsia="仿宋_GB2312" w:cs="黑体"/>
          <w:sz w:val="32"/>
          <w:szCs w:val="32"/>
        </w:rPr>
        <w:t>组织对20</w:t>
      </w:r>
      <w:r>
        <w:rPr>
          <w:rFonts w:hint="eastAsia" w:ascii="仿宋_GB2312" w:hAnsi="黑体" w:eastAsia="仿宋_GB2312" w:cs="黑体"/>
          <w:sz w:val="32"/>
          <w:szCs w:val="32"/>
        </w:rPr>
        <w:t>2</w:t>
      </w:r>
      <w:r>
        <w:rPr>
          <w:rFonts w:ascii="仿宋_GB2312" w:hAnsi="黑体" w:eastAsia="仿宋_GB2312" w:cs="黑体"/>
          <w:sz w:val="32"/>
          <w:szCs w:val="32"/>
        </w:rPr>
        <w:t>5年度一般公共预算、政府性基金预算、国有资本经营预算、社会保险基金预算以及资本资产、债券资 金等全面开展绩效自评，形成县政协部门整体(含部门预算项目)绩效自评报告、县政协等专项预算项目绩效自评报告其中，县政协部门整体(含部门预算项目)绩效自评得分为9</w:t>
      </w:r>
      <w:r>
        <w:rPr>
          <w:rFonts w:hint="eastAsia" w:ascii="仿宋_GB2312" w:hAnsi="黑体" w:eastAsia="仿宋_GB2312" w:cs="黑体"/>
          <w:sz w:val="32"/>
          <w:szCs w:val="32"/>
        </w:rPr>
        <w:t>5</w:t>
      </w:r>
      <w:r>
        <w:rPr>
          <w:rFonts w:ascii="仿宋_GB2312" w:hAnsi="黑体" w:eastAsia="仿宋_GB2312" w:cs="黑体"/>
          <w:sz w:val="32"/>
          <w:szCs w:val="32"/>
        </w:rPr>
        <w:t>分，绩效自评综述：</w:t>
      </w:r>
    </w:p>
    <w:p>
      <w:pPr>
        <w:spacing w:before="302" w:line="358" w:lineRule="auto"/>
        <w:ind w:right="146" w:firstLine="470"/>
        <w:rPr>
          <w:rFonts w:ascii="仿宋_GB2312" w:hAnsi="黑体" w:eastAsia="仿宋_GB2312" w:cs="黑体"/>
          <w:sz w:val="32"/>
          <w:szCs w:val="32"/>
        </w:rPr>
      </w:pPr>
      <w:r>
        <w:rPr>
          <w:rFonts w:ascii="仿宋_GB2312" w:hAnsi="黑体" w:eastAsia="仿宋_GB2312" w:cs="黑体"/>
          <w:sz w:val="32"/>
          <w:szCs w:val="32"/>
        </w:rPr>
        <w:t>严格落实中央、省、州、县级财务相关规章制度，认真按照预算规定和进度执行工资和福利支出社会保障缴费，对个人和家庭补助等经费的支出。</w:t>
      </w:r>
    </w:p>
    <w:p>
      <w:pPr>
        <w:spacing w:before="321" w:line="223" w:lineRule="auto"/>
        <w:ind w:left="474"/>
        <w:rPr>
          <w:rFonts w:ascii="仿宋_GB2312" w:hAnsi="黑体" w:eastAsia="仿宋_GB2312" w:cs="黑体"/>
          <w:sz w:val="32"/>
          <w:szCs w:val="32"/>
        </w:rPr>
      </w:pPr>
      <w:r>
        <w:rPr>
          <w:rFonts w:ascii="仿宋_GB2312" w:hAnsi="黑体" w:eastAsia="仿宋_GB2312" w:cs="黑体"/>
          <w:bCs/>
          <w:sz w:val="32"/>
          <w:szCs w:val="32"/>
        </w:rPr>
        <w:t>(1)行政运转保障</w:t>
      </w:r>
    </w:p>
    <w:p>
      <w:pPr>
        <w:spacing w:before="302" w:line="358" w:lineRule="auto"/>
        <w:ind w:right="146" w:firstLine="470"/>
        <w:rPr>
          <w:rFonts w:ascii="仿宋_GB2312" w:hAnsi="黑体" w:eastAsia="仿宋_GB2312" w:cs="黑体"/>
          <w:sz w:val="32"/>
          <w:szCs w:val="32"/>
        </w:rPr>
      </w:pPr>
      <w:r>
        <w:rPr>
          <w:rFonts w:ascii="仿宋_GB2312" w:hAnsi="黑体" w:eastAsia="仿宋_GB2312" w:cs="黑体"/>
          <w:sz w:val="32"/>
          <w:szCs w:val="32"/>
        </w:rPr>
        <w:t>财政年初下达的预算主要用于正常运转日常支出，包括人员工资，日常公务支出，严格按照制度，做到公开透明</w:t>
      </w:r>
      <w:r>
        <w:rPr>
          <w:rFonts w:hint="eastAsia" w:ascii="仿宋_GB2312" w:hAnsi="黑体" w:eastAsia="仿宋_GB2312" w:cs="黑体"/>
          <w:sz w:val="32"/>
          <w:szCs w:val="32"/>
          <w:lang w:eastAsia="zh-CN"/>
        </w:rPr>
        <w:t>接受社会各界监督</w:t>
      </w:r>
      <w:r>
        <w:rPr>
          <w:rFonts w:ascii="仿宋_GB2312" w:hAnsi="黑体" w:eastAsia="仿宋_GB2312" w:cs="黑体"/>
          <w:sz w:val="32"/>
          <w:szCs w:val="32"/>
        </w:rPr>
        <w:t>。</w:t>
      </w:r>
    </w:p>
    <w:p>
      <w:pPr>
        <w:spacing w:before="265" w:line="223" w:lineRule="auto"/>
        <w:ind w:left="430"/>
        <w:rPr>
          <w:rFonts w:ascii="仿宋_GB2312" w:hAnsi="黑体" w:eastAsia="仿宋_GB2312" w:cs="黑体"/>
          <w:sz w:val="32"/>
          <w:szCs w:val="32"/>
        </w:rPr>
      </w:pPr>
      <w:r>
        <w:rPr>
          <w:rFonts w:ascii="仿宋_GB2312" w:hAnsi="黑体" w:eastAsia="仿宋_GB2312" w:cs="黑体"/>
          <w:sz w:val="32"/>
          <w:szCs w:val="32"/>
        </w:rPr>
        <w:t>(2)机关厉行节约</w:t>
      </w:r>
    </w:p>
    <w:p>
      <w:pPr>
        <w:spacing w:before="217" w:line="350" w:lineRule="auto"/>
        <w:ind w:right="305" w:firstLine="430"/>
        <w:rPr>
          <w:rFonts w:ascii="仿宋_GB2312" w:hAnsi="黑体" w:eastAsia="仿宋_GB2312" w:cs="黑体"/>
          <w:sz w:val="32"/>
          <w:szCs w:val="32"/>
        </w:rPr>
      </w:pPr>
      <w:r>
        <w:rPr>
          <w:rFonts w:ascii="仿宋_GB2312" w:hAnsi="黑体" w:eastAsia="仿宋_GB2312" w:cs="黑体"/>
          <w:sz w:val="32"/>
          <w:szCs w:val="32"/>
        </w:rPr>
        <w:t>严格按照中央八项规定，高度重视，进一步健全制度，严肃纪律，严格管理，坚决杜绝铺张浪费行为，使小车经费及公务接待费用既不违反规定又发挥了其应有作用。</w:t>
      </w:r>
    </w:p>
    <w:p>
      <w:pPr>
        <w:spacing w:before="245" w:line="221" w:lineRule="auto"/>
        <w:ind w:left="430"/>
        <w:rPr>
          <w:rFonts w:ascii="仿宋_GB2312" w:hAnsi="黑体" w:eastAsia="仿宋_GB2312" w:cs="黑体"/>
          <w:sz w:val="32"/>
          <w:szCs w:val="32"/>
        </w:rPr>
      </w:pPr>
      <w:r>
        <w:rPr>
          <w:rFonts w:ascii="仿宋_GB2312" w:hAnsi="黑体" w:eastAsia="仿宋_GB2312" w:cs="黑体"/>
          <w:sz w:val="32"/>
          <w:szCs w:val="32"/>
        </w:rPr>
        <w:t>(3)项目绩效</w:t>
      </w:r>
    </w:p>
    <w:p>
      <w:pPr>
        <w:spacing w:before="256" w:line="223" w:lineRule="auto"/>
        <w:ind w:left="430"/>
        <w:rPr>
          <w:rFonts w:ascii="仿宋_GB2312" w:hAnsi="黑体" w:eastAsia="仿宋_GB2312" w:cs="黑体"/>
          <w:sz w:val="32"/>
          <w:szCs w:val="32"/>
        </w:rPr>
      </w:pPr>
      <w:r>
        <w:rPr>
          <w:rFonts w:ascii="仿宋_GB2312" w:hAnsi="黑体" w:eastAsia="仿宋_GB2312" w:cs="黑体"/>
          <w:sz w:val="32"/>
          <w:szCs w:val="32"/>
        </w:rPr>
        <w:t>参政议政是对政治、经济、文化和社会生活中的重要问</w:t>
      </w:r>
    </w:p>
    <w:p>
      <w:pPr>
        <w:spacing w:before="158" w:line="319" w:lineRule="auto"/>
        <w:ind w:right="289"/>
        <w:rPr>
          <w:rFonts w:ascii="仿宋_GB2312" w:hAnsi="黑体" w:eastAsia="仿宋_GB2312" w:cs="黑体"/>
          <w:sz w:val="32"/>
          <w:szCs w:val="32"/>
        </w:rPr>
      </w:pPr>
      <w:r>
        <w:rPr>
          <w:rFonts w:ascii="仿宋_GB2312" w:hAnsi="黑体" w:eastAsia="仿宋_GB2312" w:cs="黑体"/>
          <w:sz w:val="32"/>
          <w:szCs w:val="32"/>
        </w:rPr>
        <w:t>题以及人民群众普遍关心的问题，开展调查研究反映社情民意，进行协商讨论，是人民政协履行职能的重要形式，也是党政领导机关经常听取参加人民政协的</w:t>
      </w:r>
      <w:r>
        <w:rPr>
          <w:rFonts w:hint="eastAsia" w:ascii="仿宋_GB2312" w:hAnsi="黑体" w:eastAsia="仿宋_GB2312" w:cs="黑体"/>
          <w:sz w:val="32"/>
          <w:szCs w:val="32"/>
          <w:lang w:eastAsia="zh-CN"/>
        </w:rPr>
        <w:t>各民主党派、各人民团体和各界人士</w:t>
      </w:r>
      <w:r>
        <w:rPr>
          <w:rFonts w:ascii="仿宋_GB2312" w:hAnsi="黑体" w:eastAsia="仿宋_GB2312" w:cs="黑体"/>
          <w:sz w:val="32"/>
          <w:szCs w:val="32"/>
        </w:rPr>
        <w:t>的意见和建议，切实做好工作的有效方式。</w:t>
      </w:r>
    </w:p>
    <w:p>
      <w:pPr>
        <w:spacing w:before="220" w:line="346" w:lineRule="auto"/>
        <w:ind w:right="312" w:firstLine="430"/>
        <w:rPr>
          <w:rFonts w:ascii="仿宋_GB2312" w:hAnsi="黑体" w:eastAsia="仿宋_GB2312" w:cs="黑体"/>
          <w:sz w:val="32"/>
          <w:szCs w:val="32"/>
        </w:rPr>
      </w:pPr>
      <w:r>
        <w:rPr>
          <w:rFonts w:ascii="仿宋_GB2312" w:hAnsi="黑体" w:eastAsia="仿宋_GB2312" w:cs="黑体"/>
          <w:sz w:val="32"/>
          <w:szCs w:val="32"/>
        </w:rPr>
        <w:t>根据政协章程，每年至少召开四次政协</w:t>
      </w:r>
      <w:r>
        <w:rPr>
          <w:rFonts w:hint="eastAsia" w:ascii="仿宋_GB2312" w:hAnsi="黑体" w:eastAsia="仿宋_GB2312" w:cs="黑体"/>
          <w:sz w:val="32"/>
          <w:szCs w:val="32"/>
          <w:lang w:eastAsia="zh-CN"/>
        </w:rPr>
        <w:t>常委会会议</w:t>
      </w:r>
      <w:r>
        <w:rPr>
          <w:rFonts w:ascii="仿宋_GB2312" w:hAnsi="黑体" w:eastAsia="仿宋_GB2312" w:cs="黑体"/>
          <w:sz w:val="32"/>
          <w:szCs w:val="32"/>
        </w:rPr>
        <w:t>、一次全委会议和一次委员培训会。适应推进国家治理体系和治理能力现代化的要求，畅通民族渠道，推动实现广泛有效的人民民主。</w:t>
      </w:r>
    </w:p>
    <w:p>
      <w:pPr>
        <w:spacing w:before="158" w:line="319" w:lineRule="auto"/>
        <w:ind w:right="289"/>
        <w:rPr>
          <w:rFonts w:ascii="仿宋_GB2312" w:hAnsi="黑体" w:eastAsia="仿宋_GB2312" w:cs="黑体"/>
          <w:sz w:val="32"/>
          <w:szCs w:val="32"/>
        </w:rPr>
      </w:pPr>
      <w:r>
        <w:rPr>
          <w:rFonts w:hint="eastAsia" w:ascii="仿宋_GB2312" w:hAnsi="黑体" w:eastAsia="仿宋_GB2312" w:cs="黑体"/>
          <w:bCs/>
          <w:sz w:val="32"/>
          <w:szCs w:val="32"/>
        </w:rPr>
        <w:t xml:space="preserve">   </w:t>
      </w:r>
      <w:r>
        <w:rPr>
          <w:rFonts w:ascii="仿宋_GB2312" w:hAnsi="黑体" w:eastAsia="仿宋_GB2312" w:cs="黑体"/>
          <w:sz w:val="32"/>
          <w:szCs w:val="32"/>
        </w:rPr>
        <w:t>政协委员通过视察形式咨政建言，包含重要的政治内容和社会意义。政协委员通过视察形式反映社情民意，是完善舆情汇集和分析机制的重要途径。政协委员通过视察形式开展民主监督，是人民政协履行民主监督职能的有效形式；</w:t>
      </w:r>
    </w:p>
    <w:p>
      <w:pPr>
        <w:spacing w:before="220" w:line="346" w:lineRule="auto"/>
        <w:ind w:right="312" w:firstLine="430"/>
        <w:rPr>
          <w:rFonts w:ascii="仿宋_GB2312" w:hAnsi="黑体" w:eastAsia="仿宋_GB2312" w:cs="黑体"/>
          <w:sz w:val="32"/>
          <w:szCs w:val="32"/>
        </w:rPr>
      </w:pPr>
      <w:r>
        <w:rPr>
          <w:rFonts w:ascii="仿宋_GB2312" w:hAnsi="黑体" w:eastAsia="仿宋_GB2312" w:cs="黑体"/>
          <w:sz w:val="32"/>
          <w:szCs w:val="32"/>
        </w:rPr>
        <w:t>收集整理和出版有价值有影响的文史资料，为表现和还原本县真实历史，反映真实现实社会情况，在“存史、资政、团结、育人”等方面发挥了良好的社会作用。县政协专项预算项目绩效自评综述</w:t>
      </w:r>
      <w:r>
        <w:rPr>
          <w:rFonts w:hint="eastAsia" w:ascii="仿宋_GB2312" w:hAnsi="黑体" w:eastAsia="仿宋_GB2312" w:cs="黑体"/>
          <w:sz w:val="32"/>
          <w:szCs w:val="32"/>
        </w:rPr>
        <w:t>：</w:t>
      </w:r>
    </w:p>
    <w:p>
      <w:pPr>
        <w:spacing w:before="158" w:line="319" w:lineRule="auto"/>
        <w:ind w:right="289"/>
        <w:rPr>
          <w:rFonts w:ascii="仿宋_GB2312" w:hAnsi="黑体" w:eastAsia="仿宋_GB2312" w:cs="黑体"/>
          <w:sz w:val="32"/>
          <w:szCs w:val="32"/>
        </w:rPr>
      </w:pPr>
      <w:r>
        <w:rPr>
          <w:rFonts w:hint="eastAsia" w:ascii="仿宋_GB2312" w:hAnsi="黑体" w:eastAsia="仿宋_GB2312" w:cs="黑体"/>
          <w:sz w:val="32"/>
          <w:szCs w:val="32"/>
        </w:rPr>
        <w:t xml:space="preserve">     </w:t>
      </w:r>
      <w:r>
        <w:rPr>
          <w:rFonts w:ascii="仿宋_GB2312" w:hAnsi="黑体" w:eastAsia="仿宋_GB2312" w:cs="黑体"/>
          <w:sz w:val="32"/>
          <w:szCs w:val="32"/>
        </w:rPr>
        <w:t>(一)本单位在自评的过程中，没有发现违法违规现象，严格执行财务规章制度和管理制度，做到预算公开透明。</w:t>
      </w:r>
    </w:p>
    <w:p>
      <w:pPr>
        <w:spacing w:before="292" w:line="343" w:lineRule="auto"/>
        <w:ind w:right="283" w:firstLine="759"/>
        <w:rPr>
          <w:rFonts w:ascii="仿宋_GB2312" w:hAnsi="黑体" w:eastAsia="仿宋_GB2312" w:cs="黑体"/>
          <w:sz w:val="32"/>
          <w:szCs w:val="32"/>
        </w:rPr>
      </w:pPr>
      <w:r>
        <w:rPr>
          <w:rFonts w:ascii="仿宋_GB2312" w:hAnsi="黑体" w:eastAsia="仿宋_GB2312" w:cs="黑体"/>
          <w:bCs/>
          <w:sz w:val="32"/>
          <w:szCs w:val="32"/>
        </w:rPr>
        <w:t>(二)严格落实中央、省、州财务相关规定及要求，节约经费开支，把狠抓经费的使用落到实处，提高有限经费的使用效率。绩效自评报告详见附件。(如不涉及，可根据实</w:t>
      </w:r>
    </w:p>
    <w:p>
      <w:pPr>
        <w:spacing w:before="1" w:line="221" w:lineRule="auto"/>
        <w:rPr>
          <w:rFonts w:ascii="仿宋_GB2312" w:hAnsi="黑体" w:eastAsia="仿宋_GB2312" w:cs="黑体"/>
          <w:bCs/>
          <w:sz w:val="32"/>
          <w:szCs w:val="32"/>
        </w:rPr>
        <w:sectPr>
          <w:footerReference r:id="rId4" w:type="default"/>
          <w:pgSz w:w="11900" w:h="16830"/>
          <w:pgMar w:top="1430" w:right="1778" w:bottom="1311" w:left="1640" w:header="0" w:footer="1182" w:gutter="0"/>
          <w:pgNumType w:start="1"/>
          <w:cols w:space="720" w:num="1"/>
          <w:docGrid w:linePitch="312" w:charSpace="0"/>
        </w:sectPr>
      </w:pPr>
      <w:r>
        <w:rPr>
          <w:rFonts w:ascii="仿宋_GB2312" w:hAnsi="黑体" w:eastAsia="仿宋_GB2312" w:cs="黑体"/>
          <w:bCs/>
          <w:sz w:val="32"/>
          <w:szCs w:val="32"/>
        </w:rPr>
        <w:t>际修改表述</w:t>
      </w:r>
      <w:r>
        <w:rPr>
          <w:rFonts w:hint="eastAsia" w:ascii="仿宋_GB2312" w:hAnsi="黑体" w:eastAsia="仿宋_GB2312" w:cs="黑体"/>
          <w:bCs/>
          <w:sz w:val="32"/>
          <w:szCs w:val="32"/>
        </w:rPr>
        <w:t>。</w:t>
      </w:r>
    </w:p>
    <w:p>
      <w:pPr>
        <w:spacing w:line="600" w:lineRule="exact"/>
        <w:rPr>
          <w:rFonts w:ascii="仿宋_GB2312" w:eastAsia="仿宋_GB2312"/>
          <w:sz w:val="32"/>
          <w:szCs w:val="32"/>
        </w:rPr>
      </w:pPr>
    </w:p>
    <w:p>
      <w:pPr>
        <w:numPr>
          <w:ilvl w:val="0"/>
          <w:numId w:val="5"/>
        </w:numPr>
        <w:spacing w:line="600" w:lineRule="exact"/>
        <w:ind w:left="0" w:firstLine="660" w:firstLineChars="150"/>
        <w:jc w:val="center"/>
        <w:outlineLvl w:val="0"/>
        <w:rPr>
          <w:rStyle w:val="20"/>
          <w:rFonts w:ascii="黑体" w:hAnsi="黑体" w:eastAsia="黑体"/>
          <w:b w:val="0"/>
        </w:rPr>
      </w:pPr>
      <w:bookmarkStart w:id="75" w:name="_Toc15377225"/>
      <w:bookmarkStart w:id="76" w:name="_Toc15396613"/>
      <w:bookmarkStart w:id="77" w:name="_Toc1839256648"/>
      <w:r>
        <w:rPr>
          <w:rFonts w:hint="eastAsia" w:ascii="黑体" w:hAnsi="黑体" w:eastAsia="黑体"/>
          <w:sz w:val="44"/>
          <w:szCs w:val="44"/>
        </w:rPr>
        <w:t>名</w:t>
      </w:r>
      <w:r>
        <w:rPr>
          <w:rStyle w:val="20"/>
          <w:rFonts w:hint="eastAsia" w:ascii="黑体" w:hAnsi="黑体" w:eastAsia="黑体"/>
          <w:b w:val="0"/>
        </w:rPr>
        <w:t>词解释</w:t>
      </w:r>
      <w:bookmarkEnd w:id="75"/>
      <w:bookmarkEnd w:id="76"/>
      <w:bookmarkEnd w:id="77"/>
    </w:p>
    <w:p>
      <w:pPr>
        <w:spacing w:line="600" w:lineRule="exact"/>
        <w:jc w:val="left"/>
        <w:rPr>
          <w:rFonts w:ascii="宋体"/>
          <w:b/>
          <w:sz w:val="44"/>
          <w:szCs w:val="44"/>
        </w:rPr>
      </w:pPr>
    </w:p>
    <w:p>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w:t>
      </w:r>
    </w:p>
    <w:p>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w:t>
      </w:r>
    </w:p>
    <w:p>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w:t>
      </w:r>
      <w:r>
        <w:rPr>
          <w:rFonts w:ascii="仿宋_GB2312" w:eastAsia="仿宋_GB2312"/>
          <w:color w:val="auto"/>
          <w:sz w:val="32"/>
          <w:szCs w:val="32"/>
        </w:rPr>
        <w:t xml:space="preserve"> </w:t>
      </w:r>
    </w:p>
    <w:p>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5.</w:t>
      </w:r>
      <w:r>
        <w:rPr>
          <w:rFonts w:hint="eastAsia" w:ascii="仿宋_GB2312" w:hAnsi="华文中宋" w:eastAsia="仿宋_GB2312"/>
          <w:sz w:val="32"/>
          <w:szCs w:val="32"/>
        </w:rPr>
        <w:t>使用非财政拨款结余（含专用结余）</w:t>
      </w:r>
      <w:r>
        <w:rPr>
          <w:rFonts w:hint="eastAsia" w:ascii="仿宋_GB2312" w:eastAsia="仿宋_GB2312"/>
          <w:color w:val="auto"/>
          <w:sz w:val="32"/>
          <w:szCs w:val="32"/>
        </w:rPr>
        <w:t>：指事业单位使用以前年度积累的非财政拨款结余弥补当年收支差额的金额。</w:t>
      </w:r>
      <w:r>
        <w:rPr>
          <w:rFonts w:ascii="仿宋_GB2312" w:eastAsia="仿宋_GB2312"/>
          <w:color w:val="auto"/>
          <w:sz w:val="32"/>
          <w:szCs w:val="32"/>
        </w:rPr>
        <w:t xml:space="preserve"> </w:t>
      </w:r>
    </w:p>
    <w:p>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结余分配：指事业单位按照会计制度规定缴纳的所得税、提取的专用结余以及转入非财政拨款结余的金额等。</w:t>
      </w:r>
    </w:p>
    <w:p>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rPr>
        <w:t>.年末结转和结余：指单位按有关规定结转到下年或以后年度继续使用的资金。</w:t>
      </w:r>
    </w:p>
    <w:p>
      <w:pPr>
        <w:ind w:firstLine="640" w:firstLineChars="200"/>
        <w:rPr>
          <w:rFonts w:ascii="仿宋_GB2312" w:eastAsia="仿宋_GB2312"/>
          <w:sz w:val="32"/>
          <w:szCs w:val="32"/>
        </w:rPr>
      </w:pPr>
      <w:r>
        <w:rPr>
          <w:rFonts w:ascii="仿宋_GB2312" w:eastAsia="仿宋_GB2312"/>
          <w:sz w:val="32"/>
          <w:szCs w:val="32"/>
        </w:rPr>
        <w:t>9.</w:t>
      </w:r>
      <w:r>
        <w:rPr>
          <w:rFonts w:hint="eastAsia" w:ascii="仿宋_GB2312" w:eastAsia="仿宋_GB2312"/>
          <w:sz w:val="32"/>
          <w:szCs w:val="32"/>
        </w:rPr>
        <w:t>一般公共服务</w:t>
      </w:r>
      <w:r>
        <w:rPr>
          <w:rStyle w:val="18"/>
          <w:rFonts w:hint="eastAsia" w:ascii="仿宋" w:hAnsi="仿宋" w:eastAsia="仿宋"/>
          <w:bCs/>
          <w:color w:val="000000"/>
          <w:sz w:val="32"/>
          <w:szCs w:val="32"/>
        </w:rPr>
        <w:t>一般公共服务</w:t>
      </w:r>
      <w:r>
        <w:rPr>
          <w:rStyle w:val="18"/>
          <w:rFonts w:hint="eastAsia" w:ascii="仿宋" w:hAnsi="仿宋" w:eastAsia="仿宋"/>
          <w:b w:val="0"/>
          <w:bCs/>
          <w:color w:val="000000"/>
          <w:sz w:val="32"/>
          <w:szCs w:val="32"/>
        </w:rPr>
        <w:t>（类）</w:t>
      </w:r>
      <w:r>
        <w:rPr>
          <w:rStyle w:val="18"/>
          <w:rFonts w:hint="eastAsia" w:ascii="仿宋" w:hAnsi="仿宋" w:eastAsia="仿宋"/>
          <w:bCs/>
          <w:color w:val="000000"/>
          <w:sz w:val="32"/>
          <w:szCs w:val="32"/>
        </w:rPr>
        <w:t>支出20103</w:t>
      </w:r>
      <w:r>
        <w:rPr>
          <w:rStyle w:val="18"/>
          <w:rFonts w:ascii="仿宋" w:hAnsi="仿宋" w:eastAsia="仿宋"/>
          <w:bCs/>
          <w:color w:val="000000"/>
          <w:sz w:val="32"/>
          <w:szCs w:val="32"/>
        </w:rPr>
        <w:t>:</w:t>
      </w:r>
      <w:r>
        <w:rPr>
          <w:rFonts w:hint="eastAsia" w:ascii="仿宋" w:hAnsi="仿宋" w:eastAsia="仿宋"/>
          <w:color w:val="000000"/>
          <w:sz w:val="32"/>
          <w:szCs w:val="32"/>
        </w:rPr>
        <w:t>是指主要用于保障机关事业单位正常运转，支持各机关单位履行职能，保障各机关部门的项目的支出。包括保障机构正常运转、完成日常和特定的工作任务或事业发展目标的支出。</w:t>
      </w:r>
    </w:p>
    <w:p>
      <w:pPr>
        <w:spacing w:line="560" w:lineRule="exact"/>
        <w:ind w:firstLine="642" w:firstLineChars="200"/>
        <w:rPr>
          <w:rFonts w:ascii="仿宋" w:hAnsi="仿宋" w:eastAsia="仿宋"/>
          <w:color w:val="000000"/>
          <w:sz w:val="32"/>
          <w:szCs w:val="32"/>
        </w:rPr>
      </w:pPr>
      <w:r>
        <w:rPr>
          <w:rStyle w:val="18"/>
          <w:rFonts w:hint="eastAsia" w:ascii="仿宋" w:hAnsi="仿宋" w:eastAsia="仿宋"/>
          <w:bCs/>
          <w:color w:val="000000"/>
          <w:sz w:val="32"/>
          <w:szCs w:val="32"/>
        </w:rPr>
        <w:t>10</w:t>
      </w:r>
      <w:r>
        <w:rPr>
          <w:rStyle w:val="18"/>
          <w:rFonts w:ascii="仿宋" w:hAnsi="仿宋" w:eastAsia="仿宋"/>
          <w:bCs/>
          <w:color w:val="000000"/>
          <w:sz w:val="32"/>
          <w:szCs w:val="32"/>
        </w:rPr>
        <w:t>.</w:t>
      </w:r>
      <w:r>
        <w:rPr>
          <w:rStyle w:val="18"/>
          <w:rFonts w:hint="eastAsia" w:ascii="仿宋" w:hAnsi="仿宋" w:eastAsia="仿宋"/>
          <w:bCs/>
          <w:color w:val="000000"/>
          <w:sz w:val="32"/>
          <w:szCs w:val="32"/>
        </w:rPr>
        <w:t>社会保障和就业（类）20802</w:t>
      </w:r>
      <w:r>
        <w:rPr>
          <w:rStyle w:val="18"/>
          <w:rFonts w:ascii="仿宋" w:hAnsi="仿宋" w:eastAsia="仿宋"/>
          <w:bCs/>
          <w:color w:val="000000"/>
          <w:sz w:val="32"/>
          <w:szCs w:val="32"/>
        </w:rPr>
        <w:t>:</w:t>
      </w:r>
      <w:r>
        <w:rPr>
          <w:rFonts w:hint="eastAsia" w:ascii="仿宋" w:hAnsi="仿宋" w:eastAsia="仿宋"/>
          <w:color w:val="000000"/>
          <w:sz w:val="32"/>
          <w:szCs w:val="32"/>
        </w:rPr>
        <w:t>是指用于社会保障和就业方面的支出，包括保障机构正常运转、完成日常和特定的工作任务或事业发展目标的支出。归口管理的行政单位离退休，指离退休人员管理机构统一管理的机关离退休人员的经费。</w:t>
      </w:r>
    </w:p>
    <w:p>
      <w:pPr>
        <w:spacing w:line="560" w:lineRule="exact"/>
        <w:ind w:firstLine="642" w:firstLineChars="200"/>
        <w:rPr>
          <w:rFonts w:ascii="仿宋" w:hAnsi="仿宋" w:eastAsia="仿宋"/>
          <w:color w:val="000000"/>
          <w:sz w:val="32"/>
          <w:szCs w:val="32"/>
        </w:rPr>
      </w:pPr>
      <w:r>
        <w:rPr>
          <w:rStyle w:val="18"/>
          <w:rFonts w:hint="eastAsia" w:ascii="仿宋" w:hAnsi="仿宋" w:eastAsia="仿宋"/>
          <w:bCs/>
          <w:color w:val="000000"/>
          <w:sz w:val="32"/>
          <w:szCs w:val="32"/>
        </w:rPr>
        <w:t>11</w:t>
      </w:r>
      <w:r>
        <w:rPr>
          <w:rStyle w:val="18"/>
          <w:rFonts w:ascii="仿宋" w:hAnsi="仿宋" w:eastAsia="仿宋"/>
          <w:bCs/>
          <w:color w:val="000000"/>
          <w:sz w:val="32"/>
          <w:szCs w:val="32"/>
        </w:rPr>
        <w:t>.</w:t>
      </w:r>
      <w:r>
        <w:rPr>
          <w:rFonts w:hint="eastAsia" w:ascii="仿宋" w:hAnsi="仿宋" w:eastAsia="仿宋"/>
          <w:b/>
          <w:bCs/>
          <w:color w:val="000000"/>
          <w:sz w:val="32"/>
          <w:szCs w:val="32"/>
        </w:rPr>
        <w:t>卫生健康</w:t>
      </w:r>
      <w:r>
        <w:rPr>
          <w:rStyle w:val="18"/>
          <w:rFonts w:hint="eastAsia" w:ascii="仿宋" w:hAnsi="仿宋" w:eastAsia="仿宋"/>
          <w:bCs/>
          <w:color w:val="000000"/>
          <w:sz w:val="32"/>
          <w:szCs w:val="32"/>
        </w:rPr>
        <w:t>（类）21004</w:t>
      </w:r>
      <w:r>
        <w:rPr>
          <w:rStyle w:val="18"/>
          <w:rFonts w:ascii="仿宋" w:hAnsi="仿宋" w:eastAsia="仿宋"/>
          <w:bCs/>
          <w:color w:val="000000"/>
          <w:sz w:val="32"/>
          <w:szCs w:val="32"/>
        </w:rPr>
        <w:t>:</w:t>
      </w:r>
      <w:r>
        <w:rPr>
          <w:rFonts w:hint="eastAsia" w:ascii="仿宋" w:hAnsi="仿宋" w:eastAsia="仿宋"/>
          <w:color w:val="000000"/>
          <w:sz w:val="32"/>
          <w:szCs w:val="32"/>
        </w:rPr>
        <w:t>是指用于医疗卫生与计划生育方面的支出，包括保障机构正常运转、完成日常和特定的工作任务或事业发展目标的支出。</w:t>
      </w:r>
    </w:p>
    <w:p>
      <w:pPr>
        <w:spacing w:line="560" w:lineRule="exact"/>
        <w:ind w:firstLine="642" w:firstLineChars="200"/>
        <w:rPr>
          <w:rFonts w:ascii="仿宋" w:hAnsi="仿宋" w:eastAsia="仿宋"/>
          <w:color w:val="000000"/>
          <w:sz w:val="32"/>
          <w:szCs w:val="32"/>
        </w:rPr>
      </w:pPr>
      <w:r>
        <w:rPr>
          <w:rFonts w:hint="eastAsia" w:ascii="仿宋" w:hAnsi="仿宋" w:eastAsia="仿宋"/>
          <w:b/>
          <w:bCs/>
          <w:color w:val="000000"/>
          <w:sz w:val="32"/>
          <w:szCs w:val="32"/>
        </w:rPr>
        <w:t>12.</w:t>
      </w:r>
      <w:r>
        <w:rPr>
          <w:rFonts w:hint="eastAsia" w:ascii="仿宋" w:hAnsi="仿宋" w:eastAsia="仿宋"/>
          <w:b/>
          <w:color w:val="000000"/>
          <w:sz w:val="32"/>
          <w:szCs w:val="32"/>
        </w:rPr>
        <w:t>住房保障支出</w:t>
      </w:r>
      <w:r>
        <w:rPr>
          <w:rStyle w:val="18"/>
          <w:rFonts w:hint="eastAsia" w:ascii="仿宋" w:hAnsi="仿宋" w:eastAsia="仿宋"/>
          <w:bCs/>
          <w:color w:val="000000"/>
          <w:sz w:val="32"/>
          <w:szCs w:val="32"/>
        </w:rPr>
        <w:t>（类）22102</w:t>
      </w:r>
      <w:r>
        <w:rPr>
          <w:rStyle w:val="18"/>
          <w:rFonts w:ascii="仿宋" w:hAnsi="仿宋" w:eastAsia="仿宋"/>
          <w:bCs/>
          <w:color w:val="000000"/>
          <w:sz w:val="32"/>
          <w:szCs w:val="32"/>
        </w:rPr>
        <w:t>:</w:t>
      </w:r>
      <w:r>
        <w:rPr>
          <w:rFonts w:hint="eastAsia" w:ascii="仿宋" w:hAnsi="仿宋" w:eastAsia="仿宋"/>
          <w:color w:val="000000"/>
          <w:sz w:val="32"/>
          <w:szCs w:val="32"/>
        </w:rPr>
        <w:t>是指用于住房.方面的支出，包括保障机构正常运转、完成日常和特定的工作任务或事业发展目村、的支出。</w:t>
      </w:r>
    </w:p>
    <w:p>
      <w:pPr>
        <w:spacing w:line="600" w:lineRule="exact"/>
        <w:ind w:firstLine="640"/>
        <w:rPr>
          <w:rFonts w:ascii="仿宋" w:hAnsi="仿宋" w:eastAsia="仿宋"/>
          <w:color w:val="000000"/>
          <w:sz w:val="32"/>
          <w:szCs w:val="32"/>
        </w:rPr>
      </w:pPr>
      <w:r>
        <w:rPr>
          <w:rFonts w:hint="eastAsia" w:ascii="仿宋" w:hAnsi="仿宋" w:eastAsia="仿宋"/>
          <w:b/>
          <w:bCs/>
          <w:color w:val="000000"/>
          <w:sz w:val="32"/>
          <w:szCs w:val="32"/>
        </w:rPr>
        <w:t>13.其他支出（类）22999</w:t>
      </w:r>
      <w:r>
        <w:rPr>
          <w:rFonts w:hint="eastAsia" w:ascii="仿宋" w:hAnsi="仿宋" w:eastAsia="仿宋"/>
          <w:color w:val="000000"/>
          <w:sz w:val="32"/>
          <w:szCs w:val="32"/>
        </w:rPr>
        <w:t>：是指用于不能划分到上述功能科目的其他政府支出。</w:t>
      </w:r>
    </w:p>
    <w:p>
      <w:pPr>
        <w:ind w:firstLine="640" w:firstLineChars="200"/>
        <w:rPr>
          <w:rFonts w:ascii="仿宋_GB2312" w:eastAsia="仿宋_GB2312"/>
          <w:sz w:val="32"/>
          <w:szCs w:val="32"/>
        </w:rPr>
      </w:pPr>
      <w:r>
        <w:rPr>
          <w:rFonts w:hint="eastAsia" w:ascii="仿宋_GB2312" w:eastAsia="仿宋_GB2312"/>
          <w:sz w:val="32"/>
          <w:szCs w:val="32"/>
        </w:rPr>
        <w:t>14</w:t>
      </w:r>
      <w:r>
        <w:rPr>
          <w:rFonts w:ascii="仿宋_GB2312" w:eastAsia="仿宋_GB2312"/>
          <w:sz w:val="32"/>
          <w:szCs w:val="32"/>
        </w:rPr>
        <w:t>.</w:t>
      </w:r>
      <w:r>
        <w:rPr>
          <w:rFonts w:hint="eastAsia" w:ascii="仿宋_GB2312" w:eastAsia="仿宋_GB2312"/>
          <w:sz w:val="32"/>
          <w:szCs w:val="32"/>
        </w:rPr>
        <w:t>基本支出：指为保障机构正常运转、完成日常工作任务而发生的人员支出和公用支出。</w:t>
      </w:r>
    </w:p>
    <w:p>
      <w:pPr>
        <w:ind w:firstLine="640" w:firstLineChars="200"/>
        <w:rPr>
          <w:rFonts w:ascii="仿宋_GB2312" w:eastAsia="仿宋_GB2312"/>
          <w:sz w:val="32"/>
          <w:szCs w:val="32"/>
        </w:rPr>
      </w:pPr>
      <w:r>
        <w:rPr>
          <w:rFonts w:hint="eastAsia" w:ascii="仿宋_GB2312" w:eastAsia="仿宋_GB2312"/>
          <w:sz w:val="32"/>
          <w:szCs w:val="32"/>
        </w:rPr>
        <w:t>15</w:t>
      </w:r>
      <w:r>
        <w:rPr>
          <w:rFonts w:ascii="仿宋_GB2312" w:eastAsia="仿宋_GB2312"/>
          <w:sz w:val="32"/>
          <w:szCs w:val="32"/>
        </w:rPr>
        <w:t>.</w:t>
      </w:r>
      <w:r>
        <w:rPr>
          <w:rFonts w:hint="eastAsia" w:ascii="仿宋_GB2312" w:eastAsia="仿宋_GB2312"/>
          <w:sz w:val="32"/>
          <w:szCs w:val="32"/>
        </w:rPr>
        <w:t>项目支出：指在基本支出之外为完成特定行政任务和事业发展目标所发生的支出。</w:t>
      </w:r>
      <w:r>
        <w:rPr>
          <w:rFonts w:ascii="仿宋_GB2312" w:eastAsia="仿宋_GB2312"/>
          <w:sz w:val="32"/>
          <w:szCs w:val="32"/>
        </w:rPr>
        <w:t xml:space="preserve"> </w:t>
      </w:r>
    </w:p>
    <w:p>
      <w:pPr>
        <w:ind w:firstLine="640" w:firstLineChars="200"/>
        <w:rPr>
          <w:rFonts w:ascii="仿宋_GB2312" w:eastAsia="仿宋_GB2312"/>
          <w:sz w:val="32"/>
          <w:szCs w:val="32"/>
        </w:rPr>
      </w:pPr>
      <w:r>
        <w:rPr>
          <w:rFonts w:hint="eastAsia" w:ascii="仿宋_GB2312" w:eastAsia="仿宋_GB2312"/>
          <w:sz w:val="32"/>
          <w:szCs w:val="32"/>
        </w:rPr>
        <w:t>16</w:t>
      </w:r>
      <w:r>
        <w:rPr>
          <w:rFonts w:ascii="仿宋_GB2312" w:eastAsia="仿宋_GB2312"/>
          <w:sz w:val="32"/>
          <w:szCs w:val="32"/>
        </w:rPr>
        <w:t>.</w:t>
      </w:r>
      <w:r>
        <w:rPr>
          <w:rFonts w:hint="eastAsia" w:ascii="仿宋_GB2312" w:eastAsia="仿宋_GB2312"/>
          <w:sz w:val="32"/>
          <w:szCs w:val="32"/>
        </w:rPr>
        <w:t>经营支出：指事业单位在专业业务活动及其辅助活动之外开展非独立核算经营活动发生的支出。</w:t>
      </w:r>
    </w:p>
    <w:p>
      <w:pPr>
        <w:pStyle w:val="26"/>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17</w:t>
      </w:r>
      <w:r>
        <w:rPr>
          <w:rFonts w:ascii="仿宋_GB2312" w:eastAsia="仿宋_GB2312"/>
          <w:color w:val="auto"/>
          <w:sz w:val="32"/>
          <w:szCs w:val="32"/>
        </w:rPr>
        <w:t>.</w:t>
      </w:r>
      <w:r>
        <w:rPr>
          <w:rFonts w:hint="eastAsia" w:ascii="仿宋_GB2312" w:eastAsia="仿宋_GB2312"/>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6"/>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18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26"/>
        <w:spacing w:line="560" w:lineRule="exact"/>
        <w:ind w:firstLine="640" w:firstLineChars="200"/>
        <w:rPr>
          <w:rFonts w:ascii="仿宋_GB2312" w:eastAsia="仿宋_GB2312" w:cs="黑体"/>
          <w:color w:val="auto"/>
          <w:sz w:val="32"/>
          <w:szCs w:val="32"/>
        </w:rPr>
      </w:pPr>
    </w:p>
    <w:p>
      <w:pPr>
        <w:ind w:firstLine="642" w:firstLineChars="200"/>
        <w:rPr>
          <w:rFonts w:ascii="仿宋" w:hAnsi="仿宋" w:eastAsia="仿宋"/>
          <w:b/>
          <w:sz w:val="32"/>
          <w:szCs w:val="32"/>
        </w:rPr>
      </w:pPr>
      <w:r>
        <w:rPr>
          <w:rFonts w:hint="eastAsia" w:ascii="仿宋" w:hAnsi="仿宋" w:eastAsia="仿宋"/>
          <w:b/>
          <w:sz w:val="32"/>
          <w:szCs w:val="32"/>
        </w:rPr>
        <w:t>（名词解释部分请根据各单位实际列支情况罗列，并根据本单位职责职能增减名词解释内容。）</w:t>
      </w:r>
    </w:p>
    <w:p>
      <w:pPr>
        <w:numPr>
          <w:ilvl w:val="0"/>
          <w:numId w:val="5"/>
        </w:numPr>
        <w:spacing w:line="600" w:lineRule="exact"/>
        <w:ind w:left="0" w:firstLine="662" w:firstLineChars="150"/>
        <w:jc w:val="center"/>
        <w:outlineLvl w:val="0"/>
        <w:rPr>
          <w:rStyle w:val="20"/>
          <w:rFonts w:ascii="黑体" w:hAnsi="黑体" w:eastAsia="黑体"/>
          <w:b w:val="0"/>
        </w:rPr>
      </w:pPr>
      <w:bookmarkStart w:id="78" w:name="_Toc15377226"/>
      <w:r>
        <w:rPr>
          <w:rFonts w:ascii="宋体"/>
          <w:b/>
          <w:sz w:val="44"/>
          <w:szCs w:val="44"/>
        </w:rPr>
        <w:br w:type="page"/>
      </w:r>
      <w:bookmarkStart w:id="79" w:name="_Toc15396614"/>
      <w:bookmarkStart w:id="80" w:name="_Toc688764470"/>
      <w:r>
        <w:rPr>
          <w:rStyle w:val="20"/>
          <w:rFonts w:hint="eastAsia" w:ascii="黑体" w:hAnsi="黑体" w:eastAsia="黑体"/>
          <w:b w:val="0"/>
        </w:rPr>
        <w:t>附件</w:t>
      </w:r>
      <w:bookmarkEnd w:id="79"/>
      <w:bookmarkEnd w:id="80"/>
    </w:p>
    <w:p>
      <w:pPr>
        <w:outlineLvl w:val="1"/>
        <w:rPr>
          <w:rFonts w:ascii="黑体" w:hAnsi="黑体" w:eastAsia="黑体"/>
          <w:sz w:val="32"/>
          <w:szCs w:val="32"/>
        </w:rPr>
      </w:pPr>
    </w:p>
    <w:p>
      <w:pPr>
        <w:outlineLvl w:val="1"/>
        <w:rPr>
          <w:rFonts w:ascii="黑体" w:hAnsi="黑体" w:eastAsia="黑体"/>
          <w:sz w:val="32"/>
          <w:szCs w:val="32"/>
        </w:rPr>
      </w:pPr>
      <w:bookmarkStart w:id="81" w:name="_Toc1658112411"/>
      <w:r>
        <w:rPr>
          <w:rFonts w:hint="eastAsia" w:ascii="黑体" w:hAnsi="黑体" w:eastAsia="黑体"/>
          <w:sz w:val="32"/>
          <w:szCs w:val="32"/>
        </w:rPr>
        <w:t>附件1：</w:t>
      </w:r>
      <w:r>
        <w:rPr>
          <w:rFonts w:hint="eastAsia" w:ascii="仿宋_GB2312" w:hAnsi="Calibri" w:eastAsia="仿宋_GB2312" w:cs="仿宋"/>
          <w:kern w:val="0"/>
          <w:sz w:val="32"/>
          <w:szCs w:val="32"/>
        </w:rPr>
        <w:t>202</w:t>
      </w:r>
      <w:r>
        <w:rPr>
          <w:rFonts w:ascii="仿宋_GB2312" w:hAnsi="Calibri" w:eastAsia="仿宋_GB2312" w:cs="仿宋"/>
          <w:kern w:val="0"/>
          <w:sz w:val="32"/>
          <w:szCs w:val="32"/>
        </w:rPr>
        <w:t>5</w:t>
      </w:r>
      <w:r>
        <w:rPr>
          <w:rFonts w:hint="eastAsia" w:ascii="仿宋_GB2312" w:hAnsi="Calibri" w:eastAsia="仿宋_GB2312" w:cs="仿宋"/>
          <w:kern w:val="0"/>
          <w:sz w:val="32"/>
          <w:szCs w:val="32"/>
        </w:rPr>
        <w:t>部门预算绩效评价报告</w:t>
      </w:r>
      <w:bookmarkEnd w:id="81"/>
    </w:p>
    <w:p>
      <w:pPr>
        <w:rPr>
          <w:rFonts w:ascii="仿宋_GB2312" w:hAnsi="Calibri" w:eastAsia="仿宋_GB2312" w:cs="仿宋"/>
          <w:kern w:val="0"/>
          <w:sz w:val="32"/>
          <w:szCs w:val="32"/>
        </w:rPr>
      </w:pPr>
      <w:r>
        <w:rPr>
          <w:rFonts w:hint="eastAsia" w:ascii="黑体" w:hAnsi="黑体" w:eastAsia="黑体"/>
          <w:sz w:val="32"/>
          <w:szCs w:val="32"/>
        </w:rPr>
        <w:t>附件2：</w:t>
      </w:r>
      <w:r>
        <w:rPr>
          <w:rFonts w:hint="eastAsia" w:ascii="仿宋_GB2312" w:hAnsi="Calibri" w:eastAsia="仿宋_GB2312" w:cs="仿宋"/>
          <w:kern w:val="0"/>
          <w:sz w:val="32"/>
          <w:szCs w:val="32"/>
        </w:rPr>
        <w:t>专项预算项目绩效评价报告</w:t>
      </w:r>
    </w:p>
    <w:p>
      <w:pPr>
        <w:rPr>
          <w:rFonts w:eastAsia="仿宋_GB2312"/>
          <w:sz w:val="32"/>
          <w:szCs w:val="32"/>
          <w:lang w:val="zh-CN"/>
        </w:rPr>
      </w:pPr>
    </w:p>
    <w:p>
      <w:pPr>
        <w:spacing w:line="572" w:lineRule="exact"/>
        <w:jc w:val="left"/>
        <w:rPr>
          <w:rFonts w:ascii="仿宋_GB2312" w:hAnsi="仿宋_GB2312" w:eastAsia="仿宋_GB2312" w:cs="仿宋_GB2312"/>
          <w:sz w:val="32"/>
          <w:szCs w:val="32"/>
        </w:rPr>
      </w:pPr>
    </w:p>
    <w:p>
      <w:pPr>
        <w:pStyle w:val="6"/>
        <w:spacing w:before="30" w:beforeLines="0"/>
        <w:rPr>
          <w:rFonts w:hAnsi="Calibri" w:cs="仿宋"/>
          <w:sz w:val="32"/>
          <w:szCs w:val="32"/>
        </w:rPr>
      </w:pPr>
      <w:bookmarkStart w:id="82" w:name="_Toc15396618"/>
    </w:p>
    <w:p>
      <w:pPr>
        <w:pStyle w:val="6"/>
        <w:spacing w:before="30" w:beforeLines="0"/>
        <w:rPr>
          <w:rFonts w:hAnsi="Calibri" w:cs="仿宋"/>
          <w:sz w:val="32"/>
          <w:szCs w:val="32"/>
        </w:rPr>
      </w:pPr>
    </w:p>
    <w:p>
      <w:pPr>
        <w:pStyle w:val="6"/>
        <w:spacing w:before="30" w:beforeLines="0"/>
        <w:rPr>
          <w:rFonts w:hAnsi="Calibri" w:cs="仿宋"/>
          <w:sz w:val="32"/>
          <w:szCs w:val="32"/>
        </w:rPr>
      </w:pPr>
    </w:p>
    <w:p>
      <w:pPr>
        <w:pStyle w:val="6"/>
        <w:spacing w:before="30" w:beforeLines="0"/>
        <w:rPr>
          <w:rFonts w:hAnsi="Calibri" w:cs="仿宋"/>
          <w:sz w:val="32"/>
          <w:szCs w:val="32"/>
        </w:rPr>
      </w:pPr>
    </w:p>
    <w:p>
      <w:pPr>
        <w:pStyle w:val="6"/>
        <w:spacing w:before="30" w:beforeLines="0"/>
        <w:rPr>
          <w:rFonts w:hAnsi="Calibri" w:cs="仿宋"/>
          <w:sz w:val="32"/>
          <w:szCs w:val="32"/>
        </w:rPr>
      </w:pPr>
    </w:p>
    <w:p>
      <w:pPr>
        <w:pStyle w:val="6"/>
        <w:spacing w:before="30" w:beforeLines="0"/>
        <w:rPr>
          <w:rFonts w:hAnsi="Calibri" w:cs="仿宋"/>
          <w:sz w:val="32"/>
          <w:szCs w:val="32"/>
        </w:rPr>
      </w:pPr>
    </w:p>
    <w:p>
      <w:pPr>
        <w:pStyle w:val="6"/>
        <w:spacing w:before="30" w:beforeLines="0"/>
        <w:rPr>
          <w:rFonts w:hAnsi="Calibri" w:cs="仿宋"/>
          <w:sz w:val="32"/>
          <w:szCs w:val="32"/>
        </w:rPr>
      </w:pPr>
    </w:p>
    <w:p>
      <w:pPr>
        <w:pStyle w:val="6"/>
        <w:spacing w:before="30" w:beforeLines="0"/>
        <w:rPr>
          <w:rFonts w:hAnsi="Calibri" w:cs="仿宋"/>
          <w:sz w:val="32"/>
          <w:szCs w:val="32"/>
        </w:rPr>
      </w:pPr>
    </w:p>
    <w:p>
      <w:pPr>
        <w:pStyle w:val="6"/>
        <w:spacing w:before="30" w:beforeLines="0"/>
        <w:rPr>
          <w:rFonts w:hAnsi="Calibri" w:cs="仿宋"/>
          <w:sz w:val="32"/>
          <w:szCs w:val="32"/>
        </w:rPr>
      </w:pPr>
    </w:p>
    <w:p>
      <w:pPr>
        <w:pStyle w:val="6"/>
        <w:spacing w:before="30" w:beforeLines="0"/>
        <w:rPr>
          <w:rFonts w:hAnsi="Calibri" w:cs="仿宋"/>
          <w:sz w:val="32"/>
          <w:szCs w:val="32"/>
        </w:rPr>
      </w:pPr>
    </w:p>
    <w:p>
      <w:pPr>
        <w:pStyle w:val="6"/>
        <w:spacing w:before="30" w:beforeLines="0"/>
        <w:rPr>
          <w:rFonts w:hAnsi="Calibri" w:cs="仿宋"/>
          <w:sz w:val="32"/>
          <w:szCs w:val="32"/>
        </w:rPr>
      </w:pPr>
    </w:p>
    <w:p>
      <w:pPr>
        <w:pStyle w:val="6"/>
        <w:spacing w:before="30" w:beforeLines="0"/>
        <w:rPr>
          <w:rFonts w:hAnsi="Calibri" w:cs="仿宋"/>
          <w:sz w:val="32"/>
          <w:szCs w:val="32"/>
        </w:rPr>
      </w:pPr>
    </w:p>
    <w:p>
      <w:pPr>
        <w:pStyle w:val="6"/>
        <w:spacing w:before="30" w:beforeLines="0"/>
        <w:rPr>
          <w:rFonts w:hAnsi="Calibri" w:cs="仿宋"/>
          <w:sz w:val="32"/>
          <w:szCs w:val="32"/>
        </w:rPr>
      </w:pPr>
    </w:p>
    <w:p>
      <w:pPr>
        <w:pStyle w:val="6"/>
        <w:spacing w:before="30" w:beforeLines="0"/>
        <w:rPr>
          <w:rFonts w:hAnsi="Calibri" w:cs="仿宋"/>
          <w:sz w:val="32"/>
          <w:szCs w:val="32"/>
        </w:rPr>
      </w:pPr>
    </w:p>
    <w:p>
      <w:pPr>
        <w:pStyle w:val="6"/>
        <w:spacing w:before="30" w:beforeLines="0"/>
        <w:rPr>
          <w:rFonts w:hAnsi="Calibri" w:cs="仿宋"/>
          <w:sz w:val="32"/>
          <w:szCs w:val="32"/>
        </w:rPr>
      </w:pPr>
    </w:p>
    <w:p>
      <w:pPr>
        <w:spacing w:line="600" w:lineRule="exact"/>
        <w:jc w:val="center"/>
        <w:outlineLvl w:val="0"/>
        <w:rPr>
          <w:rFonts w:ascii="黑体" w:hAnsi="黑体" w:eastAsia="黑体"/>
          <w:sz w:val="44"/>
          <w:szCs w:val="44"/>
        </w:rPr>
      </w:pPr>
    </w:p>
    <w:p>
      <w:pPr>
        <w:spacing w:line="600" w:lineRule="exact"/>
        <w:jc w:val="center"/>
        <w:outlineLvl w:val="0"/>
        <w:rPr>
          <w:rFonts w:ascii="仿宋" w:hAnsi="仿宋" w:eastAsia="仿宋"/>
        </w:rPr>
      </w:pPr>
      <w:bookmarkStart w:id="83" w:name="_Toc1608402207"/>
      <w:r>
        <w:rPr>
          <w:rFonts w:hint="eastAsia" w:ascii="黑体" w:hAnsi="黑体" w:eastAsia="黑体"/>
          <w:sz w:val="44"/>
          <w:szCs w:val="44"/>
        </w:rPr>
        <w:t>第</w:t>
      </w:r>
      <w:r>
        <w:rPr>
          <w:rStyle w:val="20"/>
          <w:rFonts w:hint="eastAsia" w:ascii="黑体" w:hAnsi="黑体" w:eastAsia="黑体"/>
          <w:b w:val="0"/>
        </w:rPr>
        <w:t>五部分 附表</w:t>
      </w:r>
      <w:bookmarkEnd w:id="78"/>
      <w:bookmarkEnd w:id="82"/>
      <w:bookmarkEnd w:id="83"/>
      <w:bookmarkStart w:id="84" w:name="_Toc15396619"/>
    </w:p>
    <w:p>
      <w:pPr>
        <w:pStyle w:val="3"/>
        <w:rPr>
          <w:rFonts w:ascii="仿宋" w:hAnsi="仿宋" w:eastAsia="仿宋"/>
        </w:rPr>
      </w:pPr>
      <w:bookmarkStart w:id="85" w:name="_Toc1175826872"/>
      <w:r>
        <w:rPr>
          <w:rFonts w:hint="eastAsia" w:ascii="仿宋" w:hAnsi="仿宋" w:eastAsia="仿宋"/>
          <w:b w:val="0"/>
        </w:rPr>
        <w:t>一、收</w:t>
      </w:r>
      <w:r>
        <w:rPr>
          <w:rStyle w:val="21"/>
          <w:rFonts w:hint="eastAsia" w:ascii="仿宋" w:hAnsi="仿宋" w:eastAsia="仿宋"/>
          <w:b w:val="0"/>
          <w:bCs w:val="0"/>
        </w:rPr>
        <w:t>入支出决算总表</w:t>
      </w:r>
      <w:bookmarkEnd w:id="84"/>
      <w:bookmarkEnd w:id="85"/>
    </w:p>
    <w:p>
      <w:pPr>
        <w:pStyle w:val="3"/>
        <w:rPr>
          <w:rFonts w:ascii="仿宋" w:hAnsi="仿宋" w:eastAsia="仿宋"/>
        </w:rPr>
      </w:pPr>
      <w:bookmarkStart w:id="86" w:name="_Toc1972986041"/>
      <w:bookmarkStart w:id="87" w:name="_Toc15396620"/>
      <w:r>
        <w:rPr>
          <w:rFonts w:hint="eastAsia" w:ascii="仿宋" w:hAnsi="仿宋" w:eastAsia="仿宋"/>
          <w:b w:val="0"/>
        </w:rPr>
        <w:t>二、收</w:t>
      </w:r>
      <w:r>
        <w:rPr>
          <w:rStyle w:val="21"/>
          <w:rFonts w:hint="eastAsia" w:ascii="仿宋" w:hAnsi="仿宋" w:eastAsia="仿宋"/>
          <w:b w:val="0"/>
          <w:bCs w:val="0"/>
        </w:rPr>
        <w:t>入决算表</w:t>
      </w:r>
      <w:bookmarkEnd w:id="86"/>
      <w:bookmarkEnd w:id="87"/>
    </w:p>
    <w:p>
      <w:pPr>
        <w:pStyle w:val="3"/>
        <w:rPr>
          <w:rFonts w:ascii="仿宋" w:hAnsi="仿宋" w:eastAsia="仿宋"/>
        </w:rPr>
      </w:pPr>
      <w:bookmarkStart w:id="88" w:name="_Toc2127605434"/>
      <w:bookmarkStart w:id="89" w:name="_Toc15396621"/>
      <w:r>
        <w:rPr>
          <w:rStyle w:val="21"/>
          <w:rFonts w:hint="eastAsia" w:ascii="仿宋" w:hAnsi="仿宋" w:eastAsia="仿宋"/>
          <w:b w:val="0"/>
          <w:bCs w:val="0"/>
        </w:rPr>
        <w:t>三、</w:t>
      </w:r>
      <w:r>
        <w:rPr>
          <w:rFonts w:hint="eastAsia" w:ascii="仿宋" w:hAnsi="仿宋" w:eastAsia="仿宋"/>
          <w:b w:val="0"/>
        </w:rPr>
        <w:t>支</w:t>
      </w:r>
      <w:r>
        <w:rPr>
          <w:rStyle w:val="21"/>
          <w:rFonts w:hint="eastAsia" w:ascii="仿宋" w:hAnsi="仿宋" w:eastAsia="仿宋"/>
          <w:b w:val="0"/>
          <w:bCs w:val="0"/>
        </w:rPr>
        <w:t>出决算表</w:t>
      </w:r>
      <w:bookmarkEnd w:id="88"/>
      <w:bookmarkEnd w:id="89"/>
    </w:p>
    <w:p>
      <w:pPr>
        <w:pStyle w:val="3"/>
        <w:rPr>
          <w:rFonts w:ascii="仿宋" w:hAnsi="仿宋" w:eastAsia="仿宋"/>
          <w:b w:val="0"/>
        </w:rPr>
      </w:pPr>
      <w:bookmarkStart w:id="90" w:name="_Toc1782738247"/>
      <w:bookmarkStart w:id="91" w:name="_Toc15396622"/>
      <w:r>
        <w:rPr>
          <w:rStyle w:val="21"/>
          <w:rFonts w:hint="eastAsia" w:ascii="仿宋" w:hAnsi="仿宋" w:eastAsia="仿宋"/>
          <w:b w:val="0"/>
          <w:bCs w:val="0"/>
        </w:rPr>
        <w:t>四、</w:t>
      </w:r>
      <w:r>
        <w:rPr>
          <w:rFonts w:hint="eastAsia" w:ascii="仿宋" w:hAnsi="仿宋" w:eastAsia="仿宋"/>
          <w:b w:val="0"/>
        </w:rPr>
        <w:t>财</w:t>
      </w:r>
      <w:r>
        <w:rPr>
          <w:rStyle w:val="21"/>
          <w:rFonts w:hint="eastAsia" w:ascii="仿宋" w:hAnsi="仿宋" w:eastAsia="仿宋"/>
          <w:b w:val="0"/>
          <w:bCs w:val="0"/>
        </w:rPr>
        <w:t>政拨款收入支出决算总表</w:t>
      </w:r>
      <w:bookmarkEnd w:id="90"/>
      <w:bookmarkEnd w:id="91"/>
    </w:p>
    <w:p>
      <w:pPr>
        <w:pStyle w:val="3"/>
        <w:rPr>
          <w:rStyle w:val="21"/>
          <w:rFonts w:ascii="仿宋" w:hAnsi="仿宋" w:eastAsia="仿宋"/>
          <w:b w:val="0"/>
          <w:bCs w:val="0"/>
        </w:rPr>
      </w:pPr>
      <w:bookmarkStart w:id="92" w:name="_Toc69399459"/>
      <w:bookmarkStart w:id="93" w:name="_Toc15396623"/>
      <w:r>
        <w:rPr>
          <w:rStyle w:val="21"/>
          <w:rFonts w:hint="eastAsia" w:ascii="仿宋" w:hAnsi="仿宋" w:eastAsia="仿宋"/>
          <w:b w:val="0"/>
          <w:bCs w:val="0"/>
        </w:rPr>
        <w:t>五、</w:t>
      </w:r>
      <w:r>
        <w:rPr>
          <w:rFonts w:hint="eastAsia" w:ascii="仿宋" w:hAnsi="仿宋" w:eastAsia="仿宋"/>
          <w:b w:val="0"/>
        </w:rPr>
        <w:t>财</w:t>
      </w:r>
      <w:r>
        <w:rPr>
          <w:rStyle w:val="21"/>
          <w:rFonts w:hint="eastAsia" w:ascii="仿宋" w:hAnsi="仿宋" w:eastAsia="仿宋"/>
          <w:b w:val="0"/>
          <w:bCs w:val="0"/>
        </w:rPr>
        <w:t>政拨款支出决算明细表</w:t>
      </w:r>
      <w:bookmarkEnd w:id="92"/>
      <w:bookmarkEnd w:id="93"/>
      <w:bookmarkStart w:id="94" w:name="_Toc15396624"/>
    </w:p>
    <w:p>
      <w:pPr>
        <w:pStyle w:val="3"/>
        <w:rPr>
          <w:rFonts w:ascii="仿宋" w:hAnsi="仿宋" w:eastAsia="仿宋"/>
        </w:rPr>
      </w:pPr>
      <w:bookmarkStart w:id="95" w:name="_Toc104397388"/>
      <w:r>
        <w:rPr>
          <w:rStyle w:val="21"/>
          <w:rFonts w:hint="eastAsia" w:ascii="仿宋" w:hAnsi="仿宋" w:eastAsia="仿宋"/>
          <w:b w:val="0"/>
          <w:bCs w:val="0"/>
        </w:rPr>
        <w:t>六、</w:t>
      </w:r>
      <w:r>
        <w:rPr>
          <w:rFonts w:hint="eastAsia" w:ascii="仿宋" w:hAnsi="仿宋" w:eastAsia="仿宋"/>
          <w:b w:val="0"/>
        </w:rPr>
        <w:t>一</w:t>
      </w:r>
      <w:r>
        <w:rPr>
          <w:rStyle w:val="21"/>
          <w:rFonts w:hint="eastAsia" w:ascii="仿宋" w:hAnsi="仿宋" w:eastAsia="仿宋"/>
          <w:b w:val="0"/>
          <w:bCs w:val="0"/>
        </w:rPr>
        <w:t>般公共预算财政拨款支出决算表</w:t>
      </w:r>
      <w:bookmarkEnd w:id="94"/>
      <w:bookmarkEnd w:id="95"/>
    </w:p>
    <w:p>
      <w:pPr>
        <w:pStyle w:val="3"/>
        <w:rPr>
          <w:rFonts w:ascii="仿宋" w:hAnsi="仿宋" w:eastAsia="仿宋"/>
        </w:rPr>
      </w:pPr>
      <w:bookmarkStart w:id="96" w:name="_Toc1492831847"/>
      <w:bookmarkStart w:id="97" w:name="_Toc15396625"/>
      <w:r>
        <w:rPr>
          <w:rStyle w:val="21"/>
          <w:rFonts w:hint="eastAsia" w:ascii="仿宋" w:hAnsi="仿宋" w:eastAsia="仿宋"/>
          <w:b w:val="0"/>
          <w:bCs w:val="0"/>
        </w:rPr>
        <w:t>七、</w:t>
      </w:r>
      <w:r>
        <w:rPr>
          <w:rFonts w:hint="eastAsia" w:ascii="仿宋" w:hAnsi="仿宋" w:eastAsia="仿宋"/>
          <w:b w:val="0"/>
        </w:rPr>
        <w:t>一</w:t>
      </w:r>
      <w:r>
        <w:rPr>
          <w:rStyle w:val="21"/>
          <w:rFonts w:hint="eastAsia" w:ascii="仿宋" w:hAnsi="仿宋" w:eastAsia="仿宋"/>
          <w:b w:val="0"/>
          <w:bCs w:val="0"/>
        </w:rPr>
        <w:t>般公共预算财政拨款支出决算明细表</w:t>
      </w:r>
      <w:bookmarkEnd w:id="96"/>
      <w:bookmarkEnd w:id="97"/>
    </w:p>
    <w:p>
      <w:pPr>
        <w:pStyle w:val="3"/>
        <w:rPr>
          <w:rFonts w:ascii="仿宋" w:hAnsi="仿宋" w:eastAsia="仿宋"/>
        </w:rPr>
      </w:pPr>
      <w:bookmarkStart w:id="98" w:name="_Toc670421470"/>
      <w:bookmarkStart w:id="99" w:name="_Toc15396626"/>
      <w:r>
        <w:rPr>
          <w:rStyle w:val="21"/>
          <w:rFonts w:hint="eastAsia" w:ascii="仿宋" w:hAnsi="仿宋" w:eastAsia="仿宋"/>
          <w:b w:val="0"/>
          <w:bCs w:val="0"/>
        </w:rPr>
        <w:t>八、</w:t>
      </w:r>
      <w:r>
        <w:rPr>
          <w:rFonts w:hint="eastAsia" w:ascii="仿宋" w:hAnsi="仿宋" w:eastAsia="仿宋"/>
          <w:b w:val="0"/>
        </w:rPr>
        <w:t>一</w:t>
      </w:r>
      <w:r>
        <w:rPr>
          <w:rStyle w:val="21"/>
          <w:rFonts w:hint="eastAsia" w:ascii="仿宋" w:hAnsi="仿宋" w:eastAsia="仿宋"/>
          <w:b w:val="0"/>
          <w:bCs w:val="0"/>
        </w:rPr>
        <w:t>般公共预算财政拨款基本支出决算表</w:t>
      </w:r>
      <w:bookmarkEnd w:id="98"/>
      <w:bookmarkEnd w:id="99"/>
    </w:p>
    <w:p>
      <w:pPr>
        <w:pStyle w:val="3"/>
        <w:rPr>
          <w:rFonts w:ascii="仿宋" w:hAnsi="仿宋" w:eastAsia="仿宋"/>
        </w:rPr>
      </w:pPr>
      <w:bookmarkStart w:id="100" w:name="_Toc1737988454"/>
      <w:bookmarkStart w:id="101" w:name="_Toc15396627"/>
      <w:r>
        <w:rPr>
          <w:rStyle w:val="21"/>
          <w:rFonts w:hint="eastAsia" w:ascii="仿宋" w:hAnsi="仿宋" w:eastAsia="仿宋"/>
          <w:b w:val="0"/>
          <w:bCs w:val="0"/>
        </w:rPr>
        <w:t>九、</w:t>
      </w:r>
      <w:r>
        <w:rPr>
          <w:rFonts w:hint="eastAsia" w:ascii="仿宋" w:hAnsi="仿宋" w:eastAsia="仿宋"/>
          <w:b w:val="0"/>
        </w:rPr>
        <w:t>一</w:t>
      </w:r>
      <w:r>
        <w:rPr>
          <w:rStyle w:val="21"/>
          <w:rFonts w:hint="eastAsia" w:ascii="仿宋" w:hAnsi="仿宋" w:eastAsia="仿宋"/>
          <w:b w:val="0"/>
          <w:bCs w:val="0"/>
        </w:rPr>
        <w:t>般公共预算财政拨款项目支出决算表</w:t>
      </w:r>
      <w:bookmarkEnd w:id="100"/>
      <w:bookmarkEnd w:id="101"/>
    </w:p>
    <w:p>
      <w:pPr>
        <w:pStyle w:val="3"/>
        <w:rPr>
          <w:rFonts w:ascii="仿宋" w:hAnsi="仿宋" w:eastAsia="仿宋"/>
        </w:rPr>
      </w:pPr>
      <w:bookmarkStart w:id="102" w:name="_Toc15396628"/>
      <w:bookmarkStart w:id="103" w:name="_Toc1106697630"/>
      <w:r>
        <w:rPr>
          <w:rStyle w:val="21"/>
          <w:rFonts w:hint="eastAsia" w:ascii="仿宋" w:hAnsi="仿宋" w:eastAsia="仿宋"/>
          <w:b w:val="0"/>
          <w:bCs w:val="0"/>
        </w:rPr>
        <w:t>十、</w:t>
      </w:r>
      <w:bookmarkEnd w:id="102"/>
      <w:r>
        <w:rPr>
          <w:rFonts w:hint="eastAsia" w:ascii="仿宋" w:hAnsi="仿宋" w:eastAsia="仿宋"/>
          <w:b w:val="0"/>
        </w:rPr>
        <w:t>政</w:t>
      </w:r>
      <w:r>
        <w:rPr>
          <w:rStyle w:val="21"/>
          <w:rFonts w:hint="eastAsia" w:ascii="仿宋" w:hAnsi="仿宋" w:eastAsia="仿宋"/>
          <w:b w:val="0"/>
          <w:bCs w:val="0"/>
        </w:rPr>
        <w:t>府性基金预算财政拨款收入支出决算表</w:t>
      </w:r>
      <w:bookmarkEnd w:id="103"/>
    </w:p>
    <w:p>
      <w:pPr>
        <w:pStyle w:val="3"/>
        <w:rPr>
          <w:rFonts w:ascii="仿宋" w:hAnsi="仿宋" w:eastAsia="仿宋"/>
        </w:rPr>
      </w:pPr>
      <w:bookmarkStart w:id="104" w:name="_Toc15396629"/>
      <w:bookmarkStart w:id="105" w:name="_Toc1390726622"/>
      <w:r>
        <w:rPr>
          <w:rStyle w:val="21"/>
          <w:rFonts w:hint="eastAsia" w:ascii="仿宋" w:hAnsi="仿宋" w:eastAsia="仿宋"/>
          <w:b w:val="0"/>
          <w:bCs w:val="0"/>
        </w:rPr>
        <w:t>十一、</w:t>
      </w:r>
      <w:bookmarkEnd w:id="104"/>
      <w:r>
        <w:rPr>
          <w:rFonts w:hint="eastAsia" w:ascii="仿宋" w:hAnsi="仿宋" w:eastAsia="仿宋"/>
          <w:b w:val="0"/>
        </w:rPr>
        <w:t>国</w:t>
      </w:r>
      <w:r>
        <w:rPr>
          <w:rStyle w:val="21"/>
          <w:rFonts w:hint="eastAsia" w:ascii="仿宋" w:hAnsi="仿宋" w:eastAsia="仿宋"/>
          <w:b w:val="0"/>
          <w:bCs w:val="0"/>
        </w:rPr>
        <w:t>有资本经营预算财政拨款收入支出决算表</w:t>
      </w:r>
      <w:bookmarkEnd w:id="105"/>
    </w:p>
    <w:p>
      <w:pPr>
        <w:pStyle w:val="3"/>
        <w:rPr>
          <w:rFonts w:ascii="仿宋" w:hAnsi="仿宋" w:eastAsia="仿宋"/>
        </w:rPr>
      </w:pPr>
      <w:bookmarkStart w:id="106" w:name="_Toc15396630"/>
      <w:bookmarkStart w:id="107" w:name="_Toc1233328332"/>
      <w:r>
        <w:rPr>
          <w:rStyle w:val="21"/>
          <w:rFonts w:hint="eastAsia" w:ascii="仿宋" w:hAnsi="仿宋" w:eastAsia="仿宋"/>
          <w:b w:val="0"/>
          <w:bCs w:val="0"/>
        </w:rPr>
        <w:t>十二、</w:t>
      </w:r>
      <w:bookmarkEnd w:id="106"/>
      <w:r>
        <w:rPr>
          <w:rStyle w:val="21"/>
          <w:rFonts w:hint="eastAsia" w:ascii="仿宋" w:hAnsi="仿宋" w:eastAsia="仿宋"/>
          <w:b w:val="0"/>
          <w:bCs w:val="0"/>
        </w:rPr>
        <w:t>国有资本经营预算财政拨款支出决算表</w:t>
      </w:r>
      <w:bookmarkEnd w:id="107"/>
    </w:p>
    <w:p>
      <w:pPr>
        <w:pStyle w:val="3"/>
        <w:rPr>
          <w:rFonts w:eastAsia="仿宋"/>
        </w:rPr>
      </w:pPr>
      <w:bookmarkStart w:id="108" w:name="_Toc15396631"/>
      <w:bookmarkStart w:id="109" w:name="_Toc1548779219"/>
      <w:r>
        <w:rPr>
          <w:rStyle w:val="21"/>
          <w:rFonts w:hint="eastAsia" w:ascii="仿宋" w:hAnsi="仿宋" w:eastAsia="仿宋"/>
          <w:b w:val="0"/>
          <w:bCs w:val="0"/>
        </w:rPr>
        <w:t>十三、</w:t>
      </w:r>
      <w:bookmarkEnd w:id="108"/>
      <w:r>
        <w:rPr>
          <w:rStyle w:val="21"/>
          <w:rFonts w:hint="eastAsia" w:ascii="仿宋" w:hAnsi="仿宋" w:eastAsia="仿宋"/>
          <w:b w:val="0"/>
          <w:bCs w:val="0"/>
        </w:rPr>
        <w:t>财政拨款“三公”经费支出决算表</w:t>
      </w:r>
      <w:bookmarkEnd w:id="109"/>
    </w:p>
    <w:sectPr>
      <w:headerReference r:id="rId6" w:type="first"/>
      <w:footerReference r:id="rId8" w:type="first"/>
      <w:headerReference r:id="rId5" w:type="default"/>
      <w:footerReference r:id="rId7" w:type="default"/>
      <w:pgSz w:w="11906" w:h="16838"/>
      <w:pgMar w:top="1440" w:right="1800" w:bottom="1440" w:left="1800"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微软雅黑">
    <w:altName w:val="黑体"/>
    <w:panose1 w:val="020B0503020204020204"/>
    <w:charset w:val="86"/>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Noto Sans CJK JP Bold">
    <w:panose1 w:val="020B0800000000000000"/>
    <w:charset w:val="86"/>
    <w:family w:val="auto"/>
    <w:pitch w:val="default"/>
    <w:sig w:usb0="30000003" w:usb1="2BDF3C10" w:usb2="00000016" w:usb3="00000000" w:csb0="602E0107"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2" w:lineRule="auto"/>
      <w:ind w:left="4129"/>
      <w:rPr>
        <w:rFonts w:ascii="宋体" w:hAnsi="宋体" w:cs="宋体"/>
        <w:sz w:val="13"/>
        <w:szCs w:val="13"/>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2" w:lineRule="auto"/>
      <w:ind w:left="4129"/>
      <w:rPr>
        <w:rFonts w:ascii="宋体" w:hAnsi="宋体" w:cs="宋体"/>
        <w:sz w:val="13"/>
        <w:szCs w:val="13"/>
      </w:rPr>
    </w:pPr>
    <w:r>
      <w:rPr>
        <w:sz w:val="13"/>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379095" cy="139700"/>
              <wp:effectExtent l="0" t="0" r="0" b="0"/>
              <wp:wrapNone/>
              <wp:docPr id="1" name="文本框 8"/>
              <wp:cNvGraphicFramePr/>
              <a:graphic xmlns:a="http://schemas.openxmlformats.org/drawingml/2006/main">
                <a:graphicData uri="http://schemas.microsoft.com/office/word/2010/wordprocessingShape">
                  <wps:wsp>
                    <wps:cNvSpPr/>
                    <wps:spPr>
                      <a:xfrm>
                        <a:off x="0" y="0"/>
                        <a:ext cx="379133" cy="139560"/>
                      </a:xfrm>
                      <a:prstGeom prst="rect">
                        <a:avLst/>
                      </a:prstGeom>
                      <a:noFill/>
                      <a:ln w="6350" cap="flat" cmpd="sng">
                        <a:noFill/>
                        <a:prstDash val="solid"/>
                        <a:round/>
                      </a:ln>
                    </wps:spPr>
                    <wps:txbx>
                      <w:txbxContent>
                        <w:p>
                          <w:pPr>
                            <w:pStyle w:val="10"/>
                          </w:pPr>
                          <w:r>
                            <w:t xml:space="preserve">— </w:t>
                          </w:r>
                          <w:r>
                            <w:fldChar w:fldCharType="begin"/>
                          </w:r>
                          <w:r>
                            <w:instrText xml:space="preserve"> PAGE  \* MERGEFORMAT </w:instrText>
                          </w:r>
                          <w:r>
                            <w:fldChar w:fldCharType="separate"/>
                          </w:r>
                          <w:r>
                            <w:t>1</w:t>
                          </w:r>
                          <w:r>
                            <w:fldChar w:fldCharType="end"/>
                          </w:r>
                          <w:r>
                            <w:t xml:space="preserve"> —</w:t>
                          </w:r>
                        </w:p>
                      </w:txbxContent>
                    </wps:txbx>
                    <wps:bodyPr vert="horz" wrap="none" lIns="0" tIns="0" rIns="0" bIns="0" anchor="t" anchorCtr="0" upright="0">
                      <a:spAutoFit/>
                    </wps:bodyPr>
                  </wps:wsp>
                </a:graphicData>
              </a:graphic>
            </wp:anchor>
          </w:drawing>
        </mc:Choice>
        <mc:Fallback>
          <w:pict>
            <v:rect id="文本框 8" o:spid="_x0000_s1026" o:spt="1" style="position:absolute;left:0pt;margin-top:0pt;height:11pt;width:29.85pt;mso-position-horizontal:center;mso-position-horizontal-relative:margin;mso-wrap-style:none;z-index:251659264;mso-width-relative:page;mso-height-relative:page;" filled="f" stroked="f" coordsize="21600,21600" o:gfxdata="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BYAAABkcnMvUEsBAhQAFAAAAAgAh07iQJph283XAAAAAwEA&#10;AA8AAAAAAAAAAQAgAAAAOAAAAGRycy9kb3ducmV2LnhtbFBLAQIUABQAAAAIAIdO4kDb/jspBQIA&#10;APQDAAAOAAAAAAAAAAEAIAAAADwBAABkcnMvZTJvRG9jLnhtbFBLBQYAAAAABgAGAFkBAACzBQAA&#10;AAA=&#10;">
              <v:fill on="f" focussize="0,0"/>
              <v:stroke on="f" weight="0.5pt" joinstyle="round"/>
              <v:imagedata o:title=""/>
              <o:lock v:ext="edit" aspectratio="f"/>
              <v:textbox inset="0mm,0mm,0mm,0mm" style="mso-fit-shape-to-text:t;">
                <w:txbxContent>
                  <w:p>
                    <w:pPr>
                      <w:pStyle w:val="10"/>
                    </w:pPr>
                    <w:r>
                      <w:t xml:space="preserve">— </w:t>
                    </w:r>
                    <w:r>
                      <w:fldChar w:fldCharType="begin"/>
                    </w:r>
                    <w:r>
                      <w:instrText xml:space="preserve"> PAGE  \* MERGEFORMAT </w:instrText>
                    </w:r>
                    <w:r>
                      <w:fldChar w:fldCharType="separate"/>
                    </w:r>
                    <w:r>
                      <w:t>1</w:t>
                    </w:r>
                    <w:r>
                      <w:fldChar w:fldCharType="end"/>
                    </w:r>
                    <w:r>
                      <w:t xml:space="preserve"> —</w:t>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436880" cy="139700"/>
              <wp:effectExtent l="0" t="0" r="0" b="0"/>
              <wp:wrapNone/>
              <wp:docPr id="10" name="文本框 9"/>
              <wp:cNvGraphicFramePr/>
              <a:graphic xmlns:a="http://schemas.openxmlformats.org/drawingml/2006/main">
                <a:graphicData uri="http://schemas.microsoft.com/office/word/2010/wordprocessingShape">
                  <wps:wsp>
                    <wps:cNvSpPr/>
                    <wps:spPr>
                      <a:xfrm>
                        <a:off x="0" y="0"/>
                        <a:ext cx="436880" cy="139700"/>
                      </a:xfrm>
                      <a:prstGeom prst="rect">
                        <a:avLst/>
                      </a:prstGeom>
                      <a:noFill/>
                      <a:ln w="6350" cap="flat" cmpd="sng">
                        <a:noFill/>
                        <a:prstDash val="solid"/>
                        <a:round/>
                      </a:ln>
                    </wps:spPr>
                    <wps:txbx>
                      <w:txbxContent>
                        <w:p>
                          <w:pPr>
                            <w:pStyle w:val="10"/>
                          </w:pPr>
                          <w:r>
                            <w:t xml:space="preserve">— </w:t>
                          </w:r>
                          <w:r>
                            <w:fldChar w:fldCharType="begin"/>
                          </w:r>
                          <w:r>
                            <w:instrText xml:space="preserve"> PAGE  \* MERGEFORMAT </w:instrText>
                          </w:r>
                          <w:r>
                            <w:fldChar w:fldCharType="separate"/>
                          </w:r>
                          <w:r>
                            <w:t>17</w:t>
                          </w:r>
                          <w:r>
                            <w:fldChar w:fldCharType="end"/>
                          </w:r>
                          <w:r>
                            <w:t xml:space="preserve"> —</w:t>
                          </w:r>
                        </w:p>
                      </w:txbxContent>
                    </wps:txbx>
                    <wps:bodyPr vert="horz" wrap="none" lIns="0" tIns="0" rIns="0" bIns="0" anchor="t" anchorCtr="0" upright="0">
                      <a:spAutoFit/>
                    </wps:bodyPr>
                  </wps:wsp>
                </a:graphicData>
              </a:graphic>
            </wp:anchor>
          </w:drawing>
        </mc:Choice>
        <mc:Fallback>
          <w:pict>
            <v:rect id="文本框 9" o:spid="_x0000_s1026" o:spt="1" style="position:absolute;left:0pt;margin-top:0pt;height:11pt;width:34.4pt;mso-position-horizontal:center;mso-position-horizontal-relative:margin;mso-wrap-style:none;z-index:251659264;mso-width-relative:page;mso-height-relative:page;" filled="f" stroked="f" coordsize="21600,21600" o:gfxdata="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WAAAAZHJzL1BLAQIUABQAAAAIAIdO4kDnZzF51gAAAAMBAAAP&#10;AAAAAAAAAAEAIAAAADgAAABkcnMvZG93bnJldi54bWxQSwECFAAUAAAACACHTuJAWQfNtAQCAAD1&#10;AwAADgAAAAAAAAABACAAAAA7AQAAZHJzL2Uyb0RvYy54bWxQSwUGAAAAAAYABgBZAQAAsQUAAAAA&#10;">
              <v:fill on="f" focussize="0,0"/>
              <v:stroke on="f" weight="0.5pt" joinstyle="round"/>
              <v:imagedata o:title=""/>
              <o:lock v:ext="edit" aspectratio="f"/>
              <v:textbox inset="0mm,0mm,0mm,0mm" style="mso-fit-shape-to-text:t;">
                <w:txbxContent>
                  <w:p>
                    <w:pPr>
                      <w:pStyle w:val="10"/>
                    </w:pPr>
                    <w:r>
                      <w:t xml:space="preserve">— </w:t>
                    </w:r>
                    <w:r>
                      <w:fldChar w:fldCharType="begin"/>
                    </w:r>
                    <w:r>
                      <w:instrText xml:space="preserve"> PAGE  \* MERGEFORMAT </w:instrText>
                    </w:r>
                    <w:r>
                      <w:fldChar w:fldCharType="separate"/>
                    </w:r>
                    <w:r>
                      <w:t>17</w:t>
                    </w:r>
                    <w:r>
                      <w:fldChar w:fldCharType="end"/>
                    </w:r>
                    <w:r>
                      <w:t xml:space="preserve"> —</w:t>
                    </w:r>
                  </w:p>
                </w:txbxContent>
              </v:textbox>
            </v:rect>
          </w:pict>
        </mc:Fallback>
      </mc:AlternateContent>
    </w:r>
  </w:p>
  <w:p>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436880" cy="139700"/>
              <wp:effectExtent l="0" t="0" r="0" b="0"/>
              <wp:wrapNone/>
              <wp:docPr id="13" name="文本框 10"/>
              <wp:cNvGraphicFramePr/>
              <a:graphic xmlns:a="http://schemas.openxmlformats.org/drawingml/2006/main">
                <a:graphicData uri="http://schemas.microsoft.com/office/word/2010/wordprocessingShape">
                  <wps:wsp>
                    <wps:cNvSpPr/>
                    <wps:spPr>
                      <a:xfrm>
                        <a:off x="0" y="0"/>
                        <a:ext cx="436880" cy="139700"/>
                      </a:xfrm>
                      <a:prstGeom prst="rect">
                        <a:avLst/>
                      </a:prstGeom>
                      <a:noFill/>
                      <a:ln w="6350" cap="flat" cmpd="sng">
                        <a:noFill/>
                        <a:prstDash val="solid"/>
                        <a:round/>
                      </a:ln>
                    </wps:spPr>
                    <wps:txbx>
                      <w:txbxContent>
                        <w:p>
                          <w:pPr>
                            <w:pStyle w:val="10"/>
                          </w:pPr>
                          <w:r>
                            <w:t xml:space="preserve">— </w:t>
                          </w:r>
                          <w:r>
                            <w:fldChar w:fldCharType="begin"/>
                          </w:r>
                          <w:r>
                            <w:instrText xml:space="preserve"> PAGE  \* MERGEFORMAT </w:instrText>
                          </w:r>
                          <w:r>
                            <w:fldChar w:fldCharType="separate"/>
                          </w:r>
                          <w:r>
                            <w:t>13</w:t>
                          </w:r>
                          <w:r>
                            <w:fldChar w:fldCharType="end"/>
                          </w:r>
                          <w:r>
                            <w:t xml:space="preserve"> —</w:t>
                          </w:r>
                        </w:p>
                      </w:txbxContent>
                    </wps:txbx>
                    <wps:bodyPr vert="horz" wrap="none" lIns="0" tIns="0" rIns="0" bIns="0" anchor="t" anchorCtr="0" upright="0">
                      <a:spAutoFit/>
                    </wps:bodyPr>
                  </wps:wsp>
                </a:graphicData>
              </a:graphic>
            </wp:anchor>
          </w:drawing>
        </mc:Choice>
        <mc:Fallback>
          <w:pict>
            <v:rect id="文本框 10" o:spid="_x0000_s1026" o:spt="1" style="position:absolute;left:0pt;margin-top:0pt;height:11pt;width:34.4pt;mso-position-horizontal:center;mso-position-horizontal-relative:margin;mso-wrap-style:none;z-index:251659264;mso-width-relative:page;mso-height-relative:page;" filled="f" stroked="f" coordsize="21600,21600" o:gfxdata="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WAAAAZHJzL1BLAQIUABQAAAAIAIdO4kDnZzF51gAAAAMBAAAP&#10;AAAAAAAAAAEAIAAAADgAAABkcnMvZG93bnJldi54bWxQSwECFAAUAAAACACHTuJA5QVuPgQCAAD2&#10;AwAADgAAAAAAAAABACAAAAA7AQAAZHJzL2Uyb0RvYy54bWxQSwUGAAAAAAYABgBZAQAAsQUAAAAA&#10;">
              <v:fill on="f" focussize="0,0"/>
              <v:stroke on="f" weight="0.5pt" joinstyle="round"/>
              <v:imagedata o:title=""/>
              <o:lock v:ext="edit" aspectratio="f"/>
              <v:textbox inset="0mm,0mm,0mm,0mm" style="mso-fit-shape-to-text:t;">
                <w:txbxContent>
                  <w:p>
                    <w:pPr>
                      <w:pStyle w:val="10"/>
                    </w:pPr>
                    <w:r>
                      <w:t xml:space="preserve">— </w:t>
                    </w:r>
                    <w:r>
                      <w:fldChar w:fldCharType="begin"/>
                    </w:r>
                    <w:r>
                      <w:instrText xml:space="preserve"> PAGE  \* MERGEFORMAT </w:instrText>
                    </w:r>
                    <w:r>
                      <w:fldChar w:fldCharType="separate"/>
                    </w:r>
                    <w:r>
                      <w:t>13</w:t>
                    </w:r>
                    <w:r>
                      <w:fldChar w:fldCharType="end"/>
                    </w:r>
                    <w:r>
                      <w:t xml:space="preserve"> —</w:t>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pPr>
        <w:ind w:left="0" w:firstLine="0"/>
      </w:pPr>
      <w:rPr>
        <w:rFonts w:hint="eastAsia"/>
      </w:rPr>
    </w:lvl>
  </w:abstractNum>
  <w:abstractNum w:abstractNumId="1">
    <w:nsid w:val="DDD2CB99"/>
    <w:multiLevelType w:val="singleLevel"/>
    <w:tmpl w:val="DDD2CB99"/>
    <w:lvl w:ilvl="0" w:tentative="0">
      <w:start w:val="3"/>
      <w:numFmt w:val="decimal"/>
      <w:suff w:val="nothing"/>
      <w:lvlText w:val="%1、"/>
      <w:lvlJc w:val="left"/>
    </w:lvl>
  </w:abstractNum>
  <w:abstractNum w:abstractNumId="2">
    <w:nsid w:val="E2FA047D"/>
    <w:multiLevelType w:val="singleLevel"/>
    <w:tmpl w:val="E2FA047D"/>
    <w:lvl w:ilvl="0" w:tentative="0">
      <w:start w:val="3"/>
      <w:numFmt w:val="chineseCounting"/>
      <w:suff w:val="space"/>
      <w:lvlText w:val="第%1部分"/>
      <w:lvlJc w:val="left"/>
      <w:pPr>
        <w:ind w:left="0" w:firstLine="0"/>
      </w:pPr>
      <w:rPr>
        <w:rFonts w:hint="eastAsia" w:ascii="黑体" w:hAnsi="黑体" w:eastAsia="黑体" w:cs="黑体"/>
        <w:sz w:val="44"/>
        <w:szCs w:val="44"/>
      </w:rPr>
    </w:lvl>
  </w:abstractNum>
  <w:abstractNum w:abstractNumId="3">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4">
    <w:nsid w:val="3818A09A"/>
    <w:multiLevelType w:val="singleLevel"/>
    <w:tmpl w:val="3818A09A"/>
    <w:lvl w:ilvl="0" w:tentative="0">
      <w:start w:val="1"/>
      <w:numFmt w:val="chineseCounting"/>
      <w:suff w:val="nothing"/>
      <w:lvlText w:val="%1、"/>
      <w:lvlJc w:val="left"/>
      <w:pPr>
        <w:ind w:left="0" w:firstLine="0"/>
      </w:pPr>
      <w:rPr>
        <w:rFonts w:hint="eastAsia"/>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docVars>
    <w:docVar w:name="commondata" w:val="eyJoZGlkIjoiNjMxZWU2YmUxYzc0NGEzNTU2NWQxNDk4OWJiY2VhMGYifQ=="/>
  </w:docVars>
  <w:rsids>
    <w:rsidRoot w:val="00000000"/>
    <w:rsid w:val="0BFE70CE"/>
    <w:rsid w:val="3D503324"/>
    <w:rsid w:val="5F7DEFE1"/>
    <w:rsid w:val="5FA25F01"/>
    <w:rsid w:val="6BB6DE3D"/>
    <w:rsid w:val="6EEF8CC6"/>
    <w:rsid w:val="7B8602AA"/>
    <w:rsid w:val="7FBFD8DE"/>
    <w:rsid w:val="96FFD19A"/>
    <w:rsid w:val="ABEF11ED"/>
    <w:rsid w:val="B2DA2FD8"/>
    <w:rsid w:val="DFB3CD89"/>
    <w:rsid w:val="FFDF270D"/>
    <w:rsid w:val="FFFFB17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0"/>
    <w:pPr>
      <w:keepNext/>
      <w:keepLines/>
      <w:widowControl w:val="0"/>
      <w:spacing w:before="340" w:after="330" w:line="578" w:lineRule="auto"/>
      <w:outlineLvl w:val="0"/>
    </w:pPr>
    <w:rPr>
      <w:b/>
      <w:bCs/>
      <w:kern w:val="44"/>
      <w:sz w:val="44"/>
      <w:szCs w:val="44"/>
    </w:rPr>
  </w:style>
  <w:style w:type="paragraph" w:styleId="3">
    <w:name w:val="heading 2"/>
    <w:basedOn w:val="1"/>
    <w:next w:val="1"/>
    <w:link w:val="21"/>
    <w:qFormat/>
    <w:uiPriority w:val="0"/>
    <w:pPr>
      <w:keepNext/>
      <w:keepLines/>
      <w:widowControl w:val="0"/>
      <w:spacing w:before="260" w:after="260" w:line="415" w:lineRule="auto"/>
      <w:outlineLvl w:val="1"/>
    </w:pPr>
    <w:rPr>
      <w:rFonts w:ascii="Cambria" w:hAnsi="Cambria"/>
      <w:b/>
      <w:bCs/>
      <w:sz w:val="32"/>
      <w:szCs w:val="32"/>
    </w:rPr>
  </w:style>
  <w:style w:type="paragraph" w:styleId="4">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17">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5">
    <w:name w:val="caption"/>
    <w:basedOn w:val="1"/>
    <w:next w:val="1"/>
    <w:semiHidden/>
    <w:unhideWhenUsed/>
    <w:qFormat/>
    <w:uiPriority w:val="0"/>
    <w:rPr>
      <w:rFonts w:ascii="Arial" w:hAnsi="Arial" w:eastAsia="黑体"/>
      <w:sz w:val="20"/>
    </w:rPr>
  </w:style>
  <w:style w:type="paragraph" w:styleId="6">
    <w:name w:val="Body Text"/>
    <w:basedOn w:val="1"/>
    <w:qFormat/>
    <w:uiPriority w:val="0"/>
    <w:pPr>
      <w:spacing w:before="30" w:beforeLines="30"/>
    </w:pPr>
    <w:rPr>
      <w:rFonts w:ascii="仿宋_GB2312" w:eastAsia="仿宋_GB2312"/>
      <w:kern w:val="0"/>
      <w:sz w:val="30"/>
    </w:rPr>
  </w:style>
  <w:style w:type="paragraph" w:styleId="7">
    <w:name w:val="Body Text Indent"/>
    <w:basedOn w:val="1"/>
    <w:qFormat/>
    <w:uiPriority w:val="0"/>
    <w:pPr>
      <w:spacing w:after="120"/>
      <w:ind w:left="200" w:leftChars="200"/>
    </w:pPr>
    <w:rPr>
      <w:rFonts w:ascii="仿宋_GB2312" w:hAnsi="仿宋_GB2312"/>
      <w:szCs w:val="32"/>
    </w:rPr>
  </w:style>
  <w:style w:type="paragraph" w:styleId="8">
    <w:name w:val="toc 3"/>
    <w:basedOn w:val="1"/>
    <w:next w:val="1"/>
    <w:qFormat/>
    <w:uiPriority w:val="0"/>
    <w:pPr>
      <w:tabs>
        <w:tab w:val="right" w:leader="dot" w:pos="8296"/>
      </w:tabs>
      <w:ind w:left="400" w:leftChars="400"/>
    </w:pPr>
  </w:style>
  <w:style w:type="paragraph" w:styleId="9">
    <w:name w:val="Balloon Text"/>
    <w:basedOn w:val="1"/>
    <w:qFormat/>
    <w:uiPriority w:val="0"/>
    <w:rPr>
      <w:sz w:val="18"/>
      <w:szCs w:val="18"/>
    </w:rPr>
  </w:style>
  <w:style w:type="paragraph" w:styleId="10">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qFormat/>
    <w:uiPriority w:val="0"/>
    <w:pPr>
      <w:tabs>
        <w:tab w:val="right" w:leader="dot" w:pos="8296"/>
      </w:tabs>
      <w:spacing w:before="93"/>
      <w:jc w:val="center"/>
    </w:pPr>
    <w:rPr>
      <w:rFonts w:ascii="仿宋" w:hAnsi="仿宋" w:eastAsia="仿宋"/>
      <w:sz w:val="28"/>
      <w:szCs w:val="28"/>
    </w:rPr>
  </w:style>
  <w:style w:type="paragraph" w:styleId="13">
    <w:name w:val="toc 2"/>
    <w:basedOn w:val="1"/>
    <w:next w:val="1"/>
    <w:qFormat/>
    <w:uiPriority w:val="0"/>
    <w:pPr>
      <w:tabs>
        <w:tab w:val="right" w:leader="dot" w:pos="8296"/>
      </w:tabs>
      <w:ind w:left="200" w:leftChars="200"/>
    </w:pPr>
  </w:style>
  <w:style w:type="paragraph" w:styleId="14">
    <w:name w:val="Normal (Web)"/>
    <w:basedOn w:val="1"/>
    <w:qFormat/>
    <w:uiPriority w:val="0"/>
    <w:pPr>
      <w:widowControl/>
      <w:spacing w:before="100" w:beforeAutospacing="1" w:after="100" w:afterAutospacing="1"/>
      <w:jc w:val="left"/>
    </w:pPr>
    <w:rPr>
      <w:rFonts w:ascii="宋体" w:cs="宋体"/>
      <w:kern w:val="0"/>
      <w:sz w:val="24"/>
    </w:rPr>
  </w:style>
  <w:style w:type="paragraph" w:styleId="15">
    <w:name w:val="Body Text First Indent 2"/>
    <w:basedOn w:val="7"/>
    <w:qFormat/>
    <w:uiPriority w:val="0"/>
    <w:pPr>
      <w:ind w:firstLine="200" w:firstLineChars="200"/>
    </w:pPr>
  </w:style>
  <w:style w:type="character" w:styleId="18">
    <w:name w:val="Strong"/>
    <w:basedOn w:val="17"/>
    <w:qFormat/>
    <w:uiPriority w:val="0"/>
    <w:rPr>
      <w:b/>
    </w:rPr>
  </w:style>
  <w:style w:type="character" w:styleId="19">
    <w:name w:val="Hyperlink"/>
    <w:basedOn w:val="17"/>
    <w:qFormat/>
    <w:uiPriority w:val="0"/>
    <w:rPr>
      <w:color w:val="0000FF"/>
      <w:u w:val="single"/>
    </w:rPr>
  </w:style>
  <w:style w:type="character" w:customStyle="1" w:styleId="20">
    <w:name w:val="heading 1 Char"/>
    <w:basedOn w:val="17"/>
    <w:link w:val="2"/>
    <w:qFormat/>
    <w:uiPriority w:val="0"/>
    <w:rPr>
      <w:rFonts w:ascii="Times New Roman" w:hAnsi="Times New Roman" w:eastAsia="宋体" w:cs="Times New Roman"/>
      <w:b/>
      <w:bCs/>
      <w:kern w:val="44"/>
      <w:sz w:val="44"/>
      <w:szCs w:val="44"/>
      <w:lang w:val="en-US" w:eastAsia="zh-CN" w:bidi="ar-SA"/>
    </w:rPr>
  </w:style>
  <w:style w:type="character" w:customStyle="1" w:styleId="21">
    <w:name w:val="heading 2 Char"/>
    <w:basedOn w:val="17"/>
    <w:link w:val="3"/>
    <w:qFormat/>
    <w:uiPriority w:val="0"/>
    <w:rPr>
      <w:rFonts w:ascii="Cambria" w:hAnsi="Cambria" w:eastAsia="宋体" w:cs="Times New Roman"/>
      <w:b/>
      <w:bCs/>
      <w:kern w:val="2"/>
      <w:sz w:val="32"/>
      <w:szCs w:val="32"/>
      <w:lang w:val="en-US" w:eastAsia="zh-CN" w:bidi="ar-SA"/>
    </w:rPr>
  </w:style>
  <w:style w:type="paragraph" w:customStyle="1" w:styleId="22">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3">
    <w:name w:val="Header Char"/>
    <w:basedOn w:val="17"/>
    <w:qFormat/>
    <w:uiPriority w:val="0"/>
    <w:rPr>
      <w:rFonts w:ascii="Times New Roman" w:hAnsi="Times New Roman"/>
      <w:sz w:val="18"/>
      <w:szCs w:val="18"/>
    </w:rPr>
  </w:style>
  <w:style w:type="character" w:customStyle="1" w:styleId="24">
    <w:name w:val="Footer Char"/>
    <w:basedOn w:val="17"/>
    <w:qFormat/>
    <w:uiPriority w:val="0"/>
    <w:rPr>
      <w:rFonts w:ascii="Times New Roman" w:hAnsi="Times New Roman"/>
      <w:sz w:val="18"/>
      <w:szCs w:val="18"/>
    </w:rPr>
  </w:style>
  <w:style w:type="character" w:customStyle="1" w:styleId="25">
    <w:name w:val="Body Text Char"/>
    <w:basedOn w:val="17"/>
    <w:qFormat/>
    <w:uiPriority w:val="0"/>
    <w:rPr>
      <w:rFonts w:ascii="Times New Roman" w:hAnsi="Times New Roman"/>
      <w:szCs w:val="24"/>
    </w:rPr>
  </w:style>
  <w:style w:type="paragraph" w:customStyle="1" w:styleId="26">
    <w:name w:val="Default"/>
    <w:qFormat/>
    <w:uiPriority w:val="0"/>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0"/>
    <w:pPr>
      <w:ind w:firstLine="200" w:firstLineChars="200"/>
    </w:pPr>
  </w:style>
  <w:style w:type="paragraph" w:customStyle="1" w:styleId="28">
    <w:name w:val="TOC 标题1"/>
    <w:basedOn w:val="2"/>
    <w:next w:val="1"/>
    <w:qFormat/>
    <w:uiPriority w:val="0"/>
    <w:pPr>
      <w:keepNext/>
      <w:keepLines/>
      <w:widowControl/>
      <w:spacing w:before="480" w:after="0" w:line="276" w:lineRule="auto"/>
      <w:jc w:val="left"/>
      <w:outlineLvl w:val="9"/>
    </w:pPr>
    <w:rPr>
      <w:rFonts w:ascii="Cambria" w:hAnsi="Cambria"/>
      <w:color w:val="365F91"/>
      <w:kern w:val="0"/>
      <w:sz w:val="28"/>
      <w:szCs w:val="28"/>
    </w:rPr>
  </w:style>
  <w:style w:type="paragraph" w:customStyle="1" w:styleId="29">
    <w:name w:val="TOC 标题2"/>
    <w:basedOn w:val="2"/>
    <w:next w:val="1"/>
    <w:qFormat/>
    <w:uiPriority w:val="0"/>
    <w:pPr>
      <w:keepNext/>
      <w:keepLines/>
      <w:widowControl/>
      <w:spacing w:before="480" w:after="0" w:line="276" w:lineRule="auto"/>
      <w:jc w:val="left"/>
      <w:outlineLvl w:val="9"/>
    </w:pPr>
    <w:rPr>
      <w:rFonts w:ascii="Cambria" w:hAnsi="Cambria"/>
      <w:color w:val="365F91"/>
      <w:kern w:val="0"/>
      <w:sz w:val="28"/>
      <w:szCs w:val="28"/>
    </w:rPr>
  </w:style>
  <w:style w:type="paragraph" w:customStyle="1" w:styleId="30">
    <w:name w:val="WPSOffice手动目录 1"/>
    <w:qFormat/>
    <w:uiPriority w:val="0"/>
    <w:rPr>
      <w:rFonts w:ascii="Times New Roman" w:hAnsi="Times New Roman" w:eastAsia="宋体" w:cs="Arial"/>
      <w:sz w:val="20"/>
      <w:szCs w:val="20"/>
      <w:lang w:val="en-US" w:eastAsia="zh-CN" w:bidi="ar-SA"/>
    </w:rPr>
  </w:style>
  <w:style w:type="paragraph" w:customStyle="1" w:styleId="31">
    <w:name w:val="WPSOffice手动目录 2"/>
    <w:qFormat/>
    <w:uiPriority w:val="0"/>
    <w:pPr>
      <w:ind w:left="200" w:leftChars="200"/>
    </w:pPr>
    <w:rPr>
      <w:rFonts w:ascii="Times New Roman" w:hAnsi="Times New Roman" w:eastAsia="宋体" w:cs="Arial"/>
      <w:sz w:val="20"/>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6.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altLang="en-US" b="1"/>
              <a:t>收、支决算总计变动情况表</a:t>
            </a:r>
            <a:endParaRPr altLang="en-US" b="1"/>
          </a:p>
        </c:rich>
      </c:tx>
      <c:layout>
        <c:manualLayout>
          <c:xMode val="edge"/>
          <c:yMode val="edge"/>
          <c:x val="0.211751963173572"/>
          <c:y val="0.217050067658999"/>
        </c:manualLayout>
      </c:layout>
      <c:overlay val="0"/>
      <c:spPr>
        <a:noFill/>
        <a:ln>
          <a:noFill/>
        </a:ln>
        <a:effectLst/>
      </c:spPr>
    </c:title>
    <c:autoTitleDeleted val="0"/>
    <c:plotArea>
      <c:layout>
        <c:manualLayout>
          <c:layoutTarget val="inner"/>
          <c:xMode val="edge"/>
          <c:yMode val="edge"/>
          <c:x val="0.023825"/>
          <c:y val="0.44030084612974"/>
          <c:w val="0.924925"/>
          <c:h val="0.468317141961767"/>
        </c:manualLayout>
      </c:layout>
      <c:barChart>
        <c:barDir val="col"/>
        <c:grouping val="clustered"/>
        <c:varyColors val="0"/>
        <c:ser>
          <c:idx val="0"/>
          <c:order val="0"/>
          <c:tx>
            <c:strRef>
              <c:f>Sheet1!$B$1</c:f>
              <c:strCache>
                <c:ptCount val="1"/>
                <c:pt idx="0">
                  <c:v>2024</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Sheet1!$B$2</c:f>
              <c:numCache>
                <c:formatCode>General</c:formatCode>
                <c:ptCount val="1"/>
                <c:pt idx="0">
                  <c:v>1127.28</c:v>
                </c:pt>
              </c:numCache>
            </c:numRef>
          </c:val>
          <c:extLst>
            <c:ext xmlns:c15="http://schemas.microsoft.com/office/drawing/2012/chart" uri="{02D57815-91ED-43cb-92C2-25804820EDAC}">
              <c15:filteredCategoryTitle>
                <c15:cat>
                  <c:numRef>
                    <c:extLst>
                      <c:ext uri="{02D57815-91ED-43cb-92C2-25804820EDAC}">
                        <c15:formulaRef>
                          <c15:sqref>Sheet1!$A$2</c15:sqref>
                        </c15:formulaRef>
                      </c:ext>
                    </c:extLst>
                    <c:numCache>
                      <c:formatCode>General</c:formatCode>
                      <c:ptCount val="1"/>
                    </c:numCache>
                  </c:numRef>
                </c15:cat>
              </c15:filteredCategoryTitle>
            </c:ext>
          </c:extLst>
        </c:ser>
        <c:ser>
          <c:idx val="1"/>
          <c:order val="1"/>
          <c:tx>
            <c:strRef>
              <c:f>Sheet1!$C$1</c:f>
              <c:strCache>
                <c:ptCount val="1"/>
                <c:pt idx="0">
                  <c:v>2025</c:v>
                </c:pt>
              </c:strCache>
            </c:strRef>
          </c:tx>
          <c:spPr>
            <a:solidFill>
              <a:schemeClr val="accent2"/>
            </a:solidFill>
            <a:ln w="25400" cap="flat" cmpd="sng" algn="ctr">
              <a:solidFill>
                <a:schemeClr val="accent2">
                  <a:shade val="50000"/>
                </a:schemeClr>
              </a:solidFill>
              <a:prstDash val="solid"/>
            </a:ln>
            <a:effectLst/>
            <a:sp3d>
              <a:extrusionClr>
                <a:srgbClr val="FFFFFF"/>
              </a:extrusionClr>
              <a:contourClr>
                <a:srgbClr val="FFFFFF"/>
              </a:contourClr>
            </a:sp3d>
          </c:spPr>
          <c:invertIfNegative val="0"/>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Sheet1!$C$2</c:f>
              <c:numCache>
                <c:formatCode>General</c:formatCode>
                <c:ptCount val="1"/>
                <c:pt idx="0">
                  <c:v>1222.49</c:v>
                </c:pt>
              </c:numCache>
            </c:numRef>
          </c:val>
          <c:extLst>
            <c:ext xmlns:c15="http://schemas.microsoft.com/office/drawing/2012/chart" uri="{02D57815-91ED-43cb-92C2-25804820EDAC}">
              <c15:filteredCategoryTitle>
                <c15:cat>
                  <c:numRef>
                    <c:extLst>
                      <c:ext uri="{02D57815-91ED-43cb-92C2-25804820EDAC}">
                        <c15:formulaRef>
                          <c15:sqref>Sheet1!$A$2</c15:sqref>
                        </c15:formulaRef>
                      </c:ext>
                    </c:extLst>
                    <c:numCache>
                      <c:formatCode>General</c:formatCode>
                      <c:ptCount val="1"/>
                    </c:numCache>
                  </c:numRef>
                </c15:cat>
              </c15:filteredCategoryTitle>
            </c:ext>
          </c:extLst>
        </c:ser>
        <c:ser>
          <c:idx val="2"/>
          <c:order val="2"/>
          <c:tx>
            <c:strRef>
              <c:f>Sheet1!#REF!</c:f>
              <c:strCache>
                <c:ptCount val="1"/>
                <c:pt idx="0">
                  <c:v/>
                </c:pt>
              </c:strCache>
            </c:strRef>
          </c:tx>
          <c:spPr>
            <a:solidFill>
              <a:schemeClr val="accent3"/>
            </a:solidFill>
            <a:ln>
              <a:noFill/>
            </a:ln>
            <a:effectLst/>
          </c:spPr>
          <c:invertIfNegative val="0"/>
          <c:dLbls>
            <c:delete val="1"/>
          </c:dLbls>
          <c:val>
            <c:numRef>
              <c:f>Sheet1!#REF!</c:f>
              <c:numCache>
                <c:formatCode>General</c:formatCode>
                <c:ptCount val="1"/>
                <c:pt idx="0">
                  <c:v>1</c:v>
                </c:pt>
              </c:numCache>
            </c:numRef>
          </c:val>
          <c:extLst>
            <c:ext xmlns:c15="http://schemas.microsoft.com/office/drawing/2012/chart" uri="{02D57815-91ED-43cb-92C2-25804820EDAC}">
              <c15:filteredCategoryTitle>
                <c15:cat>
                  <c:numRef>
                    <c:extLst>
                      <c:ext uri="{02D57815-91ED-43cb-92C2-25804820EDAC}">
                        <c15:formulaRef>
                          <c15:sqref>Sheet1!$A$2</c15:sqref>
                        </c15:formulaRef>
                      </c:ext>
                    </c:extLst>
                    <c:numCache>
                      <c:formatCode>General</c:formatCode>
                      <c:ptCount val="1"/>
                    </c:numCache>
                  </c:numRef>
                </c15:cat>
              </c15:filteredCategoryTitle>
            </c:ext>
          </c:extLst>
        </c:ser>
        <c:dLbls>
          <c:showLegendKey val="0"/>
          <c:showVal val="0"/>
          <c:showCatName val="0"/>
          <c:showSerName val="0"/>
          <c:showPercent val="0"/>
          <c:showBubbleSize val="0"/>
        </c:dLbls>
        <c:gapWidth val="219"/>
        <c:overlap val="-27"/>
        <c:axId val="827509969"/>
        <c:axId val="675348569"/>
      </c:barChart>
      <c:catAx>
        <c:axId val="82750996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675348569"/>
        <c:crosses val="autoZero"/>
        <c:auto val="1"/>
        <c:lblAlgn val="ctr"/>
        <c:lblOffset val="100"/>
        <c:noMultiLvlLbl val="0"/>
      </c:catAx>
      <c:valAx>
        <c:axId val="67534856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827509969"/>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legendEntry>
      <c:legendEntry>
        <c:idx val="2"/>
        <c:delete val="1"/>
      </c:legendEntry>
      <c:layout>
        <c:manualLayout>
          <c:xMode val="edge"/>
          <c:yMode val="edge"/>
          <c:x val="0.187246141348497"/>
          <c:y val="0.877401894451962"/>
          <c:w val="0.489168697535879"/>
          <c:h val="0.11339648173207"/>
        </c:manualLayout>
      </c:layout>
      <c:overlay val="0"/>
      <c:spPr>
        <a:noFill/>
        <a:ln>
          <a:noFill/>
        </a:ln>
        <a:effectLst/>
      </c:spPr>
      <c:txPr>
        <a:bodyPr rot="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b="1"/>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Arial" panose="020B0604020202020204" pitchFamily="2"/>
              </a:defRPr>
            </a:pPr>
            <a:r>
              <a:rPr lang="zh-CN"/>
              <a:t>收入决算结构图</a:t>
            </a:r>
            <a:endParaRPr lang="zh-CN"/>
          </a:p>
        </c:rich>
      </c:tx>
      <c:layout/>
      <c:overlay val="0"/>
      <c:spPr>
        <a:noFill/>
        <a:ln>
          <a:noFill/>
        </a:ln>
      </c:spPr>
    </c:title>
    <c:autoTitleDeleted val="0"/>
    <c:plotArea>
      <c:layout/>
      <c:pieChart>
        <c:varyColors val="1"/>
        <c:ser>
          <c:idx val="0"/>
          <c:order val="0"/>
          <c:tx>
            <c:strRef>
              <c:f>'Sheet1 (2)'!$B$1</c:f>
              <c:strCache>
                <c:ptCount val="1"/>
                <c:pt idx="0">
                  <c:v>一般公共预算收入</c:v>
                </c:pt>
              </c:strCache>
            </c:strRef>
          </c:tx>
          <c:spPr>
            <a:ln>
              <a:noFill/>
            </a:ln>
          </c:spPr>
          <c:explosion val="0"/>
          <c:dPt>
            <c:idx val="0"/>
            <c:bubble3D val="0"/>
            <c:spPr>
              <a:solidFill>
                <a:srgbClr val="4F81BD"/>
              </a:solidFill>
              <a:ln w="6350">
                <a:solidFill>
                  <a:srgbClr val="FFFFFF"/>
                </a:solidFill>
                <a:prstDash val="solid"/>
              </a:ln>
            </c:spPr>
          </c:dPt>
          <c:dLbls>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Arial" panose="020B0604020202020204" pitchFamily="2"/>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 (2)'!$A$2</c:f>
              <c:strCache>
                <c:ptCount val="1"/>
                <c:pt idx="0">
                  <c:v>2025年本年收入 </c:v>
                </c:pt>
              </c:strCache>
            </c:strRef>
          </c:cat>
          <c:val>
            <c:numRef>
              <c:f>'Sheet1 (2)'!$B$2</c:f>
              <c:numCache>
                <c:formatCode>0%</c:formatCode>
                <c:ptCount val="1"/>
                <c:pt idx="0">
                  <c:v>1</c:v>
                </c:pt>
              </c:numCache>
            </c:numRef>
          </c:val>
        </c:ser>
        <c:dLbls>
          <c:showLegendKey val="0"/>
          <c:showVal val="0"/>
          <c:showCatName val="0"/>
          <c:showSerName val="0"/>
          <c:showPercent val="1"/>
          <c:showBubbleSize val="0"/>
          <c:showLeaderLines val="1"/>
        </c:dLbls>
        <c:firstSliceAng val="0"/>
      </c:pieChart>
      <c:spPr>
        <a:noFill/>
        <a:ln>
          <a:noFill/>
        </a:ln>
      </c:spPr>
    </c:plotArea>
    <c:legend>
      <c:legendPos val="t"/>
      <c:layout>
        <c:manualLayout>
          <c:xMode val="edge"/>
          <c:yMode val="edge"/>
          <c:x val="0.387535719145462"/>
          <c:y val="0.168713294180459"/>
          <c:w val="0.459654374744863"/>
          <c:h val="0.155098772023492"/>
        </c:manualLayou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Arial" panose="020B0604020202020204" pitchFamily="2"/>
            </a:defRPr>
          </a:pPr>
        </a:p>
      </c:txPr>
    </c:legend>
    <c:plotVisOnly val="1"/>
    <c:dispBlanksAs val="zero"/>
    <c:showDLblsOverMax val="0"/>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baseline="0">
                <a:solidFill>
                  <a:srgbClr val="404040"/>
                </a:solidFill>
                <a:latin typeface="微软雅黑" panose="020B0503020204020204" charset="-122"/>
                <a:ea typeface="微软雅黑" panose="020B0503020204020204" charset="-122"/>
                <a:cs typeface="Arial" panose="020B0604020202020204" pitchFamily="2"/>
              </a:defRPr>
            </a:pPr>
            <a:r>
              <a:rPr lang="zh-CN"/>
              <a:t>支出决算结构图</a:t>
            </a:r>
            <a:endParaRPr lang="zh-CN"/>
          </a:p>
        </c:rich>
      </c:tx>
      <c:layout/>
      <c:overlay val="0"/>
      <c:spPr>
        <a:noFill/>
        <a:ln>
          <a:noFill/>
        </a:ln>
      </c:spPr>
    </c:title>
    <c:autoTitleDeleted val="0"/>
    <c:plotArea>
      <c:layout/>
      <c:pieChart>
        <c:varyColors val="1"/>
        <c:ser>
          <c:idx val="0"/>
          <c:order val="0"/>
          <c:tx>
            <c:strRef>
              <c:f>'Sheet1 (3)'!$B$1</c:f>
              <c:strCache>
                <c:ptCount val="1"/>
                <c:pt idx="0">
                  <c:v>销售额</c:v>
                </c:pt>
              </c:strCache>
            </c:strRef>
          </c:tx>
          <c:spPr>
            <a:ln>
              <a:noFill/>
            </a:ln>
          </c:spPr>
          <c:explosion val="0"/>
          <c:dPt>
            <c:idx val="0"/>
            <c:bubble3D val="0"/>
            <c:spPr>
              <a:solidFill>
                <a:srgbClr val="4874CB"/>
              </a:solidFill>
              <a:ln w="6350">
                <a:solidFill>
                  <a:srgbClr val="FFFFFF"/>
                </a:solidFill>
                <a:prstDash val="solid"/>
              </a:ln>
            </c:spPr>
          </c:dPt>
          <c:dPt>
            <c:idx val="1"/>
            <c:bubble3D val="0"/>
            <c:spPr>
              <a:solidFill>
                <a:srgbClr val="EE822F"/>
              </a:solidFill>
              <a:ln w="6350">
                <a:solidFill>
                  <a:srgbClr val="FFFFFF"/>
                </a:solidFill>
                <a:prstDash val="solid"/>
              </a:ln>
            </c:spPr>
          </c:dPt>
          <c:dLbls>
            <c:numFmt formatCode="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solidFill>
                    <a:latin typeface="微软雅黑" panose="020B0503020204020204" charset="-122"/>
                    <a:ea typeface="微软雅黑" panose="020B0503020204020204" charset="-122"/>
                    <a:cs typeface="Arial" panose="020B0604020202020204" pitchFamily="2"/>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 (3)'!$A$2:$A$3</c:f>
              <c:strCache>
                <c:ptCount val="2"/>
                <c:pt idx="0">
                  <c:v>基本支出（1013.71万元）</c:v>
                </c:pt>
                <c:pt idx="1">
                  <c:v>项目支出（208.79万元）</c:v>
                </c:pt>
              </c:strCache>
            </c:strRef>
          </c:cat>
          <c:val>
            <c:numRef>
              <c:f>'Sheet1 (3)'!$B$2:$B$3</c:f>
              <c:numCache>
                <c:formatCode>General</c:formatCode>
                <c:ptCount val="2"/>
                <c:pt idx="0">
                  <c:v>1013.71</c:v>
                </c:pt>
                <c:pt idx="1">
                  <c:v>208.79</c:v>
                </c:pt>
              </c:numCache>
            </c:numRef>
          </c:val>
        </c:ser>
        <c:dLbls>
          <c:showLegendKey val="0"/>
          <c:showVal val="0"/>
          <c:showCatName val="0"/>
          <c:showSerName val="0"/>
          <c:showPercent val="1"/>
          <c:showBubbleSize val="0"/>
          <c:showLeaderLines val="1"/>
        </c:dLbls>
        <c:firstSliceAng val="0"/>
      </c:pieChart>
      <c:spPr>
        <a:noFill/>
        <a:ln>
          <a:noFill/>
        </a:ln>
      </c:spPr>
    </c:plotArea>
    <c:legend>
      <c:legendPos val="t"/>
      <c:layout>
        <c:manualLayout>
          <c:xMode val="edge"/>
          <c:yMode val="edge"/>
          <c:x val="0.18815541"/>
          <c:y val="0.17296013"/>
        </c:manualLayou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Arial" panose="020B0604020202020204" pitchFamily="2"/>
            </a:defRPr>
          </a:pPr>
        </a:p>
      </c:txPr>
    </c:legend>
    <c:plotVisOnly val="1"/>
    <c:dispBlanksAs val="zero"/>
    <c:showDLblsOverMax val="0"/>
  </c:chart>
  <c:spPr>
    <a:solidFill>
      <a:srgbClr val="FFFFFF"/>
    </a:solidFill>
    <a:ln w="6350" cap="flat" cmpd="sng" algn="ctr">
      <a:solidFill>
        <a:srgbClr val="808080"/>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r>
              <a:t>财政拨款收、支决算总计变动情况</a:t>
            </a:r>
          </a:p>
        </c:rich>
      </c:tx>
      <c:layout/>
      <c:overlay val="0"/>
      <c:spPr>
        <a:noFill/>
        <a:ln>
          <a:noFill/>
        </a:ln>
        <a:effectLst/>
      </c:spPr>
    </c:title>
    <c:autoTitleDeleted val="0"/>
    <c:plotArea>
      <c:layout>
        <c:manualLayout>
          <c:layoutTarget val="inner"/>
          <c:xMode val="edge"/>
          <c:yMode val="edge"/>
          <c:x val="0.08901534"/>
          <c:y val="0.14751452"/>
          <c:w val="0.88748145"/>
          <c:h val="0.7475576"/>
        </c:manualLayout>
      </c:layout>
      <c:barChart>
        <c:barDir val="col"/>
        <c:grouping val="clustered"/>
        <c:varyColors val="0"/>
        <c:ser>
          <c:idx val="0"/>
          <c:order val="0"/>
          <c:tx>
            <c:strRef>
              <c:f>'Sheet1 (4)'!$B$1</c:f>
              <c:strCache>
                <c:ptCount val="1"/>
                <c:pt idx="0">
                  <c:v/>
                </c:pt>
              </c:strCache>
            </c:strRef>
          </c:tx>
          <c:spPr>
            <a:solidFill>
              <a:schemeClr val="accent1">
                <a:alpha val="85000"/>
              </a:schemeClr>
            </a:solidFill>
            <a:ln w="9525" cap="flat" cmpd="sng" algn="ctr">
              <a:solidFill>
                <a:schemeClr val="lt1">
                  <a:alpha val="50000"/>
                </a:schemeClr>
              </a:solidFill>
              <a:round/>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a:solidFill>
                        <a:schemeClr val="dk1">
                          <a:lumMod val="50000"/>
                          <a:lumOff val="50000"/>
                        </a:schemeClr>
                      </a:solidFill>
                    </a:ln>
                    <a:effectLst/>
                  </c:spPr>
                </c15:leaderLines>
              </c:ext>
            </c:extLst>
          </c:dLbls>
          <c:cat>
            <c:strRef>
              <c:f>'Sheet1 (4)'!$A$2:$A$3</c:f>
              <c:strCache>
                <c:ptCount val="2"/>
                <c:pt idx="0">
                  <c:v>2024年收入、支出总额1127.28万元</c:v>
                </c:pt>
                <c:pt idx="1">
                  <c:v>2025年收入、支出总额1222.49万元</c:v>
                </c:pt>
              </c:strCache>
            </c:strRef>
          </c:cat>
          <c:val>
            <c:numRef>
              <c:f>'Sheet1 (4)'!$B$2:$B$3</c:f>
              <c:numCache>
                <c:formatCode>General</c:formatCode>
                <c:ptCount val="2"/>
                <c:pt idx="0">
                  <c:v>1127.28</c:v>
                </c:pt>
                <c:pt idx="1">
                  <c:v>1222.49</c:v>
                </c:pt>
              </c:numCache>
            </c:numRef>
          </c:val>
        </c:ser>
        <c:ser>
          <c:idx val="1"/>
          <c:order val="1"/>
          <c:tx>
            <c:strRef>
              <c:f>'Sheet1 (4)'!$C$1</c:f>
              <c:strCache>
                <c:ptCount val="1"/>
                <c:pt idx="0">
                  <c:v/>
                </c:pt>
              </c:strCache>
            </c:strRef>
          </c:tx>
          <c:spPr>
            <a:solidFill>
              <a:schemeClr val="accent2">
                <a:alpha val="85000"/>
              </a:schemeClr>
            </a:solidFill>
            <a:ln w="9525" cap="flat" cmpd="sng" algn="ctr">
              <a:solidFill>
                <a:schemeClr val="lt1">
                  <a:alpha val="50000"/>
                </a:schemeClr>
              </a:solidFill>
              <a:round/>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a:solidFill>
                        <a:schemeClr val="dk1">
                          <a:lumMod val="50000"/>
                          <a:lumOff val="50000"/>
                        </a:schemeClr>
                      </a:solidFill>
                    </a:ln>
                    <a:effectLst/>
                  </c:spPr>
                </c15:leaderLines>
              </c:ext>
            </c:extLst>
          </c:dLbls>
          <c:cat>
            <c:strRef>
              <c:f>'Sheet1 (4)'!$A$2:$A$3</c:f>
              <c:strCache>
                <c:ptCount val="2"/>
                <c:pt idx="0">
                  <c:v>2024年收入、支出总额1127.28万元</c:v>
                </c:pt>
                <c:pt idx="1">
                  <c:v>2025年收入、支出总额1222.49万元</c:v>
                </c:pt>
              </c:strCache>
            </c:strRef>
          </c:cat>
          <c:val>
            <c:numRef>
              <c:f>'Sheet1 (4)'!$C$2:$C$3</c:f>
              <c:numCache>
                <c:formatCode>General</c:formatCode>
                <c:ptCount val="2"/>
              </c:numCache>
            </c:numRef>
          </c:val>
        </c:ser>
        <c:ser>
          <c:idx val="2"/>
          <c:order val="2"/>
          <c:spPr>
            <a:solidFill>
              <a:schemeClr val="accent3">
                <a:alpha val="85000"/>
              </a:schemeClr>
            </a:solidFill>
            <a:ln w="9525" cap="flat" cmpd="sng" algn="ctr">
              <a:solidFill>
                <a:schemeClr val="lt1">
                  <a:alpha val="50000"/>
                </a:schemeClr>
              </a:solidFill>
              <a:round/>
            </a:ln>
            <a:effectLst/>
          </c:spPr>
          <c:invertIfNegative val="0"/>
          <c:dLbls>
            <c:delete val="1"/>
          </c:dLbls>
          <c:cat>
            <c:strRef>
              <c:f>'Sheet1 (4)'!$A$2:$A$3</c:f>
              <c:strCache>
                <c:ptCount val="2"/>
                <c:pt idx="0">
                  <c:v>2024年收入、支出总额1127.28万元</c:v>
                </c:pt>
                <c:pt idx="1">
                  <c:v>2025年收入、支出总额1222.49万元</c:v>
                </c:pt>
              </c:strCache>
            </c:strRef>
          </c:cat>
          <c:val>
            <c:numRef>
              <c:f>{1}</c:f>
              <c:numCache>
                <c:formatCode>General</c:formatCode>
                <c:ptCount val="1"/>
                <c:pt idx="0">
                  <c:v>1</c:v>
                </c:pt>
              </c:numCache>
            </c:numRef>
          </c:val>
        </c:ser>
        <c:dLbls>
          <c:showLegendKey val="0"/>
          <c:showVal val="1"/>
          <c:showCatName val="0"/>
          <c:showSerName val="0"/>
          <c:showPercent val="0"/>
          <c:showBubbleSize val="0"/>
        </c:dLbls>
        <c:gapWidth val="65"/>
        <c:overlap val="0"/>
        <c:axId val="0"/>
        <c:axId val="1"/>
      </c:barChart>
      <c:catAx>
        <c:axId val="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0" vertOverflow="ellipsis" vert="horz" wrap="square" anchor="ctr" anchorCtr="1"/>
          <a:lstStyle/>
          <a:p>
            <a:pPr>
              <a:defRPr lang="zh-CN" sz="900" b="0" i="0" u="none" strike="noStrike" kern="1200" cap="all" baseline="0">
                <a:solidFill>
                  <a:schemeClr val="dk1">
                    <a:lumMod val="75000"/>
                    <a:lumOff val="25000"/>
                  </a:schemeClr>
                </a:solidFill>
                <a:latin typeface="+mn-lt"/>
                <a:ea typeface="+mn-ea"/>
                <a:cs typeface="+mn-cs"/>
              </a:defRPr>
            </a:pPr>
          </a:p>
        </c:txPr>
        <c:crossAx val="1"/>
        <c:crosses val="autoZero"/>
        <c:auto val="1"/>
        <c:lblAlgn val="ctr"/>
        <c:lblOffset val="100"/>
        <c:noMultiLvlLbl val="0"/>
      </c:catAx>
      <c:valAx>
        <c:axId val="1"/>
        <c:scaling>
          <c:orientation val="minMax"/>
          <c:max val="1200"/>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crossAx val="0"/>
        <c:crossesAt val="1"/>
        <c:crossBetween val="between"/>
        <c:majorUnit val="300"/>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barChart>
        <c:barDir val="col"/>
        <c:grouping val="percentStacked"/>
        <c:varyColors val="0"/>
        <c:ser>
          <c:idx val="0"/>
          <c:order val="0"/>
          <c:tx>
            <c:strRef>
              <c:f>Sheet1!$B$1</c:f>
              <c:strCache>
                <c:ptCount val="1"/>
                <c:pt idx="0">
                  <c:v>一般公共预算财政拨款支出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1127.28</c:v>
                </c:pt>
                <c:pt idx="1">
                  <c:v>1222.49</c:v>
                </c:pt>
              </c:numCache>
            </c:numRef>
          </c:val>
        </c:ser>
        <c:dLbls>
          <c:showLegendKey val="0"/>
          <c:showVal val="0"/>
          <c:showCatName val="0"/>
          <c:showSerName val="0"/>
          <c:showPercent val="0"/>
          <c:showBubbleSize val="0"/>
        </c:dLbls>
        <c:gapWidth val="150"/>
        <c:overlap val="100"/>
        <c:axId val="95958597"/>
        <c:axId val="704360285"/>
      </c:barChart>
      <c:catAx>
        <c:axId val="9595859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4360285"/>
        <c:crosses val="autoZero"/>
        <c:auto val="1"/>
        <c:lblAlgn val="ctr"/>
        <c:lblOffset val="100"/>
        <c:noMultiLvlLbl val="0"/>
      </c:catAx>
      <c:valAx>
        <c:axId val="70436028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95859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Arial" panose="020B0604020202020204" pitchFamily="2"/>
              </a:defRPr>
            </a:pPr>
            <a:r>
              <a:rPr lang="zh-CN"/>
              <a:t>一般公共预算财政拨款支出</a:t>
            </a:r>
            <a:endParaRPr lang="zh-CN"/>
          </a:p>
        </c:rich>
      </c:tx>
      <c:layout/>
      <c:overlay val="0"/>
      <c:spPr>
        <a:noFill/>
        <a:ln>
          <a:noFill/>
        </a:ln>
      </c:spPr>
    </c:title>
    <c:autoTitleDeleted val="0"/>
    <c:plotArea>
      <c:layout/>
      <c:pieChart>
        <c:varyColors val="1"/>
        <c:ser>
          <c:idx val="0"/>
          <c:order val="0"/>
          <c:tx>
            <c:strRef>
              <c:f>'Sheet1 (6)'!$B$1</c:f>
              <c:strCache>
                <c:ptCount val="1"/>
                <c:pt idx="0">
                  <c:v>2025年支出</c:v>
                </c:pt>
              </c:strCache>
            </c:strRef>
          </c:tx>
          <c:spPr>
            <a:ln>
              <a:noFill/>
            </a:ln>
          </c:spPr>
          <c:explosion val="0"/>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Pt>
            <c:idx val="2"/>
            <c:bubble3D val="0"/>
            <c:spPr>
              <a:solidFill>
                <a:srgbClr val="9BBB59"/>
              </a:solidFill>
              <a:ln w="6350">
                <a:solidFill>
                  <a:srgbClr val="FFFFFF"/>
                </a:solidFill>
                <a:prstDash val="solid"/>
              </a:ln>
            </c:spPr>
          </c:dPt>
          <c:dPt>
            <c:idx val="3"/>
            <c:bubble3D val="0"/>
            <c:spPr>
              <a:solidFill>
                <a:srgbClr val="8064A2"/>
              </a:solidFill>
              <a:ln w="6350">
                <a:solidFill>
                  <a:srgbClr val="FFFFFF"/>
                </a:solidFill>
                <a:prstDash val="solid"/>
              </a:ln>
            </c:spPr>
          </c:dPt>
          <c:dLbls>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Arial" panose="020B0604020202020204" pitchFamily="2"/>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 (6)'!$A$2:$A$5</c:f>
              <c:strCache>
                <c:ptCount val="4"/>
                <c:pt idx="0">
                  <c:v>一般公共服务支出994.91万元</c:v>
                </c:pt>
                <c:pt idx="1">
                  <c:v>社会保障和就业支出115.54万元</c:v>
                </c:pt>
                <c:pt idx="2">
                  <c:v>卫生健康支出48.29万元</c:v>
                </c:pt>
                <c:pt idx="3">
                  <c:v>住房保障支出63.76万元</c:v>
                </c:pt>
              </c:strCache>
            </c:strRef>
          </c:cat>
          <c:val>
            <c:numRef>
              <c:f>'Sheet1 (6)'!$B$2:$B$5</c:f>
              <c:numCache>
                <c:formatCode>0.00%</c:formatCode>
                <c:ptCount val="4"/>
                <c:pt idx="0">
                  <c:v>0.814</c:v>
                </c:pt>
                <c:pt idx="1">
                  <c:v>0.094</c:v>
                </c:pt>
                <c:pt idx="2">
                  <c:v>0.04</c:v>
                </c:pt>
                <c:pt idx="3">
                  <c:v>0.052</c:v>
                </c:pt>
              </c:numCache>
            </c:numRef>
          </c:val>
        </c:ser>
        <c:dLbls>
          <c:showLegendKey val="0"/>
          <c:showVal val="0"/>
          <c:showCatName val="0"/>
          <c:showSerName val="0"/>
          <c:showPercent val="1"/>
          <c:showBubbleSize val="0"/>
          <c:showLeaderLines val="1"/>
        </c:dLbls>
        <c:firstSliceAng val="0"/>
      </c:pieChart>
      <c:spPr>
        <a:noFill/>
        <a:ln>
          <a:noFill/>
        </a:ln>
      </c:spPr>
    </c:plotArea>
    <c:legend>
      <c:legendPos val="t"/>
      <c:layout>
        <c:manualLayout>
          <c:xMode val="edge"/>
          <c:yMode val="edge"/>
          <c:x val="0.011315229"/>
          <c:y val="0.19799499"/>
          <c:w val="0.9605964"/>
          <c:h val="0.104323305"/>
        </c:manualLayou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Arial" panose="020B0604020202020204" pitchFamily="2"/>
            </a:defRPr>
          </a:pPr>
        </a:p>
      </c:txPr>
    </c:legend>
    <c:plotVisOnly val="1"/>
    <c:dispBlanksAs val="zero"/>
    <c:showDLblsOverMax val="0"/>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Arial" panose="020B0604020202020204" pitchFamily="2"/>
              </a:defRPr>
            </a:pPr>
            <a:r>
              <a:rPr lang="zh-CN"/>
              <a:t>“三公”经费</a:t>
            </a:r>
            <a:endParaRPr lang="zh-CN"/>
          </a:p>
        </c:rich>
      </c:tx>
      <c:layout/>
      <c:overlay val="0"/>
      <c:spPr>
        <a:noFill/>
        <a:ln>
          <a:noFill/>
        </a:ln>
      </c:spPr>
    </c:title>
    <c:autoTitleDeleted val="0"/>
    <c:plotArea>
      <c:layout>
        <c:manualLayout>
          <c:layoutTarget val="inner"/>
          <c:xMode val="edge"/>
          <c:yMode val="edge"/>
          <c:x val="0.30623338"/>
          <c:y val="0.20486291"/>
          <c:w val="0.34839332"/>
          <c:h val="0.7459907"/>
        </c:manualLayout>
      </c:layout>
      <c:pieChart>
        <c:varyColors val="1"/>
        <c:ser>
          <c:idx val="0"/>
          <c:order val="0"/>
          <c:tx>
            <c:strRef>
              <c:f>'Sheet1 (7)'!$B$1</c:f>
              <c:strCache>
                <c:ptCount val="1"/>
                <c:pt idx="0">
                  <c:v>2025年支出</c:v>
                </c:pt>
              </c:strCache>
            </c:strRef>
          </c:tx>
          <c:spPr>
            <a:ln>
              <a:noFill/>
            </a:ln>
          </c:spPr>
          <c:explosion val="0"/>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Pt>
            <c:idx val="2"/>
            <c:bubble3D val="0"/>
            <c:spPr>
              <a:solidFill>
                <a:srgbClr val="9BBB59"/>
              </a:solidFill>
              <a:ln w="6350">
                <a:solidFill>
                  <a:srgbClr val="FFFFFF"/>
                </a:solidFill>
                <a:prstDash val="solid"/>
              </a:ln>
            </c:spPr>
          </c:dPt>
          <c:dLbls>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Arial" panose="020B0604020202020204" pitchFamily="2"/>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 (7)'!$A$2:$A$4</c:f>
              <c:strCache>
                <c:ptCount val="3"/>
                <c:pt idx="0">
                  <c:v>因公出国（境）经费</c:v>
                </c:pt>
                <c:pt idx="1">
                  <c:v>公务用车运行维护费</c:v>
                </c:pt>
                <c:pt idx="2">
                  <c:v>公务接待费</c:v>
                </c:pt>
              </c:strCache>
            </c:strRef>
          </c:cat>
          <c:val>
            <c:numRef>
              <c:f>'Sheet1 (7)'!$B$2:$B$4</c:f>
              <c:numCache>
                <c:formatCode>General</c:formatCode>
                <c:ptCount val="3"/>
                <c:pt idx="0">
                  <c:v>0</c:v>
                </c:pt>
                <c:pt idx="1" c:formatCode="0%">
                  <c:v>1</c:v>
                </c:pt>
                <c:pt idx="2">
                  <c:v>0</c:v>
                </c:pt>
              </c:numCache>
            </c:numRef>
          </c:val>
        </c:ser>
        <c:dLbls>
          <c:showLegendKey val="0"/>
          <c:showVal val="0"/>
          <c:showCatName val="0"/>
          <c:showSerName val="0"/>
          <c:showPercent val="1"/>
          <c:showBubbleSize val="0"/>
          <c:showLeaderLines val="1"/>
        </c:dLbls>
        <c:firstSliceAng val="0"/>
      </c:pieChart>
      <c:spPr>
        <a:noFill/>
        <a:ln>
          <a:noFill/>
        </a:ln>
      </c:spPr>
    </c:plotArea>
    <c:legend>
      <c:legendPos val="r"/>
      <c:layout>
        <c:manualLayout>
          <c:xMode val="edge"/>
          <c:yMode val="edge"/>
          <c:x val="0.723743090286918"/>
          <c:y val="0.250671785028791"/>
          <c:w val="0.260463279810476"/>
          <c:h val="0.565451055662188"/>
        </c:manualLayou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Arial" panose="020B0604020202020204" pitchFamily="2"/>
            </a:defRPr>
          </a:pPr>
        </a:p>
      </c:txPr>
    </c:legend>
    <c:plotVisOnly val="1"/>
    <c:dispBlanksAs val="zero"/>
    <c:showDLblsOverMax val="0"/>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olors1.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四川省财政厅</Company>
  <Pages>19</Pages>
  <Words>0</Words>
  <Characters>6171</Characters>
  <Lines>0</Lines>
  <Paragraphs>204</Paragraphs>
  <TotalTime>13</TotalTime>
  <ScaleCrop>false</ScaleCrop>
  <LinksUpToDate>false</LinksUpToDate>
  <CharactersWithSpaces>8229</CharactersWithSpaces>
  <Application>WPS Office_11.8.2.1132_F1E327BC-269C-435d-A152-05C5408002CA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2020-08-09T17:49:00Z</dcterms:created>
  <dc:creator>曹颖</dc:creator>
  <cp:lastModifiedBy>user</cp:lastModifiedBy>
  <cp:lastPrinted>2023-08-04T18:35:00Z</cp:lastPrinted>
  <dcterms:modified xsi:type="dcterms:W3CDTF">2026-10-13T10:00:20Z</dcterms:modified>
  <dc:title>四川省***</dc:title>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839CDB8C1ED34DFB8E37E284C30EE597_13</vt:lpwstr>
  </property>
  <property fmtid="{D5CDD505-2E9C-101B-9397-08002B2CF9AE}" pid="4" name="KSOTemplateDocerSaveRecord">
    <vt:lpwstr>eyJoZGlkIjoiYTE4Yjc4MzE1N2NjMDFiZWIwY2QxMWVlZWM5MTU0OWIiLCJ1c2VySWQiOiI0MTQ0ODIyNzUifQ==</vt:lpwstr>
  </property>
</Properties>
</file>